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3C710" w14:textId="45E717D0" w:rsidR="009D3C01" w:rsidRPr="00207E6C" w:rsidRDefault="009D3C01" w:rsidP="0052618F">
      <w:pPr>
        <w:keepNext/>
        <w:keepLines/>
        <w:spacing w:before="480" w:after="240" w:line="276" w:lineRule="auto"/>
        <w:jc w:val="both"/>
        <w:outlineLvl w:val="0"/>
        <w:rPr>
          <w:rFonts w:asciiTheme="majorBidi" w:eastAsiaTheme="majorEastAsia" w:hAnsiTheme="majorBidi" w:cstheme="majorBidi"/>
          <w:b/>
          <w:sz w:val="26"/>
          <w:szCs w:val="32"/>
          <w:lang w:val="en-GB"/>
        </w:rPr>
      </w:pPr>
      <w:r w:rsidRPr="00207E6C">
        <w:rPr>
          <w:rFonts w:asciiTheme="majorBidi" w:eastAsiaTheme="majorEastAsia" w:hAnsiTheme="majorBidi" w:cstheme="majorBidi"/>
          <w:b/>
          <w:sz w:val="26"/>
          <w:szCs w:val="32"/>
          <w:lang w:val="en-GB"/>
        </w:rPr>
        <w:t>Appendix A: CAPEX and OPEX correlations</w:t>
      </w:r>
    </w:p>
    <w:p w14:paraId="6718888D" w14:textId="702D3F7D" w:rsidR="009D3C01" w:rsidRPr="00207E6C" w:rsidRDefault="009D3C01" w:rsidP="009D3C01">
      <w:pPr>
        <w:spacing w:line="360" w:lineRule="auto"/>
        <w:jc w:val="both"/>
        <w:rPr>
          <w:rFonts w:asciiTheme="majorBidi" w:hAnsiTheme="majorBidi"/>
          <w:sz w:val="24"/>
          <w:szCs w:val="24"/>
          <w:lang w:val="en-GB"/>
        </w:rPr>
      </w:pPr>
      <w:r w:rsidRPr="00207E6C">
        <w:rPr>
          <w:rFonts w:asciiTheme="majorBidi" w:hAnsiTheme="majorBidi"/>
          <w:sz w:val="24"/>
          <w:szCs w:val="24"/>
          <w:lang w:bidi="ar-QA"/>
        </w:rPr>
        <w:t>To develop correlations between the capacity, CC rate, and the CAPEX and OPEX of the SMR the available cost data in</w:t>
      </w:r>
      <w:r w:rsidR="00373FE0">
        <w:rPr>
          <w:rFonts w:asciiTheme="majorBidi" w:hAnsiTheme="majorBidi"/>
          <w:sz w:val="24"/>
          <w:szCs w:val="24"/>
          <w:lang w:bidi="ar-QA"/>
        </w:rPr>
        <w:t xml:space="preserve"> </w:t>
      </w:r>
      <w:r w:rsidR="00373FE0">
        <w:rPr>
          <w:rFonts w:asciiTheme="majorBidi" w:hAnsiTheme="majorBidi"/>
          <w:sz w:val="24"/>
          <w:szCs w:val="24"/>
          <w:lang w:bidi="ar-QA"/>
        </w:rPr>
        <w:fldChar w:fldCharType="begin" w:fldLock="1"/>
      </w:r>
      <w:r w:rsidR="00373FE0">
        <w:rPr>
          <w:rFonts w:asciiTheme="majorBidi" w:hAnsiTheme="majorBidi"/>
          <w:sz w:val="24"/>
          <w:szCs w:val="24"/>
          <w:lang w:bidi="ar-QA"/>
        </w:rPr>
        <w:instrText>ADDIN CSL_CITATION {"citationItems":[{"id":"ITEM-1","itemData":{"DOI":"10.14254/jsdtl.2022.7-1.7","ISSN":"2520-2979","abstract":"In this paper, developed a linear programming model to determine the volume of vessels that will give an optimal return on investment. The solution to the developed model was carried out using the Interior Point algorithm with the help of the MATLAB package. The analysis observed that the production and transporting of the LNG with a vessel of capacity 178,5006m3 would give an optimal profit of 633,640 million USD. And from the results of the analysis, we observed that the decision to take the maximum modern capacity instead of lower capacities yields the highest profit.","author":[{"dropping-particle":"","family":"Igboanusi","given":"Cninemerem","non-dropping-particle":"","parse-names":false,"suffix":""},{"dropping-particle":"","family":"Amuji","given":"Harrison Obiora","non-dropping-particle":"","parse-names":false,"suffix":""},{"dropping-particle":"","family":"Onukwube","given":"Obioma G.","non-dropping-particle":"","parse-names":false,"suffix":""},{"dropping-particle":"","family":"Chikadibia","given":"Nwosu Azuwueze","non-dropping-particle":"","parse-names":false,"suffix":""}],"container-title":"Journal of Sustainable Development of Transport and Logistics","id":"ITEM-1","issue":"1","issued":{"date-parts":[["2022"]]},"page":"82-89","title":"Global optimal vessel capacity for LNG production and transportation","type":"article-journal","volume":"7"},"uris":["http://www.mendeley.com/documents/?uuid=c647d5ed-feb6-4ec6-9720-086fa064c3e2"]}],"mendeley":{"formattedCitation":"[1]","plainTextFormattedCitation":"[1]","previouslyFormattedCitation":"[1]"},"properties":{"noteIndex":0},"schema":"https://github.com/citation-style-language/schema/raw/master/csl-citation.json"}</w:instrText>
      </w:r>
      <w:r w:rsidR="00373FE0">
        <w:rPr>
          <w:rFonts w:asciiTheme="majorBidi" w:hAnsiTheme="majorBidi"/>
          <w:sz w:val="24"/>
          <w:szCs w:val="24"/>
          <w:lang w:bidi="ar-QA"/>
        </w:rPr>
        <w:fldChar w:fldCharType="separate"/>
      </w:r>
      <w:r w:rsidR="00373FE0" w:rsidRPr="00373FE0">
        <w:rPr>
          <w:rFonts w:asciiTheme="majorBidi" w:hAnsiTheme="majorBidi"/>
          <w:noProof/>
          <w:sz w:val="24"/>
          <w:szCs w:val="24"/>
          <w:lang w:bidi="ar-QA"/>
        </w:rPr>
        <w:t>[1]</w:t>
      </w:r>
      <w:r w:rsidR="00373FE0">
        <w:rPr>
          <w:rFonts w:asciiTheme="majorBidi" w:hAnsiTheme="majorBidi"/>
          <w:sz w:val="24"/>
          <w:szCs w:val="24"/>
          <w:lang w:bidi="ar-QA"/>
        </w:rPr>
        <w:fldChar w:fldCharType="end"/>
      </w:r>
      <w:r w:rsidR="00373FE0">
        <w:rPr>
          <w:rFonts w:asciiTheme="majorBidi" w:hAnsiTheme="majorBidi"/>
          <w:sz w:val="24"/>
          <w:szCs w:val="24"/>
          <w:lang w:bidi="ar-QA"/>
        </w:rPr>
        <w:fldChar w:fldCharType="begin" w:fldLock="1"/>
      </w:r>
      <w:r w:rsidR="00373FE0">
        <w:rPr>
          <w:rFonts w:asciiTheme="majorBidi" w:hAnsiTheme="majorBidi"/>
          <w:sz w:val="24"/>
          <w:szCs w:val="24"/>
          <w:lang w:bidi="ar-QA"/>
        </w:rPr>
        <w:instrText>ADDIN CSL_CITATION {"citationItems":[{"id":"ITEM-1","itemData":{"DOI":"https://doi.org/10.1016/j.ijhydene.2021.12.025","ISSN":"0360-3199","abstract":"The use of low-carbon hydrogen is being considered to help decarbonize several jurisdictions around the world. There may be opportunities for energy-exporting countries to supply energy-importing countries with a secure source of low-carbon hydrogen. The study objective is to assess the delivered cost of gaseous hydrogen export from Canada (a fossil-resource rich country) to the Asia-Pacific, Europe, and inland destinations in North America. There is a data gap on the feasibility of inter-continental export of hydrogen from an energy-producing jurisdiction to energy-consuming jurisdictions. This study is aimed at addressing this gap and includes an assessment of opportunities across the Pacific Ocean and the Atlantic Ocean, based on fundamental engineering-based models. Techno-economics were used to determine the delivered cost of hydrogen to these destinations. The modelling considers energy, material, and capacity-sizing requirements for a five-stage supply chain comprising hydrogen production with carbon capture and storage, hydrogen pipeline transportation, liquefaction, shipping, and regasification at the destinations. The results show that the delivered cost of hydrogen to inland destinations in North America is between CAD$4.81/kg and CAD$6.03/kg, to the Asia-Pacific from CAD$6.65/kg to CAD$6.99/kg, and at least CAD$8.14/kg for exports to Europe. Delivering hydrogen by blending in existing long-distance natural gas pipelines reduced the delivered cost to inland destinations by 17%. Exporting ammonia to the Asia-Pacific provides cost savings of 28% compared to shipping liquified hydrogen. The developed information may be helpful to policymakers in government and the industry in making informed decisions about international trade of low-carbon hydrogen in both energy-exporting and energy-importing jurisdictions, globally.","author":[{"dropping-particle":"","family":"Okunlola","given":"Ayodeji","non-dropping-particle":"","parse-names":false,"suffix":""},{"dropping-particle":"","family":"Giwa","given":"Temitayo","non-dropping-particle":"","parse-names":false,"suffix":""},{"dropping-particle":"","family":"Lullo","given":"Giovanni","non-dropping-particle":"Di","parse-names":false,"suffix":""},{"dropping-particle":"","family":"Davis","given":"Matthew","non-dropping-particle":"","parse-names":false,"suffix":""},{"dropping-particle":"","family":"Gemechu","given":"Eskinder","non-dropping-particle":"","parse-names":false,"suffix":""},{"dropping-particle":"","family":"Kumar","given":"Amit","non-dropping-particle":"","parse-names":false,"suffix":""}],"container-title":"International Journal of Hydrogen Energy","id":"ITEM-1","issue":"10","issued":{"date-parts":[["2022"]]},"page":"6453-6477","title":"Techno-economic assessment of low-carbon hydrogen export from Western Canada to Eastern Canada, the USA, the Asia-Pacific, and Europe","type":"article-journal","volume":"47"},"uris":["http://www.mendeley.com/documents/?uuid=82938f85-2386-44b9-9c36-9325c0fbcc8b"]}],"mendeley":{"formattedCitation":"[2]","plainTextFormattedCitation":"[2]","previouslyFormattedCitation":"[2]"},"properties":{"noteIndex":0},"schema":"https://github.com/citation-style-language/schema/raw/master/csl-citation.json"}</w:instrText>
      </w:r>
      <w:r w:rsidR="00373FE0">
        <w:rPr>
          <w:rFonts w:asciiTheme="majorBidi" w:hAnsiTheme="majorBidi"/>
          <w:sz w:val="24"/>
          <w:szCs w:val="24"/>
          <w:lang w:bidi="ar-QA"/>
        </w:rPr>
        <w:fldChar w:fldCharType="separate"/>
      </w:r>
      <w:r w:rsidR="00373FE0" w:rsidRPr="00373FE0">
        <w:rPr>
          <w:rFonts w:asciiTheme="majorBidi" w:hAnsiTheme="majorBidi"/>
          <w:noProof/>
          <w:sz w:val="24"/>
          <w:szCs w:val="24"/>
          <w:lang w:bidi="ar-QA"/>
        </w:rPr>
        <w:t>[2]</w:t>
      </w:r>
      <w:r w:rsidR="00373FE0">
        <w:rPr>
          <w:rFonts w:asciiTheme="majorBidi" w:hAnsiTheme="majorBidi"/>
          <w:sz w:val="24"/>
          <w:szCs w:val="24"/>
          <w:lang w:bidi="ar-QA"/>
        </w:rPr>
        <w:fldChar w:fldCharType="end"/>
      </w:r>
      <w:r w:rsidR="00373FE0">
        <w:rPr>
          <w:rFonts w:asciiTheme="majorBidi" w:hAnsiTheme="majorBidi"/>
          <w:sz w:val="24"/>
          <w:szCs w:val="24"/>
          <w:lang w:bidi="ar-QA"/>
        </w:rPr>
        <w:fldChar w:fldCharType="begin" w:fldLock="1"/>
      </w:r>
      <w:r w:rsidR="006D4BC4">
        <w:rPr>
          <w:rFonts w:asciiTheme="majorBidi" w:hAnsiTheme="majorBidi"/>
          <w:sz w:val="24"/>
          <w:szCs w:val="24"/>
          <w:lang w:bidi="ar-QA"/>
        </w:rPr>
        <w:instrText>ADDIN CSL_CITATION {"citationItems":[{"id":"ITEM-1","itemData":{"DOI":"10.1080/15567249.2023.2254764","ISSN":"1556-7249","author":[{"dropping-particle":"","family":"Sleiti","given":"Ahmad K","non-dropping-particle":"","parse-names":false,"suffix":""},{"dropping-particle":"","family":"Al-Ammari","given":"Wahib A","non-dropping-particle":"","parse-names":false,"suffix":""},{"dropping-particle":"","family":"Musharavati","given":"Farayi","non-dropping-particle":"","parse-names":false,"suffix":""},{"dropping-particle":"","family":"Azizur Rahman","given":"Mohammad","non-dropping-particle":"","parse-names":false,"suffix":""}],"container-title":"Energy Sources, Part B: Economics, Planning, and Policy","id":"ITEM-1","issue":"1","issued":{"date-parts":[["2023","12","31"]]},"note":"doi: 10.1080/15567249.2023.2254764","page":"2254764","publisher":"Taylor &amp; Francis","title":"Techno-economic assessment of low-carbon hydrogen exports from the Middle East to the Asia-Pacific, and Europe","type":"article-journal","volume":"18"},"uris":["http://www.mendeley.com/documents/?uuid=8e2c0eeb-3f50-4eaf-8a93-88a85bf2ec30"]}],"mendeley":{"formattedCitation":"[3]","plainTextFormattedCitation":"[3]","previouslyFormattedCitation":"[3]"},"properties":{"noteIndex":0},"schema":"https://github.com/citation-style-language/schema/raw/master/csl-citation.json"}</w:instrText>
      </w:r>
      <w:r w:rsidR="00373FE0">
        <w:rPr>
          <w:rFonts w:asciiTheme="majorBidi" w:hAnsiTheme="majorBidi"/>
          <w:sz w:val="24"/>
          <w:szCs w:val="24"/>
          <w:lang w:bidi="ar-QA"/>
        </w:rPr>
        <w:fldChar w:fldCharType="separate"/>
      </w:r>
      <w:r w:rsidR="00373FE0" w:rsidRPr="00373FE0">
        <w:rPr>
          <w:rFonts w:asciiTheme="majorBidi" w:hAnsiTheme="majorBidi"/>
          <w:noProof/>
          <w:sz w:val="24"/>
          <w:szCs w:val="24"/>
          <w:lang w:bidi="ar-QA"/>
        </w:rPr>
        <w:t>[3]</w:t>
      </w:r>
      <w:r w:rsidR="00373FE0">
        <w:rPr>
          <w:rFonts w:asciiTheme="majorBidi" w:hAnsiTheme="majorBidi"/>
          <w:sz w:val="24"/>
          <w:szCs w:val="24"/>
          <w:lang w:bidi="ar-QA"/>
        </w:rPr>
        <w:fldChar w:fldCharType="end"/>
      </w:r>
      <w:r w:rsidR="00373FE0">
        <w:rPr>
          <w:rFonts w:asciiTheme="majorBidi" w:hAnsiTheme="majorBidi"/>
          <w:sz w:val="24"/>
          <w:szCs w:val="24"/>
          <w:lang w:bidi="ar-QA"/>
        </w:rPr>
        <w:t xml:space="preserve"> </w:t>
      </w:r>
      <w:r w:rsidRPr="00207E6C">
        <w:rPr>
          <w:rFonts w:asciiTheme="majorBidi" w:hAnsiTheme="majorBidi"/>
          <w:sz w:val="24"/>
          <w:szCs w:val="24"/>
          <w:lang w:val="en-GB"/>
        </w:rPr>
        <w:t xml:space="preserve">are represented as specific CAPEX and specific OPEX as shown in Table A.1. Then, the specific CAPEX and specific OPEX are plotted versus the CC rate as shown in Fig. A1(a, and b). After that, the trend line equations can be used to calculate the CAPEX and OPEX at other plant capacities and CC rates as shown in (Eqn. A1) and OPEX (Eqn. A2). </w:t>
      </w:r>
    </w:p>
    <w:p w14:paraId="333B7DF6" w14:textId="77777777" w:rsidR="009D3C01" w:rsidRPr="00207E6C" w:rsidRDefault="006D4BC4" w:rsidP="009D3C01">
      <w:pPr>
        <w:spacing w:line="360" w:lineRule="auto"/>
        <w:jc w:val="both"/>
        <w:rPr>
          <w:rFonts w:asciiTheme="majorBidi" w:hAnsiTheme="majorBidi"/>
          <w:lang w:val="en-GB"/>
        </w:rPr>
      </w:pPr>
      <m:oMath>
        <m:sSub>
          <m:sSubPr>
            <m:ctrlPr>
              <w:rPr>
                <w:rFonts w:ascii="Cambria Math" w:hAnsi="Cambria Math"/>
                <w:i/>
                <w:lang w:val="en-GB"/>
              </w:rPr>
            </m:ctrlPr>
          </m:sSubPr>
          <m:e>
            <m:r>
              <w:rPr>
                <w:rFonts w:ascii="Cambria Math" w:hAnsi="Cambria Math"/>
                <w:lang w:val="en-GB"/>
              </w:rPr>
              <m:t>CAPEX</m:t>
            </m:r>
          </m:e>
          <m:sub>
            <m:r>
              <w:rPr>
                <w:rFonts w:ascii="Cambria Math" w:hAnsi="Cambria Math"/>
                <w:lang w:val="en-GB"/>
              </w:rPr>
              <m:t>H2,production</m:t>
            </m:r>
          </m:sub>
        </m:sSub>
        <m:r>
          <w:rPr>
            <w:rFonts w:ascii="Cambria Math" w:hAnsi="Cambria Math"/>
            <w:lang w:val="en-GB"/>
          </w:rPr>
          <m:t xml:space="preserve">[million US$]=Plant capacity </m:t>
        </m:r>
        <m:d>
          <m:dPr>
            <m:begChr m:val="["/>
            <m:endChr m:val="]"/>
            <m:ctrlPr>
              <w:rPr>
                <w:rFonts w:ascii="Cambria Math" w:hAnsi="Cambria Math"/>
                <w:i/>
                <w:lang w:val="en-GB"/>
              </w:rPr>
            </m:ctrlPr>
          </m:dPr>
          <m:e>
            <m:r>
              <w:rPr>
                <w:rFonts w:ascii="Cambria Math" w:hAnsi="Cambria Math"/>
                <w:lang w:val="en-GB"/>
              </w:rPr>
              <m:t>TPD</m:t>
            </m:r>
          </m:e>
        </m:d>
        <m:r>
          <w:rPr>
            <w:rFonts w:ascii="Cambria Math" w:hAnsi="Cambria Math"/>
            <w:lang w:val="en-GB"/>
          </w:rPr>
          <m:t>×{1.014+0.0142×CC</m:t>
        </m:r>
        <m:d>
          <m:dPr>
            <m:begChr m:val="["/>
            <m:endChr m:val="]"/>
            <m:ctrlPr>
              <w:rPr>
                <w:rFonts w:ascii="Cambria Math" w:hAnsi="Cambria Math"/>
                <w:i/>
                <w:lang w:val="en-GB"/>
              </w:rPr>
            </m:ctrlPr>
          </m:dPr>
          <m:e>
            <m:r>
              <w:rPr>
                <w:rFonts w:ascii="Cambria Math" w:hAnsi="Cambria Math"/>
                <w:lang w:val="en-GB"/>
              </w:rPr>
              <m:t>%</m:t>
            </m:r>
          </m:e>
        </m:d>
        <m:r>
          <w:rPr>
            <w:rFonts w:ascii="Cambria Math" w:hAnsi="Cambria Math"/>
            <w:lang w:val="en-GB"/>
          </w:rPr>
          <m:t xml:space="preserve"> </m:t>
        </m:r>
      </m:oMath>
      <w:r w:rsidR="009D3C01" w:rsidRPr="00207E6C">
        <w:rPr>
          <w:rFonts w:asciiTheme="majorBidi" w:eastAsiaTheme="minorEastAsia" w:hAnsiTheme="majorBidi"/>
          <w:lang w:val="en-GB"/>
        </w:rPr>
        <w:t xml:space="preserve">        (A1)</w:t>
      </w:r>
    </w:p>
    <w:p w14:paraId="0C5C200F" w14:textId="77777777" w:rsidR="009D3C01" w:rsidRPr="00207E6C" w:rsidRDefault="006D4BC4" w:rsidP="009D3C01">
      <w:pPr>
        <w:spacing w:line="360" w:lineRule="auto"/>
        <w:jc w:val="both"/>
        <w:rPr>
          <w:rFonts w:asciiTheme="majorBidi" w:eastAsiaTheme="minorEastAsia" w:hAnsiTheme="majorBidi"/>
          <w:lang w:val="en-GB"/>
        </w:rPr>
      </w:pPr>
      <m:oMath>
        <m:sSub>
          <m:sSubPr>
            <m:ctrlPr>
              <w:rPr>
                <w:rFonts w:ascii="Cambria Math" w:hAnsi="Cambria Math"/>
                <w:i/>
                <w:lang w:val="en-GB"/>
              </w:rPr>
            </m:ctrlPr>
          </m:sSubPr>
          <m:e>
            <m:r>
              <w:rPr>
                <w:rFonts w:ascii="Cambria Math" w:hAnsi="Cambria Math"/>
                <w:lang w:val="en-GB"/>
              </w:rPr>
              <m:t>OPEX</m:t>
            </m:r>
          </m:e>
          <m:sub>
            <m:r>
              <w:rPr>
                <w:rFonts w:ascii="Cambria Math" w:hAnsi="Cambria Math"/>
                <w:lang w:val="en-GB"/>
              </w:rPr>
              <m:t>H2,production</m:t>
            </m:r>
          </m:sub>
        </m:sSub>
        <m:r>
          <w:rPr>
            <w:rFonts w:ascii="Cambria Math" w:hAnsi="Cambria Math"/>
            <w:lang w:val="en-GB"/>
          </w:rPr>
          <m:t xml:space="preserve">[million US$/year]=Plant capacity </m:t>
        </m:r>
        <m:d>
          <m:dPr>
            <m:begChr m:val="["/>
            <m:endChr m:val="]"/>
            <m:ctrlPr>
              <w:rPr>
                <w:rFonts w:ascii="Cambria Math" w:hAnsi="Cambria Math"/>
                <w:i/>
                <w:lang w:val="en-GB"/>
              </w:rPr>
            </m:ctrlPr>
          </m:dPr>
          <m:e>
            <m:r>
              <w:rPr>
                <w:rFonts w:ascii="Cambria Math" w:hAnsi="Cambria Math"/>
                <w:lang w:val="en-GB"/>
              </w:rPr>
              <m:t>TPD</m:t>
            </m:r>
          </m:e>
        </m:d>
        <m:r>
          <w:rPr>
            <w:rFonts w:ascii="Cambria Math" w:hAnsi="Cambria Math"/>
            <w:lang w:val="en-GB"/>
          </w:rPr>
          <m:t>×{0.0493+0.0043×CC[%]</m:t>
        </m:r>
      </m:oMath>
      <w:r w:rsidR="009D3C01" w:rsidRPr="00207E6C">
        <w:rPr>
          <w:rFonts w:asciiTheme="majorBidi" w:eastAsiaTheme="minorEastAsia" w:hAnsiTheme="majorBidi"/>
          <w:lang w:val="en-GB"/>
        </w:rPr>
        <w:t xml:space="preserve"> (A2)</w:t>
      </w:r>
    </w:p>
    <w:p w14:paraId="4546A32F" w14:textId="77777777" w:rsidR="009D3C01" w:rsidRPr="00207E6C" w:rsidRDefault="009D3C01" w:rsidP="009D3C01">
      <w:pPr>
        <w:spacing w:after="40" w:line="360" w:lineRule="auto"/>
        <w:jc w:val="both"/>
        <w:rPr>
          <w:rFonts w:asciiTheme="majorBidi" w:hAnsiTheme="majorBidi"/>
          <w:lang w:val="en-GB"/>
        </w:rPr>
      </w:pPr>
      <w:r w:rsidRPr="00207E6C">
        <w:rPr>
          <w:rFonts w:asciiTheme="majorBidi" w:hAnsiTheme="majorBidi"/>
          <w:lang w:val="en-GB"/>
        </w:rPr>
        <w:t>Table A.1 Data of CAPEX, OPEX, and CO2 intensity of SMR hydrogen production system at different carbon capture rate.</w:t>
      </w:r>
    </w:p>
    <w:tbl>
      <w:tblPr>
        <w:tblW w:w="8776" w:type="dxa"/>
        <w:tblLook w:val="04A0" w:firstRow="1" w:lastRow="0" w:firstColumn="1" w:lastColumn="0" w:noHBand="0" w:noVBand="1"/>
      </w:tblPr>
      <w:tblGrid>
        <w:gridCol w:w="1435"/>
        <w:gridCol w:w="1085"/>
        <w:gridCol w:w="978"/>
        <w:gridCol w:w="978"/>
        <w:gridCol w:w="1500"/>
        <w:gridCol w:w="1500"/>
        <w:gridCol w:w="1300"/>
      </w:tblGrid>
      <w:tr w:rsidR="00207E6C" w:rsidRPr="00207E6C" w14:paraId="7988ED9A" w14:textId="77777777" w:rsidTr="00AA2973">
        <w:trPr>
          <w:trHeight w:val="324"/>
        </w:trPr>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F23B5"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Plant Capacity</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14:paraId="0E39A43C"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CC rate</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14:paraId="545E3E3A"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CAPEX</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14:paraId="3E862C42"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OPEX</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3C5CBD1D"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Specific CAPEX</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4CCFD2E8"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Specific OPEX</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5BDAF229" w14:textId="77777777" w:rsidR="009D3C01" w:rsidRPr="00207E6C" w:rsidRDefault="009D3C01" w:rsidP="00AA2973">
            <w:pPr>
              <w:spacing w:after="0" w:line="360" w:lineRule="auto"/>
              <w:jc w:val="both"/>
              <w:rPr>
                <w:rFonts w:ascii="Times New Roman" w:eastAsia="Times New Roman" w:hAnsi="Times New Roman" w:cs="Times New Roman"/>
                <w:b/>
                <w:bCs/>
              </w:rPr>
            </w:pPr>
            <w:r w:rsidRPr="00207E6C">
              <w:rPr>
                <w:rFonts w:ascii="Times New Roman" w:eastAsia="Times New Roman" w:hAnsi="Times New Roman" w:cs="Times New Roman"/>
                <w:b/>
                <w:bCs/>
              </w:rPr>
              <w:t>CO</w:t>
            </w:r>
            <w:r w:rsidRPr="00207E6C">
              <w:rPr>
                <w:rFonts w:ascii="Times New Roman" w:eastAsia="Times New Roman" w:hAnsi="Times New Roman" w:cs="Times New Roman"/>
                <w:b/>
                <w:bCs/>
                <w:vertAlign w:val="subscript"/>
              </w:rPr>
              <w:t>2</w:t>
            </w:r>
            <w:r w:rsidRPr="00207E6C">
              <w:rPr>
                <w:rFonts w:ascii="Times New Roman" w:eastAsia="Times New Roman" w:hAnsi="Times New Roman" w:cs="Times New Roman"/>
                <w:b/>
                <w:bCs/>
              </w:rPr>
              <w:t xml:space="preserve"> intensity</w:t>
            </w:r>
          </w:p>
        </w:tc>
      </w:tr>
      <w:tr w:rsidR="00207E6C" w:rsidRPr="00207E6C" w14:paraId="398ADBAC" w14:textId="77777777" w:rsidTr="00AA2973">
        <w:trPr>
          <w:trHeight w:val="324"/>
        </w:trPr>
        <w:tc>
          <w:tcPr>
            <w:tcW w:w="1435" w:type="dxa"/>
            <w:tcBorders>
              <w:top w:val="nil"/>
              <w:left w:val="single" w:sz="4" w:space="0" w:color="auto"/>
              <w:bottom w:val="single" w:sz="4" w:space="0" w:color="auto"/>
              <w:right w:val="single" w:sz="4" w:space="0" w:color="auto"/>
            </w:tcBorders>
            <w:shd w:val="clear" w:color="auto" w:fill="auto"/>
            <w:noWrap/>
            <w:vAlign w:val="center"/>
            <w:hideMark/>
          </w:tcPr>
          <w:p w14:paraId="15101D91"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[TPD]</w:t>
            </w:r>
          </w:p>
        </w:tc>
        <w:tc>
          <w:tcPr>
            <w:tcW w:w="1085" w:type="dxa"/>
            <w:tcBorders>
              <w:top w:val="nil"/>
              <w:left w:val="nil"/>
              <w:bottom w:val="single" w:sz="4" w:space="0" w:color="auto"/>
              <w:right w:val="single" w:sz="4" w:space="0" w:color="auto"/>
            </w:tcBorders>
            <w:shd w:val="clear" w:color="auto" w:fill="auto"/>
            <w:noWrap/>
            <w:vAlign w:val="center"/>
            <w:hideMark/>
          </w:tcPr>
          <w:p w14:paraId="264AF774"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w:t>
            </w:r>
          </w:p>
        </w:tc>
        <w:tc>
          <w:tcPr>
            <w:tcW w:w="978" w:type="dxa"/>
            <w:tcBorders>
              <w:top w:val="nil"/>
              <w:left w:val="nil"/>
              <w:bottom w:val="single" w:sz="4" w:space="0" w:color="auto"/>
              <w:right w:val="single" w:sz="4" w:space="0" w:color="auto"/>
            </w:tcBorders>
            <w:shd w:val="clear" w:color="auto" w:fill="auto"/>
            <w:noWrap/>
            <w:vAlign w:val="center"/>
            <w:hideMark/>
          </w:tcPr>
          <w:p w14:paraId="2503E453"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[million US$]</w:t>
            </w:r>
          </w:p>
        </w:tc>
        <w:tc>
          <w:tcPr>
            <w:tcW w:w="978" w:type="dxa"/>
            <w:tcBorders>
              <w:top w:val="nil"/>
              <w:left w:val="nil"/>
              <w:bottom w:val="single" w:sz="4" w:space="0" w:color="auto"/>
              <w:right w:val="single" w:sz="4" w:space="0" w:color="auto"/>
            </w:tcBorders>
            <w:shd w:val="clear" w:color="auto" w:fill="auto"/>
            <w:noWrap/>
            <w:vAlign w:val="center"/>
            <w:hideMark/>
          </w:tcPr>
          <w:p w14:paraId="215B0D0F"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[million US$]</w:t>
            </w:r>
          </w:p>
        </w:tc>
        <w:tc>
          <w:tcPr>
            <w:tcW w:w="1500" w:type="dxa"/>
            <w:tcBorders>
              <w:top w:val="nil"/>
              <w:left w:val="nil"/>
              <w:bottom w:val="single" w:sz="4" w:space="0" w:color="auto"/>
              <w:right w:val="single" w:sz="4" w:space="0" w:color="auto"/>
            </w:tcBorders>
            <w:shd w:val="clear" w:color="auto" w:fill="auto"/>
            <w:noWrap/>
            <w:vAlign w:val="center"/>
            <w:hideMark/>
          </w:tcPr>
          <w:p w14:paraId="3D10C82C"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[million US$/TPD]</w:t>
            </w:r>
          </w:p>
        </w:tc>
        <w:tc>
          <w:tcPr>
            <w:tcW w:w="1500" w:type="dxa"/>
            <w:tcBorders>
              <w:top w:val="nil"/>
              <w:left w:val="nil"/>
              <w:bottom w:val="single" w:sz="4" w:space="0" w:color="auto"/>
              <w:right w:val="single" w:sz="4" w:space="0" w:color="auto"/>
            </w:tcBorders>
            <w:shd w:val="clear" w:color="auto" w:fill="auto"/>
            <w:noWrap/>
            <w:vAlign w:val="center"/>
            <w:hideMark/>
          </w:tcPr>
          <w:p w14:paraId="47DC2403"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[million US$/TPD]</w:t>
            </w:r>
          </w:p>
        </w:tc>
        <w:tc>
          <w:tcPr>
            <w:tcW w:w="1300" w:type="dxa"/>
            <w:tcBorders>
              <w:top w:val="nil"/>
              <w:left w:val="nil"/>
              <w:bottom w:val="single" w:sz="4" w:space="0" w:color="auto"/>
              <w:right w:val="single" w:sz="4" w:space="0" w:color="auto"/>
            </w:tcBorders>
            <w:shd w:val="clear" w:color="auto" w:fill="auto"/>
            <w:noWrap/>
            <w:vAlign w:val="center"/>
            <w:hideMark/>
          </w:tcPr>
          <w:p w14:paraId="635E73BC"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[kg</w:t>
            </w:r>
            <w:r w:rsidRPr="00207E6C">
              <w:rPr>
                <w:rFonts w:ascii="Times New Roman" w:eastAsia="Times New Roman" w:hAnsi="Times New Roman" w:cs="Times New Roman"/>
                <w:vertAlign w:val="subscript"/>
              </w:rPr>
              <w:t>CO2</w:t>
            </w:r>
            <w:r w:rsidRPr="00207E6C">
              <w:rPr>
                <w:rFonts w:ascii="Times New Roman" w:eastAsia="Times New Roman" w:hAnsi="Times New Roman" w:cs="Times New Roman"/>
              </w:rPr>
              <w:t>/kg</w:t>
            </w:r>
            <w:r w:rsidRPr="00207E6C">
              <w:rPr>
                <w:rFonts w:ascii="Times New Roman" w:eastAsia="Times New Roman" w:hAnsi="Times New Roman" w:cs="Times New Roman"/>
                <w:vertAlign w:val="subscript"/>
              </w:rPr>
              <w:t>H2</w:t>
            </w:r>
            <w:r w:rsidRPr="00207E6C">
              <w:rPr>
                <w:rFonts w:ascii="Times New Roman" w:eastAsia="Times New Roman" w:hAnsi="Times New Roman" w:cs="Times New Roman"/>
              </w:rPr>
              <w:t>]</w:t>
            </w:r>
          </w:p>
        </w:tc>
      </w:tr>
      <w:tr w:rsidR="00207E6C" w:rsidRPr="00207E6C" w14:paraId="3FFC7437" w14:textId="77777777" w:rsidTr="00AA2973">
        <w:trPr>
          <w:trHeight w:val="288"/>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1F1A304D"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607</w:t>
            </w:r>
          </w:p>
        </w:tc>
        <w:tc>
          <w:tcPr>
            <w:tcW w:w="1085" w:type="dxa"/>
            <w:tcBorders>
              <w:top w:val="nil"/>
              <w:left w:val="nil"/>
              <w:bottom w:val="single" w:sz="4" w:space="0" w:color="auto"/>
              <w:right w:val="single" w:sz="4" w:space="0" w:color="auto"/>
            </w:tcBorders>
            <w:shd w:val="clear" w:color="auto" w:fill="auto"/>
            <w:noWrap/>
            <w:vAlign w:val="bottom"/>
            <w:hideMark/>
          </w:tcPr>
          <w:p w14:paraId="4ABBB325"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52</w:t>
            </w:r>
          </w:p>
        </w:tc>
        <w:tc>
          <w:tcPr>
            <w:tcW w:w="978" w:type="dxa"/>
            <w:tcBorders>
              <w:top w:val="nil"/>
              <w:left w:val="nil"/>
              <w:bottom w:val="single" w:sz="4" w:space="0" w:color="auto"/>
              <w:right w:val="single" w:sz="4" w:space="0" w:color="auto"/>
            </w:tcBorders>
            <w:shd w:val="clear" w:color="auto" w:fill="auto"/>
            <w:noWrap/>
            <w:vAlign w:val="bottom"/>
            <w:hideMark/>
          </w:tcPr>
          <w:p w14:paraId="1DD45C9F"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1063</w:t>
            </w:r>
          </w:p>
        </w:tc>
        <w:tc>
          <w:tcPr>
            <w:tcW w:w="978" w:type="dxa"/>
            <w:tcBorders>
              <w:top w:val="nil"/>
              <w:left w:val="nil"/>
              <w:bottom w:val="single" w:sz="4" w:space="0" w:color="auto"/>
              <w:right w:val="single" w:sz="4" w:space="0" w:color="auto"/>
            </w:tcBorders>
            <w:shd w:val="clear" w:color="auto" w:fill="auto"/>
            <w:noWrap/>
            <w:vAlign w:val="bottom"/>
            <w:hideMark/>
          </w:tcPr>
          <w:p w14:paraId="76F212DB"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167</w:t>
            </w:r>
          </w:p>
        </w:tc>
        <w:tc>
          <w:tcPr>
            <w:tcW w:w="1500" w:type="dxa"/>
            <w:tcBorders>
              <w:top w:val="nil"/>
              <w:left w:val="nil"/>
              <w:bottom w:val="single" w:sz="4" w:space="0" w:color="auto"/>
              <w:right w:val="single" w:sz="4" w:space="0" w:color="auto"/>
            </w:tcBorders>
            <w:shd w:val="clear" w:color="auto" w:fill="auto"/>
            <w:noWrap/>
            <w:vAlign w:val="bottom"/>
            <w:hideMark/>
          </w:tcPr>
          <w:p w14:paraId="3FCA4642"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1.75</w:t>
            </w:r>
          </w:p>
        </w:tc>
        <w:tc>
          <w:tcPr>
            <w:tcW w:w="1500" w:type="dxa"/>
            <w:tcBorders>
              <w:top w:val="nil"/>
              <w:left w:val="nil"/>
              <w:bottom w:val="single" w:sz="4" w:space="0" w:color="auto"/>
              <w:right w:val="single" w:sz="4" w:space="0" w:color="auto"/>
            </w:tcBorders>
            <w:shd w:val="clear" w:color="auto" w:fill="auto"/>
            <w:noWrap/>
            <w:vAlign w:val="bottom"/>
            <w:hideMark/>
          </w:tcPr>
          <w:p w14:paraId="4DF61EA1"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0.28</w:t>
            </w:r>
          </w:p>
        </w:tc>
        <w:tc>
          <w:tcPr>
            <w:tcW w:w="1300" w:type="dxa"/>
            <w:tcBorders>
              <w:top w:val="nil"/>
              <w:left w:val="nil"/>
              <w:bottom w:val="single" w:sz="4" w:space="0" w:color="auto"/>
              <w:right w:val="single" w:sz="4" w:space="0" w:color="auto"/>
            </w:tcBorders>
            <w:shd w:val="clear" w:color="auto" w:fill="auto"/>
            <w:noWrap/>
            <w:vAlign w:val="bottom"/>
            <w:hideMark/>
          </w:tcPr>
          <w:p w14:paraId="7601D95B"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8.20</w:t>
            </w:r>
          </w:p>
        </w:tc>
      </w:tr>
      <w:tr w:rsidR="009D3C01" w:rsidRPr="00207E6C" w14:paraId="46C63095" w14:textId="77777777" w:rsidTr="00AA2973">
        <w:trPr>
          <w:trHeight w:val="288"/>
        </w:trPr>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53033B12"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607</w:t>
            </w:r>
          </w:p>
        </w:tc>
        <w:tc>
          <w:tcPr>
            <w:tcW w:w="1085" w:type="dxa"/>
            <w:tcBorders>
              <w:top w:val="nil"/>
              <w:left w:val="nil"/>
              <w:bottom w:val="single" w:sz="4" w:space="0" w:color="auto"/>
              <w:right w:val="single" w:sz="4" w:space="0" w:color="auto"/>
            </w:tcBorders>
            <w:shd w:val="clear" w:color="auto" w:fill="auto"/>
            <w:noWrap/>
            <w:vAlign w:val="bottom"/>
            <w:hideMark/>
          </w:tcPr>
          <w:p w14:paraId="3DFDFA41"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85</w:t>
            </w:r>
          </w:p>
        </w:tc>
        <w:tc>
          <w:tcPr>
            <w:tcW w:w="978" w:type="dxa"/>
            <w:tcBorders>
              <w:top w:val="nil"/>
              <w:left w:val="nil"/>
              <w:bottom w:val="single" w:sz="4" w:space="0" w:color="auto"/>
              <w:right w:val="single" w:sz="4" w:space="0" w:color="auto"/>
            </w:tcBorders>
            <w:shd w:val="clear" w:color="auto" w:fill="auto"/>
            <w:noWrap/>
            <w:vAlign w:val="bottom"/>
            <w:hideMark/>
          </w:tcPr>
          <w:p w14:paraId="53766BD9"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1347</w:t>
            </w:r>
          </w:p>
        </w:tc>
        <w:tc>
          <w:tcPr>
            <w:tcW w:w="978" w:type="dxa"/>
            <w:tcBorders>
              <w:top w:val="nil"/>
              <w:left w:val="nil"/>
              <w:bottom w:val="single" w:sz="4" w:space="0" w:color="auto"/>
              <w:right w:val="single" w:sz="4" w:space="0" w:color="auto"/>
            </w:tcBorders>
            <w:shd w:val="clear" w:color="auto" w:fill="auto"/>
            <w:noWrap/>
            <w:vAlign w:val="bottom"/>
            <w:hideMark/>
          </w:tcPr>
          <w:p w14:paraId="011454AE"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254</w:t>
            </w:r>
          </w:p>
        </w:tc>
        <w:tc>
          <w:tcPr>
            <w:tcW w:w="1500" w:type="dxa"/>
            <w:tcBorders>
              <w:top w:val="nil"/>
              <w:left w:val="nil"/>
              <w:bottom w:val="single" w:sz="4" w:space="0" w:color="auto"/>
              <w:right w:val="single" w:sz="4" w:space="0" w:color="auto"/>
            </w:tcBorders>
            <w:shd w:val="clear" w:color="auto" w:fill="auto"/>
            <w:noWrap/>
            <w:vAlign w:val="bottom"/>
            <w:hideMark/>
          </w:tcPr>
          <w:p w14:paraId="04013975"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2.22</w:t>
            </w:r>
          </w:p>
        </w:tc>
        <w:tc>
          <w:tcPr>
            <w:tcW w:w="1500" w:type="dxa"/>
            <w:tcBorders>
              <w:top w:val="nil"/>
              <w:left w:val="nil"/>
              <w:bottom w:val="single" w:sz="4" w:space="0" w:color="auto"/>
              <w:right w:val="single" w:sz="4" w:space="0" w:color="auto"/>
            </w:tcBorders>
            <w:shd w:val="clear" w:color="auto" w:fill="auto"/>
            <w:noWrap/>
            <w:vAlign w:val="bottom"/>
            <w:hideMark/>
          </w:tcPr>
          <w:p w14:paraId="3E05F15B"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0.42</w:t>
            </w:r>
          </w:p>
        </w:tc>
        <w:tc>
          <w:tcPr>
            <w:tcW w:w="1300" w:type="dxa"/>
            <w:tcBorders>
              <w:top w:val="nil"/>
              <w:left w:val="nil"/>
              <w:bottom w:val="single" w:sz="4" w:space="0" w:color="auto"/>
              <w:right w:val="single" w:sz="4" w:space="0" w:color="auto"/>
            </w:tcBorders>
            <w:shd w:val="clear" w:color="auto" w:fill="auto"/>
            <w:noWrap/>
            <w:vAlign w:val="bottom"/>
            <w:hideMark/>
          </w:tcPr>
          <w:p w14:paraId="050909B6" w14:textId="77777777" w:rsidR="009D3C01" w:rsidRPr="00207E6C" w:rsidRDefault="009D3C01" w:rsidP="00AA2973">
            <w:pPr>
              <w:spacing w:after="0" w:line="360" w:lineRule="auto"/>
              <w:jc w:val="both"/>
              <w:rPr>
                <w:rFonts w:ascii="Times New Roman" w:eastAsia="Times New Roman" w:hAnsi="Times New Roman" w:cs="Times New Roman"/>
              </w:rPr>
            </w:pPr>
            <w:r w:rsidRPr="00207E6C">
              <w:rPr>
                <w:rFonts w:ascii="Times New Roman" w:eastAsia="Times New Roman" w:hAnsi="Times New Roman" w:cs="Times New Roman"/>
              </w:rPr>
              <w:t>6.66</w:t>
            </w:r>
          </w:p>
        </w:tc>
      </w:tr>
    </w:tbl>
    <w:p w14:paraId="3C429713" w14:textId="77777777" w:rsidR="009D3C01" w:rsidRPr="00207E6C" w:rsidRDefault="009D3C01" w:rsidP="009D3C01">
      <w:pPr>
        <w:spacing w:line="360" w:lineRule="auto"/>
        <w:jc w:val="both"/>
        <w:rPr>
          <w:rFonts w:asciiTheme="majorBidi" w:hAnsiTheme="majorBidi"/>
          <w:lang w:bidi="ar-QA"/>
        </w:rPr>
      </w:pPr>
    </w:p>
    <w:p w14:paraId="61AA90A9" w14:textId="77777777" w:rsidR="009D3C01" w:rsidRPr="00207E6C" w:rsidRDefault="009D3C01" w:rsidP="009D3C01">
      <w:pPr>
        <w:pBdr>
          <w:top w:val="single" w:sz="4" w:space="1" w:color="auto"/>
          <w:left w:val="single" w:sz="4" w:space="4" w:color="auto"/>
          <w:bottom w:val="single" w:sz="4" w:space="1" w:color="auto"/>
          <w:right w:val="single" w:sz="4" w:space="4" w:color="auto"/>
        </w:pBdr>
        <w:spacing w:line="360" w:lineRule="auto"/>
        <w:jc w:val="both"/>
        <w:rPr>
          <w:rFonts w:asciiTheme="majorBidi" w:hAnsiTheme="majorBidi"/>
          <w:lang w:bidi="ar-QA"/>
        </w:rPr>
      </w:pPr>
      <w:r w:rsidRPr="00207E6C">
        <w:rPr>
          <w:rFonts w:asciiTheme="majorBidi" w:hAnsiTheme="majorBidi"/>
          <w:noProof/>
          <w:lang w:bidi="ar-QA"/>
        </w:rPr>
        <w:drawing>
          <wp:inline distT="0" distB="0" distL="0" distR="0" wp14:anchorId="2510E742" wp14:editId="148485D4">
            <wp:extent cx="2769858" cy="21431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75420" cy="2147429"/>
                    </a:xfrm>
                    <a:prstGeom prst="rect">
                      <a:avLst/>
                    </a:prstGeom>
                    <a:noFill/>
                  </pic:spPr>
                </pic:pic>
              </a:graphicData>
            </a:graphic>
          </wp:inline>
        </w:drawing>
      </w:r>
      <w:r w:rsidRPr="00207E6C">
        <w:rPr>
          <w:rFonts w:asciiTheme="majorBidi" w:hAnsiTheme="majorBidi"/>
          <w:noProof/>
          <w:lang w:bidi="ar-QA"/>
        </w:rPr>
        <w:drawing>
          <wp:inline distT="0" distB="0" distL="0" distR="0" wp14:anchorId="3B0EC7FE" wp14:editId="411B3B08">
            <wp:extent cx="2837146" cy="2119075"/>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0006" cy="2128680"/>
                    </a:xfrm>
                    <a:prstGeom prst="rect">
                      <a:avLst/>
                    </a:prstGeom>
                    <a:noFill/>
                  </pic:spPr>
                </pic:pic>
              </a:graphicData>
            </a:graphic>
          </wp:inline>
        </w:drawing>
      </w:r>
    </w:p>
    <w:p w14:paraId="677C9EA6" w14:textId="77777777" w:rsidR="009D3C01" w:rsidRPr="00207E6C" w:rsidRDefault="009D3C01" w:rsidP="000C1B2F">
      <w:pPr>
        <w:pBdr>
          <w:top w:val="single" w:sz="4" w:space="1" w:color="auto"/>
          <w:left w:val="single" w:sz="4" w:space="4" w:color="auto"/>
          <w:bottom w:val="single" w:sz="4" w:space="1" w:color="auto"/>
          <w:right w:val="single" w:sz="4" w:space="4" w:color="auto"/>
        </w:pBdr>
        <w:spacing w:line="360" w:lineRule="auto"/>
        <w:jc w:val="center"/>
        <w:rPr>
          <w:rFonts w:asciiTheme="majorBidi" w:hAnsiTheme="majorBidi"/>
          <w:lang w:bidi="ar-QA"/>
        </w:rPr>
      </w:pPr>
      <w:r w:rsidRPr="00207E6C">
        <w:rPr>
          <w:rFonts w:asciiTheme="majorBidi" w:hAnsiTheme="majorBidi"/>
          <w:noProof/>
          <w:lang w:bidi="ar-QA"/>
        </w:rPr>
        <w:lastRenderedPageBreak/>
        <w:drawing>
          <wp:inline distT="0" distB="0" distL="0" distR="0" wp14:anchorId="4CB480FD" wp14:editId="43C55701">
            <wp:extent cx="2822888" cy="2184156"/>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7021" cy="2195091"/>
                    </a:xfrm>
                    <a:prstGeom prst="rect">
                      <a:avLst/>
                    </a:prstGeom>
                    <a:noFill/>
                  </pic:spPr>
                </pic:pic>
              </a:graphicData>
            </a:graphic>
          </wp:inline>
        </w:drawing>
      </w:r>
    </w:p>
    <w:p w14:paraId="32DF3ECA" w14:textId="77777777" w:rsidR="009D3C01" w:rsidRPr="00207E6C" w:rsidRDefault="009D3C01" w:rsidP="009D3C01">
      <w:pPr>
        <w:pBdr>
          <w:top w:val="single" w:sz="4" w:space="1" w:color="auto"/>
          <w:left w:val="single" w:sz="4" w:space="4" w:color="auto"/>
          <w:bottom w:val="single" w:sz="4" w:space="1" w:color="auto"/>
          <w:right w:val="single" w:sz="4" w:space="4" w:color="auto"/>
        </w:pBdr>
        <w:spacing w:line="360" w:lineRule="auto"/>
        <w:jc w:val="both"/>
        <w:rPr>
          <w:rFonts w:asciiTheme="majorBidi" w:hAnsiTheme="majorBidi"/>
          <w:lang w:bidi="ar-QA"/>
        </w:rPr>
      </w:pPr>
      <w:r w:rsidRPr="00207E6C">
        <w:rPr>
          <w:rFonts w:asciiTheme="majorBidi" w:hAnsiTheme="majorBidi"/>
          <w:b/>
          <w:bCs/>
          <w:lang w:bidi="ar-QA"/>
        </w:rPr>
        <w:t>Fig. A1.</w:t>
      </w:r>
      <w:r w:rsidRPr="00207E6C">
        <w:rPr>
          <w:rFonts w:asciiTheme="majorBidi" w:hAnsiTheme="majorBidi"/>
          <w:lang w:bidi="ar-QA"/>
        </w:rPr>
        <w:t xml:space="preserve"> Relationship between carbon capture rate (CC) and (a) specific CAPEX, (b) specific OPEX, and CO2 intensity of SMR hydrogen production system.</w:t>
      </w:r>
    </w:p>
    <w:p w14:paraId="3978A838" w14:textId="77777777" w:rsidR="009D3C01" w:rsidRPr="00207E6C" w:rsidRDefault="009D3C01" w:rsidP="009D3C01">
      <w:pPr>
        <w:spacing w:line="360" w:lineRule="auto"/>
        <w:jc w:val="both"/>
        <w:rPr>
          <w:rFonts w:asciiTheme="majorBidi" w:hAnsiTheme="majorBidi"/>
          <w:sz w:val="24"/>
          <w:szCs w:val="24"/>
          <w:lang w:val="en-GB"/>
        </w:rPr>
      </w:pPr>
      <w:r w:rsidRPr="00207E6C">
        <w:rPr>
          <w:rFonts w:asciiTheme="majorBidi" w:hAnsiTheme="majorBidi"/>
          <w:sz w:val="24"/>
          <w:szCs w:val="24"/>
          <w:lang w:val="en-GB"/>
        </w:rPr>
        <w:t>Similarly, the CO2 intensity is plotted versus the CC rates (at 52% and 85%) as shown in Fig. A1(c). Then, the trend line equation can be used to calculate the intensity at other CC rates as shown in Eqn. A3.</w:t>
      </w:r>
    </w:p>
    <w:p w14:paraId="64DA4834" w14:textId="14046B24" w:rsidR="009D3C01" w:rsidRDefault="006D4BC4" w:rsidP="009D3C01">
      <w:pPr>
        <w:spacing w:line="360" w:lineRule="auto"/>
        <w:jc w:val="both"/>
        <w:rPr>
          <w:rFonts w:asciiTheme="majorBidi" w:eastAsiaTheme="minorEastAsia" w:hAnsiTheme="majorBidi"/>
          <w:lang w:val="en-GB"/>
        </w:rPr>
      </w:pPr>
      <m:oMath>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CO</m:t>
                </m:r>
              </m:e>
              <m:sub>
                <m:r>
                  <w:rPr>
                    <w:rFonts w:ascii="Cambria Math" w:hAnsi="Cambria Math"/>
                    <w:lang w:val="en-GB"/>
                  </w:rPr>
                  <m:t>2</m:t>
                </m:r>
              </m:sub>
            </m:sSub>
            <m:r>
              <w:rPr>
                <w:rFonts w:ascii="Cambria Math" w:hAnsi="Cambria Math"/>
                <w:lang w:val="en-GB"/>
              </w:rPr>
              <m:t xml:space="preserve"> Intensity</m:t>
            </m:r>
          </m:e>
          <m:sub>
            <m:r>
              <w:rPr>
                <w:rFonts w:ascii="Cambria Math" w:hAnsi="Cambria Math"/>
                <w:lang w:val="en-GB"/>
              </w:rPr>
              <m:t>H2,production</m:t>
            </m:r>
          </m:sub>
        </m:sSub>
        <m:r>
          <w:rPr>
            <w:rFonts w:ascii="Cambria Math" w:hAnsi="Cambria Math"/>
            <w:lang w:val="en-GB"/>
          </w:rPr>
          <m:t xml:space="preserve"> </m:t>
        </m:r>
        <m:d>
          <m:dPr>
            <m:begChr m:val="["/>
            <m:endChr m:val="]"/>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kg</m:t>
                    </m:r>
                  </m:e>
                  <m:sub>
                    <m:sSub>
                      <m:sSubPr>
                        <m:ctrlPr>
                          <w:rPr>
                            <w:rFonts w:ascii="Cambria Math" w:hAnsi="Cambria Math"/>
                            <w:i/>
                            <w:lang w:val="en-GB"/>
                          </w:rPr>
                        </m:ctrlPr>
                      </m:sSubPr>
                      <m:e>
                        <m:r>
                          <w:rPr>
                            <w:rFonts w:ascii="Cambria Math" w:hAnsi="Cambria Math"/>
                            <w:lang w:val="en-GB"/>
                          </w:rPr>
                          <m:t>CO</m:t>
                        </m:r>
                      </m:e>
                      <m:sub>
                        <m:r>
                          <w:rPr>
                            <w:rFonts w:ascii="Cambria Math" w:hAnsi="Cambria Math"/>
                            <w:lang w:val="en-GB"/>
                          </w:rPr>
                          <m:t>2</m:t>
                        </m:r>
                      </m:sub>
                    </m:sSub>
                  </m:sub>
                </m:sSub>
              </m:num>
              <m:den>
                <m:sSub>
                  <m:sSubPr>
                    <m:ctrlPr>
                      <w:rPr>
                        <w:rFonts w:ascii="Cambria Math" w:hAnsi="Cambria Math"/>
                        <w:i/>
                        <w:lang w:val="en-GB"/>
                      </w:rPr>
                    </m:ctrlPr>
                  </m:sSubPr>
                  <m:e>
                    <m:r>
                      <w:rPr>
                        <w:rFonts w:ascii="Cambria Math" w:hAnsi="Cambria Math"/>
                        <w:lang w:val="en-GB"/>
                      </w:rPr>
                      <m:t>kg</m:t>
                    </m:r>
                  </m:e>
                  <m:sub>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2</m:t>
                        </m:r>
                      </m:sub>
                    </m:sSub>
                  </m:sub>
                </m:sSub>
              </m:den>
            </m:f>
          </m:e>
        </m:d>
        <m:r>
          <w:rPr>
            <w:rFonts w:ascii="Cambria Math" w:hAnsi="Cambria Math"/>
            <w:lang w:val="en-GB"/>
          </w:rPr>
          <m:t>=10.63-0.0467×CC[%]</m:t>
        </m:r>
      </m:oMath>
      <w:r w:rsidR="009D3C01" w:rsidRPr="00207E6C">
        <w:rPr>
          <w:rFonts w:asciiTheme="majorBidi" w:eastAsiaTheme="minorEastAsia" w:hAnsiTheme="majorBidi"/>
          <w:lang w:val="en-GB"/>
        </w:rPr>
        <w:t xml:space="preserve">                                                  (A3)</w:t>
      </w:r>
    </w:p>
    <w:p w14:paraId="088EF562" w14:textId="55ADA1F5" w:rsidR="006D4BC4" w:rsidRPr="006D4BC4" w:rsidRDefault="006D4BC4" w:rsidP="009D3C01">
      <w:pPr>
        <w:spacing w:line="360" w:lineRule="auto"/>
        <w:jc w:val="both"/>
        <w:rPr>
          <w:rFonts w:asciiTheme="majorBidi" w:eastAsiaTheme="minorEastAsia" w:hAnsiTheme="majorBidi"/>
          <w:b/>
          <w:bCs/>
          <w:sz w:val="24"/>
          <w:szCs w:val="24"/>
          <w:lang w:val="en-GB"/>
        </w:rPr>
      </w:pPr>
      <w:r w:rsidRPr="006D4BC4">
        <w:rPr>
          <w:rFonts w:asciiTheme="majorBidi" w:eastAsiaTheme="minorEastAsia" w:hAnsiTheme="majorBidi"/>
          <w:b/>
          <w:bCs/>
          <w:sz w:val="24"/>
          <w:szCs w:val="24"/>
          <w:lang w:val="en-GB"/>
        </w:rPr>
        <w:t>References</w:t>
      </w:r>
      <w:bookmarkStart w:id="0" w:name="_GoBack"/>
      <w:bookmarkEnd w:id="0"/>
    </w:p>
    <w:p w14:paraId="58D5018C" w14:textId="41A717B5" w:rsidR="006D4BC4" w:rsidRPr="006D4BC4" w:rsidRDefault="006D4BC4" w:rsidP="006D4BC4">
      <w:pPr>
        <w:widowControl w:val="0"/>
        <w:autoSpaceDE w:val="0"/>
        <w:autoSpaceDN w:val="0"/>
        <w:adjustRightInd w:val="0"/>
        <w:spacing w:line="240" w:lineRule="auto"/>
        <w:ind w:left="640" w:hanging="640"/>
        <w:jc w:val="both"/>
        <w:rPr>
          <w:rFonts w:asciiTheme="majorBidi" w:hAnsiTheme="majorBidi" w:cstheme="majorBidi"/>
          <w:noProof/>
          <w:sz w:val="24"/>
          <w:szCs w:val="24"/>
        </w:rPr>
      </w:pPr>
      <w:r w:rsidRPr="006D4BC4">
        <w:rPr>
          <w:rFonts w:asciiTheme="majorBidi" w:hAnsiTheme="majorBidi" w:cstheme="majorBidi"/>
          <w:sz w:val="24"/>
          <w:szCs w:val="24"/>
        </w:rPr>
        <w:fldChar w:fldCharType="begin" w:fldLock="1"/>
      </w:r>
      <w:r w:rsidRPr="006D4BC4">
        <w:rPr>
          <w:rFonts w:asciiTheme="majorBidi" w:hAnsiTheme="majorBidi" w:cstheme="majorBidi"/>
          <w:sz w:val="24"/>
          <w:szCs w:val="24"/>
        </w:rPr>
        <w:instrText xml:space="preserve">ADDIN Mendeley Bibliography CSL_BIBLIOGRAPHY </w:instrText>
      </w:r>
      <w:r w:rsidRPr="006D4BC4">
        <w:rPr>
          <w:rFonts w:asciiTheme="majorBidi" w:hAnsiTheme="majorBidi" w:cstheme="majorBidi"/>
          <w:sz w:val="24"/>
          <w:szCs w:val="24"/>
        </w:rPr>
        <w:fldChar w:fldCharType="separate"/>
      </w:r>
      <w:r w:rsidRPr="006D4BC4">
        <w:rPr>
          <w:rFonts w:asciiTheme="majorBidi" w:hAnsiTheme="majorBidi" w:cstheme="majorBidi"/>
          <w:noProof/>
          <w:sz w:val="24"/>
          <w:szCs w:val="24"/>
        </w:rPr>
        <w:t>[1]</w:t>
      </w:r>
      <w:r w:rsidRPr="006D4BC4">
        <w:rPr>
          <w:rFonts w:asciiTheme="majorBidi" w:hAnsiTheme="majorBidi" w:cstheme="majorBidi"/>
          <w:noProof/>
          <w:sz w:val="24"/>
          <w:szCs w:val="24"/>
        </w:rPr>
        <w:tab/>
        <w:t xml:space="preserve">C. Igboanusi, H. O. Amuji, O. G. Onukwube, and N. A. Chikadibia, “Global optimal vessel capacity for LNG production and transportation,” </w:t>
      </w:r>
      <w:r w:rsidRPr="006D4BC4">
        <w:rPr>
          <w:rFonts w:asciiTheme="majorBidi" w:hAnsiTheme="majorBidi" w:cstheme="majorBidi"/>
          <w:i/>
          <w:iCs/>
          <w:noProof/>
          <w:sz w:val="24"/>
          <w:szCs w:val="24"/>
        </w:rPr>
        <w:t>J. Sustain. Dev. Transp. Logist.</w:t>
      </w:r>
      <w:r w:rsidRPr="006D4BC4">
        <w:rPr>
          <w:rFonts w:asciiTheme="majorBidi" w:hAnsiTheme="majorBidi" w:cstheme="majorBidi"/>
          <w:noProof/>
          <w:sz w:val="24"/>
          <w:szCs w:val="24"/>
        </w:rPr>
        <w:t>, vol. 7, no. 1, pp. 82–89, 2022, doi: 10.14254/jsdtl.2022.7-1.7.</w:t>
      </w:r>
    </w:p>
    <w:p w14:paraId="7EA93C7C" w14:textId="77777777" w:rsidR="006D4BC4" w:rsidRPr="006D4BC4" w:rsidRDefault="006D4BC4" w:rsidP="006D4BC4">
      <w:pPr>
        <w:widowControl w:val="0"/>
        <w:autoSpaceDE w:val="0"/>
        <w:autoSpaceDN w:val="0"/>
        <w:adjustRightInd w:val="0"/>
        <w:spacing w:line="240" w:lineRule="auto"/>
        <w:ind w:left="640" w:hanging="640"/>
        <w:jc w:val="both"/>
        <w:rPr>
          <w:rFonts w:asciiTheme="majorBidi" w:hAnsiTheme="majorBidi" w:cstheme="majorBidi"/>
          <w:noProof/>
          <w:sz w:val="24"/>
          <w:szCs w:val="24"/>
        </w:rPr>
      </w:pPr>
      <w:r w:rsidRPr="006D4BC4">
        <w:rPr>
          <w:rFonts w:asciiTheme="majorBidi" w:hAnsiTheme="majorBidi" w:cstheme="majorBidi"/>
          <w:noProof/>
          <w:sz w:val="24"/>
          <w:szCs w:val="24"/>
        </w:rPr>
        <w:t>[2]</w:t>
      </w:r>
      <w:r w:rsidRPr="006D4BC4">
        <w:rPr>
          <w:rFonts w:asciiTheme="majorBidi" w:hAnsiTheme="majorBidi" w:cstheme="majorBidi"/>
          <w:noProof/>
          <w:sz w:val="24"/>
          <w:szCs w:val="24"/>
        </w:rPr>
        <w:tab/>
        <w:t xml:space="preserve">A. Okunlola, T. Giwa, G. Di Lullo, M. Davis, E. Gemechu, and A. Kumar, “Techno-economic assessment of low-carbon hydrogen export from Western Canada to Eastern Canada, the USA, the Asia-Pacific, and Europe,” </w:t>
      </w:r>
      <w:r w:rsidRPr="006D4BC4">
        <w:rPr>
          <w:rFonts w:asciiTheme="majorBidi" w:hAnsiTheme="majorBidi" w:cstheme="majorBidi"/>
          <w:i/>
          <w:iCs/>
          <w:noProof/>
          <w:sz w:val="24"/>
          <w:szCs w:val="24"/>
        </w:rPr>
        <w:t>Int. J. Hydrogen Energy</w:t>
      </w:r>
      <w:r w:rsidRPr="006D4BC4">
        <w:rPr>
          <w:rFonts w:asciiTheme="majorBidi" w:hAnsiTheme="majorBidi" w:cstheme="majorBidi"/>
          <w:noProof/>
          <w:sz w:val="24"/>
          <w:szCs w:val="24"/>
        </w:rPr>
        <w:t>, vol. 47, no. 10, pp. 6453–6477, 2022, doi: https://doi.org/10.1016/j.ijhydene.2021.12.025.</w:t>
      </w:r>
    </w:p>
    <w:p w14:paraId="3D825F14" w14:textId="77777777" w:rsidR="006D4BC4" w:rsidRPr="006D4BC4" w:rsidRDefault="006D4BC4" w:rsidP="006D4BC4">
      <w:pPr>
        <w:widowControl w:val="0"/>
        <w:autoSpaceDE w:val="0"/>
        <w:autoSpaceDN w:val="0"/>
        <w:adjustRightInd w:val="0"/>
        <w:spacing w:line="240" w:lineRule="auto"/>
        <w:ind w:left="640" w:hanging="640"/>
        <w:jc w:val="both"/>
        <w:rPr>
          <w:rFonts w:asciiTheme="majorBidi" w:hAnsiTheme="majorBidi" w:cstheme="majorBidi"/>
          <w:noProof/>
          <w:sz w:val="24"/>
          <w:szCs w:val="24"/>
        </w:rPr>
      </w:pPr>
      <w:r w:rsidRPr="006D4BC4">
        <w:rPr>
          <w:rFonts w:asciiTheme="majorBidi" w:hAnsiTheme="majorBidi" w:cstheme="majorBidi"/>
          <w:noProof/>
          <w:sz w:val="24"/>
          <w:szCs w:val="24"/>
        </w:rPr>
        <w:t>[3]</w:t>
      </w:r>
      <w:r w:rsidRPr="006D4BC4">
        <w:rPr>
          <w:rFonts w:asciiTheme="majorBidi" w:hAnsiTheme="majorBidi" w:cstheme="majorBidi"/>
          <w:noProof/>
          <w:sz w:val="24"/>
          <w:szCs w:val="24"/>
        </w:rPr>
        <w:tab/>
        <w:t xml:space="preserve">A. K. Sleiti, W. A. Al-Ammari, F. Musharavati, and M. Azizur Rahman, “Techno-economic assessment of low-carbon hydrogen exports from the Middle East to the Asia-Pacific, and Europe,” </w:t>
      </w:r>
      <w:r w:rsidRPr="006D4BC4">
        <w:rPr>
          <w:rFonts w:asciiTheme="majorBidi" w:hAnsiTheme="majorBidi" w:cstheme="majorBidi"/>
          <w:i/>
          <w:iCs/>
          <w:noProof/>
          <w:sz w:val="24"/>
          <w:szCs w:val="24"/>
        </w:rPr>
        <w:t>Energy Sources, Part B Econ. Planning, Policy</w:t>
      </w:r>
      <w:r w:rsidRPr="006D4BC4">
        <w:rPr>
          <w:rFonts w:asciiTheme="majorBidi" w:hAnsiTheme="majorBidi" w:cstheme="majorBidi"/>
          <w:noProof/>
          <w:sz w:val="24"/>
          <w:szCs w:val="24"/>
        </w:rPr>
        <w:t>, vol. 18, no. 1, p. 2254764, Dec. 2023, doi: 10.1080/15567249.2023.2254764.</w:t>
      </w:r>
    </w:p>
    <w:p w14:paraId="70476CFE" w14:textId="33CAE909" w:rsidR="003461A0" w:rsidRPr="00207E6C" w:rsidRDefault="006D4BC4" w:rsidP="006D4BC4">
      <w:pPr>
        <w:jc w:val="both"/>
      </w:pPr>
      <w:r w:rsidRPr="006D4BC4">
        <w:rPr>
          <w:rFonts w:asciiTheme="majorBidi" w:hAnsiTheme="majorBidi" w:cstheme="majorBidi"/>
          <w:sz w:val="24"/>
          <w:szCs w:val="24"/>
        </w:rPr>
        <w:fldChar w:fldCharType="end"/>
      </w:r>
    </w:p>
    <w:sectPr w:rsidR="003461A0" w:rsidRPr="00207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599"/>
    <w:rsid w:val="000C1B2F"/>
    <w:rsid w:val="00207E6C"/>
    <w:rsid w:val="002A32D7"/>
    <w:rsid w:val="002C0599"/>
    <w:rsid w:val="003461A0"/>
    <w:rsid w:val="00373FE0"/>
    <w:rsid w:val="0052618F"/>
    <w:rsid w:val="00556E3E"/>
    <w:rsid w:val="006D4BC4"/>
    <w:rsid w:val="00760EC1"/>
    <w:rsid w:val="00965EB7"/>
    <w:rsid w:val="009D3C01"/>
    <w:rsid w:val="00A625AA"/>
    <w:rsid w:val="00AC232E"/>
    <w:rsid w:val="00AD6E19"/>
    <w:rsid w:val="00CA1B98"/>
    <w:rsid w:val="00DD69AD"/>
    <w:rsid w:val="00F10B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C594"/>
  <w15:chartTrackingRefBased/>
  <w15:docId w15:val="{BF24E35F-2B9D-4EDA-A105-CAED8369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3C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BD985-AB95-48A7-9AC7-3FCF2286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Laveet Kumar</dc:creator>
  <cp:keywords/>
  <dc:description/>
  <cp:lastModifiedBy>Laveet Kumar</cp:lastModifiedBy>
  <cp:revision>8</cp:revision>
  <dcterms:created xsi:type="dcterms:W3CDTF">2024-11-10T05:13:00Z</dcterms:created>
  <dcterms:modified xsi:type="dcterms:W3CDTF">2024-12-26T11:38:00Z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http://www.zotero.org/styles/applied-energy</vt:lpwstr>
  </property>
  <property fmtid="{D5CDD505-2E9C-101B-9397-08002B2CF9AE}" pid="11" name="Mendeley Recent Style Name 4_1">
    <vt:lpwstr>Applied Energy</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12th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http://www.zotero.org/styles/renewable-and-sustainable-energy-reviews</vt:lpwstr>
  </property>
  <property fmtid="{D5CDD505-2E9C-101B-9397-08002B2CF9AE}" pid="21" name="Mendeley Recent Style Name 9_1">
    <vt:lpwstr>Renewable and Sustainable Energy Reviews</vt:lpwstr>
  </property>
  <property fmtid="{D5CDD505-2E9C-101B-9397-08002B2CF9AE}" pid="22" name="Mendeley Document_1">
    <vt:lpwstr>True</vt:lpwstr>
  </property>
  <property fmtid="{D5CDD505-2E9C-101B-9397-08002B2CF9AE}" pid="23" name="Mendeley Unique User Id_1">
    <vt:lpwstr>cad2e0f8-311d-3550-a66c-09231e607e07</vt:lpwstr>
  </property>
  <property fmtid="{D5CDD505-2E9C-101B-9397-08002B2CF9AE}" pid="24" name="Mendeley Citation Style_1">
    <vt:lpwstr>http://www.zotero.org/styles/ieee</vt:lpwstr>
  </property>
</Properties>
</file>