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43296" w14:textId="62D2F061" w:rsidR="00985492" w:rsidRDefault="00F64B81" w:rsidP="001B6E43">
      <w:pPr>
        <w:jc w:val="center"/>
        <w:rPr>
          <w:rFonts w:asciiTheme="majorBidi" w:hAnsiTheme="majorBidi" w:cstheme="majorBidi"/>
          <w:sz w:val="40"/>
          <w:szCs w:val="40"/>
        </w:rPr>
      </w:pPr>
      <w:r>
        <w:rPr>
          <w:rFonts w:asciiTheme="majorBidi" w:hAnsiTheme="majorBidi" w:cstheme="majorBidi"/>
          <w:sz w:val="40"/>
          <w:szCs w:val="40"/>
        </w:rPr>
        <w:t>Supplementary Material</w:t>
      </w:r>
    </w:p>
    <w:p w14:paraId="7602C1D5" w14:textId="77777777" w:rsidR="00073F90" w:rsidRPr="001B6E43" w:rsidRDefault="00073F90" w:rsidP="00073F90">
      <w:pPr>
        <w:rPr>
          <w:rFonts w:asciiTheme="majorBidi" w:hAnsiTheme="majorBidi" w:cstheme="majorBidi"/>
          <w:sz w:val="40"/>
          <w:szCs w:val="40"/>
        </w:rPr>
      </w:pPr>
    </w:p>
    <w:p w14:paraId="57ED02BB" w14:textId="74CB46E1" w:rsidR="002579F8" w:rsidRPr="00CE5132" w:rsidRDefault="00073F90" w:rsidP="00073F90">
      <w:pPr>
        <w:spacing w:line="360" w:lineRule="auto"/>
        <w:jc w:val="center"/>
        <w:rPr>
          <w:rFonts w:asciiTheme="majorBidi" w:hAnsiTheme="majorBidi" w:cstheme="majorBidi"/>
          <w:sz w:val="32"/>
          <w:szCs w:val="32"/>
        </w:rPr>
      </w:pPr>
      <w:r w:rsidRPr="0000741A">
        <w:rPr>
          <w:rFonts w:ascii="Times New Roman" w:eastAsia="Times New Roman" w:hAnsi="Times New Roman" w:cs="Times New Roman"/>
          <w:b/>
          <w:sz w:val="24"/>
          <w:szCs w:val="24"/>
        </w:rPr>
        <w:t>A novel design for battery cooling based on highly thermally conductive phase change composites encapsulated by 3D printed polyethylene/boron nitride layer</w:t>
      </w:r>
      <w:r w:rsidR="002579F8" w:rsidRPr="00CE5132">
        <w:rPr>
          <w:rFonts w:asciiTheme="majorBidi" w:hAnsiTheme="majorBidi" w:cstheme="majorBidi"/>
          <w:sz w:val="32"/>
          <w:szCs w:val="32"/>
        </w:rPr>
        <w:t xml:space="preserve"> </w:t>
      </w:r>
    </w:p>
    <w:p w14:paraId="48059E85" w14:textId="3CB2B833" w:rsidR="00073F90" w:rsidRPr="00DE0E17" w:rsidRDefault="00073F90" w:rsidP="00073F90">
      <w:pPr>
        <w:spacing w:line="360" w:lineRule="auto"/>
        <w:jc w:val="center"/>
      </w:pPr>
      <w:r w:rsidRPr="00DE0E17">
        <w:rPr>
          <w:rFonts w:ascii="Times New Roman" w:eastAsia="Times New Roman" w:hAnsi="Times New Roman" w:cs="Times New Roman"/>
          <w:i/>
          <w:sz w:val="24"/>
          <w:szCs w:val="24"/>
        </w:rPr>
        <w:t xml:space="preserve">Safna Nishad </w:t>
      </w:r>
      <w:r w:rsidRPr="00DE0E17">
        <w:rPr>
          <w:rFonts w:ascii="Times New Roman" w:eastAsia="Times New Roman" w:hAnsi="Times New Roman" w:cs="Times New Roman"/>
          <w:i/>
          <w:sz w:val="24"/>
          <w:szCs w:val="24"/>
          <w:vertAlign w:val="superscript"/>
        </w:rPr>
        <w:t>a</w:t>
      </w:r>
      <w:r w:rsidRPr="00DE0E17">
        <w:rPr>
          <w:rFonts w:ascii="Times New Roman" w:eastAsia="Times New Roman" w:hAnsi="Times New Roman" w:cs="Times New Roman"/>
          <w:i/>
          <w:sz w:val="24"/>
          <w:szCs w:val="24"/>
        </w:rPr>
        <w:t xml:space="preserve">, </w:t>
      </w:r>
      <w:bookmarkStart w:id="0" w:name="_Hlk165896554"/>
      <w:r w:rsidRPr="00CF0D36">
        <w:rPr>
          <w:rFonts w:ascii="Times New Roman" w:eastAsia="Times New Roman" w:hAnsi="Times New Roman" w:cs="Times New Roman"/>
          <w:i/>
          <w:sz w:val="24"/>
          <w:szCs w:val="24"/>
        </w:rPr>
        <w:t xml:space="preserve">Hend </w:t>
      </w:r>
      <w:r w:rsidR="001F5B38">
        <w:rPr>
          <w:rFonts w:ascii="Times New Roman" w:eastAsia="Times New Roman" w:hAnsi="Times New Roman" w:cs="Times New Roman"/>
          <w:i/>
          <w:sz w:val="24"/>
          <w:szCs w:val="24"/>
        </w:rPr>
        <w:t xml:space="preserve">M. </w:t>
      </w:r>
      <w:proofErr w:type="spellStart"/>
      <w:r w:rsidR="001F5B38">
        <w:rPr>
          <w:rFonts w:ascii="Times New Roman" w:eastAsia="Times New Roman" w:hAnsi="Times New Roman" w:cs="Times New Roman"/>
          <w:i/>
          <w:sz w:val="24"/>
          <w:szCs w:val="24"/>
        </w:rPr>
        <w:t>El</w:t>
      </w:r>
      <w:r w:rsidRPr="00CF0D36">
        <w:rPr>
          <w:rFonts w:ascii="Times New Roman" w:eastAsia="Times New Roman" w:hAnsi="Times New Roman" w:cs="Times New Roman"/>
          <w:i/>
          <w:sz w:val="24"/>
          <w:szCs w:val="24"/>
        </w:rPr>
        <w:t>mo</w:t>
      </w:r>
      <w:r w:rsidR="001F5B38">
        <w:rPr>
          <w:rFonts w:ascii="Times New Roman" w:eastAsia="Times New Roman" w:hAnsi="Times New Roman" w:cs="Times New Roman"/>
          <w:i/>
          <w:sz w:val="24"/>
          <w:szCs w:val="24"/>
        </w:rPr>
        <w:t>u</w:t>
      </w:r>
      <w:r w:rsidRPr="00CF0D36">
        <w:rPr>
          <w:rFonts w:ascii="Times New Roman" w:eastAsia="Times New Roman" w:hAnsi="Times New Roman" w:cs="Times New Roman"/>
          <w:i/>
          <w:sz w:val="24"/>
          <w:szCs w:val="24"/>
        </w:rPr>
        <w:t>ghni</w:t>
      </w:r>
      <w:proofErr w:type="spellEnd"/>
      <w:r w:rsidRPr="00CF0D36">
        <w:rPr>
          <w:rFonts w:ascii="Times New Roman" w:eastAsia="Times New Roman" w:hAnsi="Times New Roman" w:cs="Times New Roman"/>
          <w:i/>
          <w:sz w:val="24"/>
          <w:szCs w:val="24"/>
        </w:rPr>
        <w:t xml:space="preserve"> </w:t>
      </w:r>
      <w:r w:rsidRPr="00CF0D36">
        <w:rPr>
          <w:rFonts w:ascii="Times New Roman" w:eastAsia="Times New Roman" w:hAnsi="Times New Roman" w:cs="Times New Roman"/>
          <w:i/>
          <w:sz w:val="24"/>
          <w:szCs w:val="24"/>
          <w:vertAlign w:val="superscript"/>
        </w:rPr>
        <w:t>a</w:t>
      </w:r>
      <w:r w:rsidRPr="00DE0E17">
        <w:rPr>
          <w:rFonts w:ascii="Times New Roman" w:eastAsia="Times New Roman" w:hAnsi="Times New Roman" w:cs="Times New Roman"/>
          <w:i/>
          <w:sz w:val="24"/>
          <w:szCs w:val="24"/>
        </w:rPr>
        <w:t>,</w:t>
      </w:r>
      <w:r w:rsidRPr="004253DA">
        <w:t xml:space="preserve"> </w:t>
      </w:r>
      <w:r w:rsidRPr="00B45227">
        <w:rPr>
          <w:rFonts w:ascii="Times New Roman" w:eastAsia="Times New Roman" w:hAnsi="Times New Roman" w:cs="Times New Roman"/>
          <w:i/>
          <w:sz w:val="24"/>
          <w:szCs w:val="24"/>
        </w:rPr>
        <w:t xml:space="preserve">Rana </w:t>
      </w:r>
      <w:r w:rsidRPr="004253DA">
        <w:rPr>
          <w:rFonts w:ascii="Times New Roman" w:eastAsia="Times New Roman" w:hAnsi="Times New Roman" w:cs="Times New Roman"/>
          <w:i/>
          <w:sz w:val="24"/>
          <w:szCs w:val="24"/>
        </w:rPr>
        <w:t>Abdul Shakoor</w:t>
      </w:r>
      <w:r w:rsidRPr="004253DA">
        <w:rPr>
          <w:rFonts w:ascii="Times New Roman" w:eastAsia="Times New Roman" w:hAnsi="Times New Roman" w:cs="Times New Roman"/>
          <w:i/>
          <w:sz w:val="24"/>
          <w:szCs w:val="24"/>
          <w:vertAlign w:val="superscript"/>
        </w:rPr>
        <w:t xml:space="preserve"> </w:t>
      </w:r>
      <w:r w:rsidRPr="00CF0D36">
        <w:rPr>
          <w:rFonts w:ascii="Times New Roman" w:eastAsia="Times New Roman" w:hAnsi="Times New Roman" w:cs="Times New Roman"/>
          <w:i/>
          <w:sz w:val="24"/>
          <w:szCs w:val="24"/>
          <w:vertAlign w:val="superscript"/>
        </w:rPr>
        <w:t>a</w:t>
      </w:r>
      <w:r>
        <w:rPr>
          <w:rFonts w:ascii="Times New Roman" w:eastAsia="Times New Roman" w:hAnsi="Times New Roman" w:cs="Times New Roman"/>
          <w:i/>
          <w:sz w:val="24"/>
          <w:szCs w:val="24"/>
          <w:vertAlign w:val="superscript"/>
        </w:rPr>
        <w:t>b</w:t>
      </w:r>
      <w:r>
        <w:rPr>
          <w:rFonts w:ascii="Times New Roman" w:eastAsia="Times New Roman" w:hAnsi="Times New Roman" w:cs="Times New Roman"/>
          <w:i/>
          <w:sz w:val="24"/>
          <w:szCs w:val="24"/>
        </w:rPr>
        <w:t xml:space="preserve">, </w:t>
      </w:r>
      <w:r w:rsidRPr="004253DA">
        <w:rPr>
          <w:rFonts w:ascii="Times New Roman" w:eastAsia="Times New Roman" w:hAnsi="Times New Roman" w:cs="Times New Roman"/>
          <w:i/>
          <w:sz w:val="24"/>
          <w:szCs w:val="24"/>
        </w:rPr>
        <w:t>Zawar Alam Qureshi</w:t>
      </w:r>
      <w:r w:rsidRPr="004253DA">
        <w:rPr>
          <w:rFonts w:ascii="Times New Roman" w:eastAsia="Times New Roman" w:hAnsi="Times New Roman" w:cs="Times New Roman"/>
          <w:i/>
          <w:sz w:val="24"/>
          <w:szCs w:val="24"/>
          <w:vertAlign w:val="superscript"/>
        </w:rPr>
        <w:t xml:space="preserve"> </w:t>
      </w:r>
      <w:r w:rsidRPr="00CF0D36">
        <w:rPr>
          <w:rFonts w:ascii="Times New Roman" w:eastAsia="Times New Roman" w:hAnsi="Times New Roman" w:cs="Times New Roman"/>
          <w:i/>
          <w:sz w:val="24"/>
          <w:szCs w:val="24"/>
          <w:vertAlign w:val="superscript"/>
        </w:rPr>
        <w:t>a</w:t>
      </w:r>
      <w:r>
        <w:rPr>
          <w:rFonts w:ascii="Times New Roman" w:eastAsia="Times New Roman" w:hAnsi="Times New Roman" w:cs="Times New Roman"/>
          <w:i/>
          <w:sz w:val="24"/>
          <w:szCs w:val="24"/>
        </w:rPr>
        <w:t xml:space="preserve">, </w:t>
      </w:r>
      <w:r w:rsidRPr="004253DA">
        <w:rPr>
          <w:rFonts w:ascii="Times New Roman" w:eastAsia="Times New Roman" w:hAnsi="Times New Roman" w:cs="Times New Roman"/>
          <w:i/>
          <w:sz w:val="24"/>
          <w:szCs w:val="24"/>
        </w:rPr>
        <w:t>Buzaina Moossa</w:t>
      </w:r>
      <w:r w:rsidRPr="004253DA">
        <w:rPr>
          <w:rFonts w:ascii="Times New Roman" w:eastAsia="Times New Roman" w:hAnsi="Times New Roman" w:cs="Times New Roman"/>
          <w:i/>
          <w:sz w:val="24"/>
          <w:szCs w:val="24"/>
          <w:vertAlign w:val="superscript"/>
        </w:rPr>
        <w:t xml:space="preserve"> </w:t>
      </w:r>
      <w:r w:rsidRPr="00CF0D36">
        <w:rPr>
          <w:rFonts w:ascii="Times New Roman" w:eastAsia="Times New Roman" w:hAnsi="Times New Roman" w:cs="Times New Roman"/>
          <w:i/>
          <w:sz w:val="24"/>
          <w:szCs w:val="24"/>
          <w:vertAlign w:val="superscript"/>
        </w:rPr>
        <w:t>a</w:t>
      </w:r>
      <w:r>
        <w:rPr>
          <w:rFonts w:ascii="Times New Roman" w:eastAsia="Times New Roman" w:hAnsi="Times New Roman" w:cs="Times New Roman"/>
          <w:i/>
          <w:sz w:val="24"/>
          <w:szCs w:val="24"/>
        </w:rPr>
        <w:t xml:space="preserve">, </w:t>
      </w:r>
      <w:r w:rsidRPr="00DE0E17">
        <w:rPr>
          <w:rFonts w:ascii="Times New Roman" w:eastAsia="Times New Roman" w:hAnsi="Times New Roman" w:cs="Times New Roman"/>
          <w:i/>
          <w:sz w:val="24"/>
          <w:szCs w:val="24"/>
        </w:rPr>
        <w:t xml:space="preserve">Igor Krupa </w:t>
      </w:r>
      <w:bookmarkEnd w:id="0"/>
      <w:r>
        <w:rPr>
          <w:rFonts w:ascii="Times New Roman" w:eastAsia="Times New Roman" w:hAnsi="Times New Roman" w:cs="Times New Roman"/>
          <w:i/>
          <w:sz w:val="24"/>
          <w:szCs w:val="24"/>
          <w:vertAlign w:val="superscript"/>
        </w:rPr>
        <w:t>ac</w:t>
      </w:r>
      <w:r w:rsidRPr="00DE0E17">
        <w:rPr>
          <w:rFonts w:ascii="Times New Roman" w:eastAsia="Times New Roman" w:hAnsi="Times New Roman" w:cs="Times New Roman"/>
          <w:i/>
          <w:sz w:val="24"/>
          <w:szCs w:val="24"/>
          <w:vertAlign w:val="superscript"/>
        </w:rPr>
        <w:t>*</w:t>
      </w:r>
    </w:p>
    <w:p w14:paraId="1A9F3115" w14:textId="77777777" w:rsidR="00073F90" w:rsidRPr="00DE0E17" w:rsidRDefault="00073F90" w:rsidP="00073F90">
      <w:pPr>
        <w:spacing w:after="0" w:line="360" w:lineRule="auto"/>
        <w:rPr>
          <w:rFonts w:ascii="Times New Roman" w:eastAsia="Times New Roman" w:hAnsi="Times New Roman" w:cs="Times New Roman"/>
          <w:i/>
          <w:sz w:val="20"/>
          <w:szCs w:val="20"/>
        </w:rPr>
      </w:pPr>
      <w:r w:rsidRPr="00DE0E17">
        <w:rPr>
          <w:rFonts w:ascii="Times New Roman" w:eastAsia="Times New Roman" w:hAnsi="Times New Roman" w:cs="Times New Roman"/>
          <w:i/>
          <w:sz w:val="20"/>
          <w:szCs w:val="20"/>
          <w:vertAlign w:val="superscript"/>
        </w:rPr>
        <w:t>a</w:t>
      </w:r>
      <w:r w:rsidRPr="00DE0E17">
        <w:rPr>
          <w:rFonts w:ascii="Times New Roman" w:eastAsia="Times New Roman" w:hAnsi="Times New Roman" w:cs="Times New Roman"/>
          <w:i/>
          <w:sz w:val="20"/>
          <w:szCs w:val="20"/>
        </w:rPr>
        <w:t xml:space="preserve"> Center for Advanced Materials, Qatar University, P.O. Box 2713, Doha, Qatar</w:t>
      </w:r>
    </w:p>
    <w:p w14:paraId="682AA128" w14:textId="77777777" w:rsidR="00073F90" w:rsidRDefault="00073F90" w:rsidP="00073F90">
      <w:pPr>
        <w:spacing w:after="0" w:line="36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vertAlign w:val="superscript"/>
        </w:rPr>
        <w:t>b</w:t>
      </w:r>
      <w:r w:rsidRPr="00DE0E17">
        <w:rPr>
          <w:rFonts w:ascii="Times New Roman" w:eastAsia="Times New Roman" w:hAnsi="Times New Roman" w:cs="Times New Roman"/>
          <w:i/>
          <w:sz w:val="20"/>
          <w:szCs w:val="20"/>
        </w:rPr>
        <w:t xml:space="preserve"> </w:t>
      </w:r>
      <w:r w:rsidRPr="00B45227">
        <w:rPr>
          <w:rFonts w:ascii="Times New Roman" w:eastAsia="Times New Roman" w:hAnsi="Times New Roman" w:cs="Times New Roman"/>
          <w:i/>
          <w:sz w:val="20"/>
          <w:szCs w:val="20"/>
        </w:rPr>
        <w:t>Dep</w:t>
      </w:r>
      <w:r>
        <w:rPr>
          <w:rFonts w:ascii="Times New Roman" w:eastAsia="Times New Roman" w:hAnsi="Times New Roman" w:cs="Times New Roman"/>
          <w:i/>
          <w:sz w:val="20"/>
          <w:szCs w:val="20"/>
        </w:rPr>
        <w:t>artment</w:t>
      </w:r>
      <w:r w:rsidRPr="00B45227">
        <w:rPr>
          <w:rFonts w:ascii="Times New Roman" w:eastAsia="Times New Roman" w:hAnsi="Times New Roman" w:cs="Times New Roman"/>
          <w:i/>
          <w:sz w:val="20"/>
          <w:szCs w:val="20"/>
        </w:rPr>
        <w:t xml:space="preserve"> of Mechanical and Industrial Engineering, College of Engineering, Qatar University, 2713, Doha, Qatar</w:t>
      </w:r>
    </w:p>
    <w:p w14:paraId="46757404" w14:textId="77777777" w:rsidR="00073F90" w:rsidRPr="00DE0E17" w:rsidRDefault="00073F90" w:rsidP="00073F90">
      <w:pPr>
        <w:spacing w:after="0" w:line="360" w:lineRule="auto"/>
        <w:rPr>
          <w:rFonts w:ascii="Times New Roman" w:eastAsia="Times New Roman" w:hAnsi="Times New Roman" w:cs="Times New Roman"/>
          <w:i/>
          <w:sz w:val="20"/>
          <w:szCs w:val="20"/>
        </w:rPr>
      </w:pPr>
      <w:r w:rsidRPr="00B45227">
        <w:rPr>
          <w:rFonts w:ascii="Times New Roman" w:eastAsia="Times New Roman" w:hAnsi="Times New Roman" w:cs="Times New Roman"/>
          <w:i/>
          <w:sz w:val="20"/>
          <w:szCs w:val="20"/>
          <w:vertAlign w:val="superscript"/>
        </w:rPr>
        <w:t>c</w:t>
      </w:r>
      <w:r>
        <w:rPr>
          <w:rFonts w:ascii="Times New Roman" w:eastAsia="Times New Roman" w:hAnsi="Times New Roman" w:cs="Times New Roman"/>
          <w:i/>
          <w:sz w:val="20"/>
          <w:szCs w:val="20"/>
        </w:rPr>
        <w:t xml:space="preserve"> </w:t>
      </w:r>
      <w:r w:rsidRPr="00DE0E17">
        <w:rPr>
          <w:rFonts w:ascii="Times New Roman" w:eastAsia="Times New Roman" w:hAnsi="Times New Roman" w:cs="Times New Roman"/>
          <w:i/>
          <w:sz w:val="20"/>
          <w:szCs w:val="20"/>
        </w:rPr>
        <w:t>Materials Science and Technology Graduate Program, College of Arts and Sciences, Qatar University, 2713, Doha, Qatar</w:t>
      </w:r>
    </w:p>
    <w:p w14:paraId="22F09A4B" w14:textId="77777777" w:rsidR="00073F90" w:rsidRPr="00DE0E17" w:rsidRDefault="00073F90" w:rsidP="00073F90">
      <w:pPr>
        <w:spacing w:after="0" w:line="360" w:lineRule="auto"/>
        <w:jc w:val="both"/>
        <w:rPr>
          <w:rFonts w:ascii="Times New Roman" w:eastAsia="Times New Roman" w:hAnsi="Times New Roman" w:cs="Times New Roman"/>
          <w:i/>
          <w:sz w:val="20"/>
          <w:szCs w:val="20"/>
        </w:rPr>
      </w:pPr>
      <w:r w:rsidRPr="00DE0E17">
        <w:rPr>
          <w:rFonts w:ascii="Times New Roman" w:eastAsia="Times New Roman" w:hAnsi="Times New Roman" w:cs="Times New Roman"/>
          <w:i/>
          <w:sz w:val="20"/>
          <w:szCs w:val="20"/>
          <w:vertAlign w:val="superscript"/>
        </w:rPr>
        <w:t>*</w:t>
      </w:r>
      <w:r w:rsidRPr="00DE0E17">
        <w:rPr>
          <w:rFonts w:ascii="Times New Roman" w:eastAsia="Times New Roman" w:hAnsi="Times New Roman" w:cs="Times New Roman"/>
          <w:i/>
          <w:sz w:val="20"/>
          <w:szCs w:val="20"/>
        </w:rPr>
        <w:t xml:space="preserve"> Corresponding author: </w:t>
      </w:r>
      <w:hyperlink r:id="rId5" w:history="1">
        <w:r w:rsidRPr="00DE0E17">
          <w:rPr>
            <w:rStyle w:val="Hyperlink"/>
            <w:rFonts w:ascii="Times New Roman" w:eastAsia="Times New Roman" w:hAnsi="Times New Roman" w:cs="Times New Roman"/>
            <w:i/>
            <w:sz w:val="20"/>
            <w:szCs w:val="20"/>
          </w:rPr>
          <w:t>igor.krupa@qu.edu.qa</w:t>
        </w:r>
      </w:hyperlink>
    </w:p>
    <w:p w14:paraId="45F7FFA8" w14:textId="4426AB34" w:rsidR="00596CAB" w:rsidRDefault="00596CAB"/>
    <w:p w14:paraId="79E7D3D7" w14:textId="08548874" w:rsidR="008F2E6E" w:rsidRDefault="008F2E6E" w:rsidP="00AE626F">
      <w:pPr>
        <w:pStyle w:val="Caption"/>
        <w:keepNext/>
        <w:rPr>
          <w:rFonts w:ascii="Times New Roman" w:hAnsi="Times New Roman" w:cs="Times New Roman"/>
          <w:b/>
          <w:bCs/>
          <w:color w:val="000000" w:themeColor="text1"/>
          <w:sz w:val="24"/>
          <w:szCs w:val="24"/>
        </w:rPr>
      </w:pPr>
    </w:p>
    <w:p w14:paraId="18785C54" w14:textId="28AB2C2B" w:rsidR="00A36078" w:rsidRDefault="00A36078" w:rsidP="00A36078"/>
    <w:p w14:paraId="6BE69475" w14:textId="18C62301" w:rsidR="00A36078" w:rsidRDefault="00A36078" w:rsidP="00A36078"/>
    <w:p w14:paraId="5C7E5058" w14:textId="740CCDD9" w:rsidR="00A36078" w:rsidRDefault="00A36078" w:rsidP="00A36078"/>
    <w:p w14:paraId="6444A890" w14:textId="70F314A4" w:rsidR="00A36078" w:rsidRDefault="00A36078" w:rsidP="00A36078"/>
    <w:p w14:paraId="58A9DBDE" w14:textId="3C9A2134" w:rsidR="00A36078" w:rsidRDefault="00A36078" w:rsidP="00A36078"/>
    <w:p w14:paraId="3F0C874E" w14:textId="67AE9562" w:rsidR="00A36078" w:rsidRDefault="00A36078" w:rsidP="00A36078"/>
    <w:p w14:paraId="0DA7D74E" w14:textId="23AA25DB" w:rsidR="00A36078" w:rsidRDefault="00A36078" w:rsidP="00A36078"/>
    <w:p w14:paraId="1C009176" w14:textId="5B082B38" w:rsidR="00A36078" w:rsidRDefault="00A36078" w:rsidP="00A36078"/>
    <w:p w14:paraId="12CEBF5D" w14:textId="73424E6C" w:rsidR="00A36078" w:rsidRDefault="00A36078" w:rsidP="00A36078"/>
    <w:p w14:paraId="4EC05BDC" w14:textId="0A1B097D" w:rsidR="00A36078" w:rsidRDefault="00A36078" w:rsidP="00A36078"/>
    <w:p w14:paraId="03F776EE" w14:textId="78D4BD1D" w:rsidR="00A36078" w:rsidRDefault="00A36078" w:rsidP="00A36078"/>
    <w:p w14:paraId="04B4E3F2" w14:textId="2F9D7750" w:rsidR="00A36078" w:rsidRDefault="00A36078" w:rsidP="00A36078"/>
    <w:p w14:paraId="5E9AC975" w14:textId="77777777" w:rsidR="004221B6" w:rsidRDefault="004221B6" w:rsidP="00AE626F">
      <w:pPr>
        <w:pStyle w:val="Caption"/>
        <w:keepNext/>
        <w:rPr>
          <w:rFonts w:ascii="Times New Roman" w:hAnsi="Times New Roman" w:cs="Times New Roman"/>
          <w:b/>
          <w:bCs/>
          <w:i w:val="0"/>
          <w:iCs w:val="0"/>
          <w:color w:val="000000" w:themeColor="text1"/>
          <w:sz w:val="24"/>
          <w:szCs w:val="24"/>
        </w:rPr>
      </w:pPr>
    </w:p>
    <w:p w14:paraId="41C8B444" w14:textId="77777777" w:rsidR="004221B6" w:rsidRPr="004221B6" w:rsidRDefault="004221B6" w:rsidP="004221B6"/>
    <w:p w14:paraId="0142771B" w14:textId="77777777" w:rsidR="004221B6" w:rsidRDefault="004221B6" w:rsidP="00AE626F">
      <w:pPr>
        <w:pStyle w:val="Caption"/>
        <w:keepNext/>
        <w:rPr>
          <w:rFonts w:ascii="Times New Roman" w:hAnsi="Times New Roman" w:cs="Times New Roman"/>
          <w:b/>
          <w:bCs/>
          <w:i w:val="0"/>
          <w:iCs w:val="0"/>
          <w:color w:val="000000" w:themeColor="text1"/>
          <w:sz w:val="24"/>
          <w:szCs w:val="24"/>
        </w:rPr>
      </w:pPr>
    </w:p>
    <w:p w14:paraId="7D0E20D2" w14:textId="77777777" w:rsidR="004221B6" w:rsidRDefault="004221B6" w:rsidP="004221B6"/>
    <w:p w14:paraId="2BA802A2" w14:textId="4EDA30D8" w:rsidR="004221B6" w:rsidRPr="008F3CDA" w:rsidRDefault="008F3CDA" w:rsidP="004221B6">
      <w:pPr>
        <w:spacing w:line="360" w:lineRule="auto"/>
        <w:jc w:val="both"/>
        <w:rPr>
          <w:rFonts w:asciiTheme="majorBidi" w:hAnsiTheme="majorBidi" w:cstheme="majorBidi"/>
          <w:bCs/>
          <w:sz w:val="24"/>
          <w:szCs w:val="24"/>
          <w:lang w:val="en-GB"/>
        </w:rPr>
      </w:pPr>
      <w:r>
        <w:rPr>
          <w:rFonts w:asciiTheme="majorBidi" w:hAnsiTheme="majorBidi" w:cstheme="majorBidi"/>
          <w:b/>
          <w:sz w:val="24"/>
          <w:szCs w:val="24"/>
          <w:lang w:val="en-GB"/>
        </w:rPr>
        <w:lastRenderedPageBreak/>
        <w:t xml:space="preserve">Note 1: </w:t>
      </w:r>
      <w:r>
        <w:rPr>
          <w:rFonts w:asciiTheme="majorBidi" w:hAnsiTheme="majorBidi" w:cstheme="majorBidi"/>
          <w:bCs/>
          <w:sz w:val="24"/>
          <w:szCs w:val="24"/>
          <w:lang w:val="en-GB"/>
        </w:rPr>
        <w:t>Transient guarded hot plate</w:t>
      </w:r>
      <w:r w:rsidR="009A6C1A">
        <w:rPr>
          <w:rFonts w:asciiTheme="majorBidi" w:hAnsiTheme="majorBidi" w:cstheme="majorBidi"/>
          <w:bCs/>
          <w:sz w:val="24"/>
          <w:szCs w:val="24"/>
          <w:lang w:val="en-GB"/>
        </w:rPr>
        <w:t xml:space="preserve"> (TGHP)</w:t>
      </w:r>
      <w:r>
        <w:rPr>
          <w:rFonts w:asciiTheme="majorBidi" w:hAnsiTheme="majorBidi" w:cstheme="majorBidi"/>
          <w:bCs/>
          <w:sz w:val="24"/>
          <w:szCs w:val="24"/>
          <w:lang w:val="en-GB"/>
        </w:rPr>
        <w:t xml:space="preserve"> </w:t>
      </w:r>
      <w:r w:rsidR="009A6C1A">
        <w:rPr>
          <w:rFonts w:asciiTheme="majorBidi" w:hAnsiTheme="majorBidi" w:cstheme="majorBidi"/>
          <w:bCs/>
          <w:sz w:val="24"/>
          <w:szCs w:val="24"/>
          <w:lang w:val="en-GB"/>
        </w:rPr>
        <w:t xml:space="preserve">test set up and results </w:t>
      </w:r>
    </w:p>
    <w:p w14:paraId="6779DBD0" w14:textId="71873008" w:rsidR="004221B6" w:rsidRPr="004221B6" w:rsidRDefault="004221B6" w:rsidP="00FA7711">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 xml:space="preserve">A homemade TGHP apparatus was used to measure and compare the thermal conductivity of the composite samples measured from the Hot disk. The experimental setup is shown in Fig. </w:t>
      </w:r>
      <w:r w:rsidR="009A6C1A">
        <w:rPr>
          <w:rFonts w:asciiTheme="majorBidi" w:hAnsiTheme="majorBidi" w:cstheme="majorBidi"/>
          <w:sz w:val="24"/>
          <w:szCs w:val="24"/>
          <w:lang w:val="en-GB"/>
        </w:rPr>
        <w:t>S</w:t>
      </w:r>
      <w:r w:rsidRPr="004221B6">
        <w:rPr>
          <w:rFonts w:asciiTheme="majorBidi" w:hAnsiTheme="majorBidi" w:cstheme="majorBidi"/>
          <w:sz w:val="24"/>
          <w:szCs w:val="24"/>
          <w:lang w:val="en-GB"/>
        </w:rPr>
        <w:t xml:space="preserve">1. The top and bottom </w:t>
      </w:r>
      <w:proofErr w:type="spellStart"/>
      <w:r w:rsidRPr="004221B6">
        <w:rPr>
          <w:rFonts w:asciiTheme="majorBidi" w:hAnsiTheme="majorBidi" w:cstheme="majorBidi"/>
          <w:sz w:val="24"/>
          <w:szCs w:val="24"/>
          <w:lang w:val="en-GB"/>
        </w:rPr>
        <w:t>aluminum</w:t>
      </w:r>
      <w:proofErr w:type="spellEnd"/>
      <w:r w:rsidRPr="004221B6">
        <w:rPr>
          <w:rFonts w:asciiTheme="majorBidi" w:hAnsiTheme="majorBidi" w:cstheme="majorBidi"/>
          <w:sz w:val="24"/>
          <w:szCs w:val="24"/>
          <w:lang w:val="en-GB"/>
        </w:rPr>
        <w:t xml:space="preserve"> heat exchangers are connected to two thermoregulated fluid baths to maintain temperatures of the heat exchangers at set points with a precision of 0.1 ℃. The heat flux sensors and T-type thermocouples on the top and bottom sides of the composite samples of size 3.5 × 4.0 × 0.8 cm measure the heat flow to and from the sample and the corresponding temperatures. The data</w:t>
      </w:r>
      <w:r w:rsidR="00FA7711">
        <w:rPr>
          <w:rFonts w:asciiTheme="majorBidi" w:hAnsiTheme="majorBidi" w:cstheme="majorBidi"/>
          <w:sz w:val="24"/>
          <w:szCs w:val="24"/>
          <w:lang w:val="en-GB"/>
        </w:rPr>
        <w:t xml:space="preserve"> </w:t>
      </w:r>
      <w:r w:rsidRPr="004221B6">
        <w:rPr>
          <w:rFonts w:asciiTheme="majorBidi" w:hAnsiTheme="majorBidi" w:cstheme="majorBidi"/>
          <w:sz w:val="24"/>
          <w:szCs w:val="24"/>
          <w:lang w:val="en-GB"/>
        </w:rPr>
        <w:t xml:space="preserve">logger (CR1000X, </w:t>
      </w:r>
      <w:proofErr w:type="spellStart"/>
      <w:r w:rsidRPr="004221B6">
        <w:rPr>
          <w:rFonts w:asciiTheme="majorBidi" w:hAnsiTheme="majorBidi" w:cstheme="majorBidi"/>
          <w:sz w:val="24"/>
          <w:szCs w:val="24"/>
          <w:lang w:val="en-GB"/>
        </w:rPr>
        <w:t>CampBell</w:t>
      </w:r>
      <w:proofErr w:type="spellEnd"/>
      <w:r w:rsidRPr="004221B6">
        <w:rPr>
          <w:rFonts w:asciiTheme="majorBidi" w:hAnsiTheme="majorBidi" w:cstheme="majorBidi"/>
          <w:sz w:val="24"/>
          <w:szCs w:val="24"/>
          <w:lang w:val="en-GB"/>
        </w:rPr>
        <w:t xml:space="preserve"> Scientific, USA) connected to the sensors records the heat flux and temperature at regular time steps of 5 s. </w:t>
      </w:r>
    </w:p>
    <w:p w14:paraId="48F2A808" w14:textId="77777777" w:rsidR="004221B6" w:rsidRDefault="004221B6" w:rsidP="004221B6">
      <w:pPr>
        <w:spacing w:line="360" w:lineRule="auto"/>
        <w:jc w:val="both"/>
        <w:rPr>
          <w:lang w:val="en-GB"/>
        </w:rPr>
      </w:pPr>
      <w:r>
        <w:rPr>
          <w:noProof/>
          <w:lang w:bidi="ar-SA"/>
        </w:rPr>
        <w:drawing>
          <wp:inline distT="0" distB="0" distL="0" distR="0" wp14:anchorId="725D9C46" wp14:editId="0C41297C">
            <wp:extent cx="5943600" cy="3114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114610"/>
                    </a:xfrm>
                    <a:prstGeom prst="rect">
                      <a:avLst/>
                    </a:prstGeom>
                    <a:noFill/>
                    <a:ln>
                      <a:noFill/>
                    </a:ln>
                  </pic:spPr>
                </pic:pic>
              </a:graphicData>
            </a:graphic>
          </wp:inline>
        </w:drawing>
      </w:r>
    </w:p>
    <w:p w14:paraId="20252335" w14:textId="307A512D"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b/>
          <w:sz w:val="24"/>
          <w:szCs w:val="24"/>
          <w:lang w:val="en-GB"/>
        </w:rPr>
        <w:t xml:space="preserve">Fig. </w:t>
      </w:r>
      <w:r w:rsidR="009A6C1A">
        <w:rPr>
          <w:rFonts w:asciiTheme="majorBidi" w:hAnsiTheme="majorBidi" w:cstheme="majorBidi"/>
          <w:b/>
          <w:sz w:val="24"/>
          <w:szCs w:val="24"/>
          <w:lang w:val="en-GB"/>
        </w:rPr>
        <w:t>S</w:t>
      </w:r>
      <w:r w:rsidRPr="004221B6">
        <w:rPr>
          <w:rFonts w:asciiTheme="majorBidi" w:hAnsiTheme="majorBidi" w:cstheme="majorBidi"/>
          <w:b/>
          <w:sz w:val="24"/>
          <w:szCs w:val="24"/>
          <w:lang w:val="en-GB"/>
        </w:rPr>
        <w:t>1:</w:t>
      </w:r>
      <w:r w:rsidRPr="004221B6">
        <w:rPr>
          <w:rFonts w:asciiTheme="majorBidi" w:hAnsiTheme="majorBidi" w:cstheme="majorBidi"/>
          <w:sz w:val="24"/>
          <w:szCs w:val="24"/>
          <w:lang w:val="en-GB"/>
        </w:rPr>
        <w:t xml:space="preserve"> The homemade transient guarded hot plate apparatus for the thermal conductivity measurement</w:t>
      </w:r>
      <w:r w:rsidR="00FA7711">
        <w:rPr>
          <w:rFonts w:asciiTheme="majorBidi" w:hAnsiTheme="majorBidi" w:cstheme="majorBidi"/>
          <w:sz w:val="24"/>
          <w:szCs w:val="24"/>
          <w:lang w:val="en-GB"/>
        </w:rPr>
        <w:t xml:space="preserve"> </w:t>
      </w:r>
      <w:sdt>
        <w:sdtPr>
          <w:rPr>
            <w:rFonts w:asciiTheme="majorBidi" w:hAnsiTheme="majorBidi" w:cstheme="majorBidi"/>
            <w:color w:val="000000"/>
            <w:sz w:val="24"/>
            <w:szCs w:val="24"/>
            <w:vertAlign w:val="superscript"/>
            <w:lang w:val="en-GB"/>
          </w:rPr>
          <w:tag w:val="MENDELEY_CITATION_v3_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"/>
          <w:id w:val="663750676"/>
          <w:placeholder>
            <w:docPart w:val="DefaultPlaceholder_-1854013440"/>
          </w:placeholder>
        </w:sdtPr>
        <w:sdtContent>
          <w:r w:rsidR="00B67CDD" w:rsidRPr="00B67CDD">
            <w:rPr>
              <w:rFonts w:asciiTheme="majorBidi" w:hAnsiTheme="majorBidi" w:cstheme="majorBidi"/>
              <w:color w:val="000000"/>
              <w:sz w:val="24"/>
              <w:szCs w:val="24"/>
              <w:vertAlign w:val="superscript"/>
              <w:lang w:val="en-GB"/>
            </w:rPr>
            <w:t>[1,2]</w:t>
          </w:r>
        </w:sdtContent>
      </w:sdt>
    </w:p>
    <w:p w14:paraId="4BC47C19" w14:textId="77777777"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 xml:space="preserve">The lateral sides of the samples and heat exchangers were insulated with polyurethane foam to eliminate the unnecessary heat transfer between the surroundings. </w:t>
      </w:r>
    </w:p>
    <w:p w14:paraId="4BD9AEBC" w14:textId="0B9FA15A"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According to ASTM E1530, the thermal resistance (R</w:t>
      </w:r>
      <w:r w:rsidRPr="004221B6">
        <w:rPr>
          <w:rFonts w:asciiTheme="majorBidi" w:hAnsiTheme="majorBidi" w:cstheme="majorBidi"/>
          <w:sz w:val="24"/>
          <w:szCs w:val="24"/>
          <w:vertAlign w:val="subscript"/>
          <w:lang w:val="en-GB"/>
        </w:rPr>
        <w:t>s</w:t>
      </w:r>
      <w:r w:rsidRPr="004221B6">
        <w:rPr>
          <w:rFonts w:asciiTheme="majorBidi" w:hAnsiTheme="majorBidi" w:cstheme="majorBidi"/>
          <w:sz w:val="24"/>
          <w:szCs w:val="24"/>
          <w:lang w:val="en-GB"/>
        </w:rPr>
        <w:t>) of the sample placed between two different temperatures</w:t>
      </w:r>
      <w:r w:rsidR="00FA7711">
        <w:rPr>
          <w:rFonts w:asciiTheme="majorBidi" w:hAnsiTheme="majorBidi" w:cstheme="majorBidi"/>
          <w:sz w:val="24"/>
          <w:szCs w:val="24"/>
          <w:lang w:val="en-GB"/>
        </w:rPr>
        <w:t>,</w:t>
      </w:r>
      <w:r w:rsidRPr="004221B6">
        <w:rPr>
          <w:rFonts w:asciiTheme="majorBidi" w:hAnsiTheme="majorBidi" w:cstheme="majorBidi"/>
          <w:sz w:val="24"/>
          <w:szCs w:val="24"/>
          <w:lang w:val="en-GB"/>
        </w:rPr>
        <w:t xml:space="preserve"> T</w:t>
      </w:r>
      <w:r w:rsidRPr="004221B6">
        <w:rPr>
          <w:rFonts w:asciiTheme="majorBidi" w:hAnsiTheme="majorBidi" w:cstheme="majorBidi"/>
          <w:sz w:val="24"/>
          <w:szCs w:val="24"/>
          <w:vertAlign w:val="subscript"/>
          <w:lang w:val="en-GB"/>
        </w:rPr>
        <w:t>1</w:t>
      </w:r>
      <w:r w:rsidRPr="004221B6">
        <w:rPr>
          <w:rFonts w:asciiTheme="majorBidi" w:hAnsiTheme="majorBidi" w:cstheme="majorBidi"/>
          <w:sz w:val="24"/>
          <w:szCs w:val="24"/>
          <w:lang w:val="en-GB"/>
        </w:rPr>
        <w:t xml:space="preserve"> and T</w:t>
      </w:r>
      <w:r w:rsidRPr="004221B6">
        <w:rPr>
          <w:rFonts w:asciiTheme="majorBidi" w:hAnsiTheme="majorBidi" w:cstheme="majorBidi"/>
          <w:sz w:val="24"/>
          <w:szCs w:val="24"/>
          <w:vertAlign w:val="subscript"/>
          <w:lang w:val="en-GB"/>
        </w:rPr>
        <w:t>2</w:t>
      </w:r>
      <w:r w:rsidRPr="004221B6">
        <w:rPr>
          <w:rFonts w:asciiTheme="majorBidi" w:hAnsiTheme="majorBidi" w:cstheme="majorBidi"/>
          <w:sz w:val="24"/>
          <w:szCs w:val="24"/>
          <w:lang w:val="en-GB"/>
        </w:rPr>
        <w:t xml:space="preserve"> is given by Eq.</w:t>
      </w:r>
    </w:p>
    <w:p w14:paraId="79115276" w14:textId="71A7ED6F" w:rsidR="004221B6" w:rsidRPr="004221B6" w:rsidRDefault="00000000" w:rsidP="004221B6">
      <w:pPr>
        <w:spacing w:line="360" w:lineRule="auto"/>
        <w:jc w:val="center"/>
        <w:rPr>
          <w:rFonts w:asciiTheme="majorBidi" w:eastAsiaTheme="minorEastAsia" w:hAnsiTheme="majorBidi" w:cstheme="majorBidi"/>
          <w:sz w:val="24"/>
          <w:szCs w:val="24"/>
          <w:lang w:val="en-GB"/>
        </w:rPr>
      </w:pP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R</m:t>
            </m:r>
          </m:e>
          <m:sub>
            <m:r>
              <w:rPr>
                <w:rFonts w:ascii="Cambria Math" w:hAnsi="Cambria Math" w:cstheme="majorBidi"/>
                <w:sz w:val="24"/>
                <w:szCs w:val="24"/>
                <w:lang w:val="en-GB"/>
              </w:rPr>
              <m:t>s</m:t>
            </m:r>
          </m:sub>
        </m:sSub>
        <m:r>
          <w:rPr>
            <w:rFonts w:ascii="Cambria Math" w:hAnsi="Cambria Math" w:cstheme="majorBidi"/>
            <w:sz w:val="24"/>
            <w:szCs w:val="24"/>
            <w:lang w:val="en-GB"/>
          </w:rPr>
          <m:t>=</m:t>
        </m:r>
        <m:f>
          <m:fPr>
            <m:ctrlPr>
              <w:rPr>
                <w:rFonts w:ascii="Cambria Math" w:hAnsi="Cambria Math" w:cstheme="majorBidi"/>
                <w:i/>
                <w:sz w:val="24"/>
                <w:szCs w:val="24"/>
                <w:lang w:val="en-GB"/>
              </w:rPr>
            </m:ctrlPr>
          </m:fPr>
          <m:num>
            <m:r>
              <w:rPr>
                <w:rFonts w:ascii="Cambria Math" w:hAnsi="Cambria Math" w:cstheme="majorBidi"/>
                <w:sz w:val="24"/>
                <w:szCs w:val="24"/>
                <w:lang w:val="en-GB"/>
              </w:rPr>
              <m:t>N</m:t>
            </m:r>
            <m:d>
              <m:dPr>
                <m:ctrlPr>
                  <w:rPr>
                    <w:rFonts w:ascii="Cambria Math" w:hAnsi="Cambria Math" w:cstheme="majorBidi"/>
                    <w:i/>
                    <w:sz w:val="24"/>
                    <w:szCs w:val="24"/>
                    <w:lang w:val="en-GB"/>
                  </w:rPr>
                </m:ctrlPr>
              </m:dPr>
              <m:e>
                <m:sSub>
                  <m:sSubPr>
                    <m:ctrlPr>
                      <w:rPr>
                        <w:rFonts w:ascii="Cambria Math" w:hAnsi="Cambria Math" w:cstheme="majorBidi"/>
                        <w:i/>
                        <w:sz w:val="24"/>
                        <w:szCs w:val="24"/>
                        <w:lang w:val="en-GB"/>
                      </w:rPr>
                    </m:ctrlPr>
                  </m:sSubPr>
                  <m:e>
                    <m:r>
                      <w:rPr>
                        <w:rFonts w:ascii="Cambria Math" w:hAnsi="Cambria Math" w:cstheme="majorBidi"/>
                        <w:sz w:val="24"/>
                        <w:szCs w:val="24"/>
                        <w:lang w:val="en-GB"/>
                      </w:rPr>
                      <m:t>T</m:t>
                    </m:r>
                  </m:e>
                  <m:sub>
                    <m:r>
                      <w:rPr>
                        <w:rFonts w:ascii="Cambria Math" w:hAnsi="Cambria Math" w:cstheme="majorBidi"/>
                        <w:sz w:val="24"/>
                        <w:szCs w:val="24"/>
                        <w:lang w:val="en-GB"/>
                      </w:rPr>
                      <m:t>1</m:t>
                    </m:r>
                  </m:sub>
                </m:sSub>
                <m:r>
                  <w:rPr>
                    <w:rFonts w:ascii="Cambria Math" w:hAnsi="Cambria Math" w:cstheme="majorBidi"/>
                    <w:sz w:val="24"/>
                    <w:szCs w:val="24"/>
                    <w:lang w:val="en-GB"/>
                  </w:rPr>
                  <m:t>-</m:t>
                </m:r>
                <m:sSub>
                  <m:sSubPr>
                    <m:ctrlPr>
                      <w:rPr>
                        <w:rFonts w:ascii="Cambria Math" w:hAnsi="Cambria Math" w:cstheme="majorBidi"/>
                        <w:i/>
                        <w:sz w:val="24"/>
                        <w:szCs w:val="24"/>
                        <w:lang w:val="en-GB"/>
                      </w:rPr>
                    </m:ctrlPr>
                  </m:sSubPr>
                  <m:e>
                    <m:r>
                      <w:rPr>
                        <w:rFonts w:ascii="Cambria Math" w:hAnsi="Cambria Math" w:cstheme="majorBidi"/>
                        <w:sz w:val="24"/>
                        <w:szCs w:val="24"/>
                        <w:lang w:val="en-GB"/>
                      </w:rPr>
                      <m:t>T</m:t>
                    </m:r>
                  </m:e>
                  <m:sub>
                    <m:r>
                      <w:rPr>
                        <w:rFonts w:ascii="Cambria Math" w:hAnsi="Cambria Math" w:cstheme="majorBidi"/>
                        <w:sz w:val="24"/>
                        <w:szCs w:val="24"/>
                        <w:lang w:val="en-GB"/>
                      </w:rPr>
                      <m:t>2</m:t>
                    </m:r>
                  </m:sub>
                </m:sSub>
              </m:e>
            </m:d>
          </m:num>
          <m:den>
            <m:r>
              <w:rPr>
                <w:rFonts w:ascii="Cambria Math" w:hAnsi="Cambria Math" w:cstheme="majorBidi"/>
                <w:sz w:val="24"/>
                <w:szCs w:val="24"/>
                <w:lang w:val="en-GB"/>
              </w:rPr>
              <m:t>Q</m:t>
            </m:r>
          </m:den>
        </m:f>
        <m:r>
          <w:rPr>
            <w:rFonts w:ascii="Cambria Math" w:hAnsi="Cambria Math" w:cstheme="majorBidi"/>
            <w:sz w:val="24"/>
            <w:szCs w:val="24"/>
            <w:lang w:val="en-GB"/>
          </w:rPr>
          <m:t>-</m:t>
        </m:r>
        <m:sSub>
          <m:sSubPr>
            <m:ctrlPr>
              <w:rPr>
                <w:rFonts w:ascii="Cambria Math" w:hAnsi="Cambria Math" w:cstheme="majorBidi"/>
                <w:i/>
                <w:sz w:val="24"/>
                <w:szCs w:val="24"/>
                <w:lang w:val="en-GB"/>
              </w:rPr>
            </m:ctrlPr>
          </m:sSubPr>
          <m:e>
            <m:r>
              <w:rPr>
                <w:rFonts w:ascii="Cambria Math" w:hAnsi="Cambria Math" w:cstheme="majorBidi"/>
                <w:sz w:val="24"/>
                <w:szCs w:val="24"/>
                <w:lang w:val="en-GB"/>
              </w:rPr>
              <m:t>R</m:t>
            </m:r>
          </m:e>
          <m:sub>
            <m:r>
              <w:rPr>
                <w:rFonts w:ascii="Cambria Math" w:hAnsi="Cambria Math" w:cstheme="majorBidi"/>
                <w:sz w:val="24"/>
                <w:szCs w:val="24"/>
                <w:lang w:val="en-GB"/>
              </w:rPr>
              <m:t>o</m:t>
            </m:r>
          </m:sub>
        </m:sSub>
      </m:oMath>
      <w:r w:rsidR="004221B6" w:rsidRPr="004221B6">
        <w:rPr>
          <w:rFonts w:asciiTheme="majorBidi" w:eastAsiaTheme="minorEastAsia" w:hAnsiTheme="majorBidi" w:cstheme="majorBidi"/>
          <w:sz w:val="24"/>
          <w:szCs w:val="24"/>
          <w:lang w:val="en-GB"/>
        </w:rPr>
        <w:tab/>
      </w:r>
      <w:r w:rsidR="004221B6" w:rsidRPr="004221B6">
        <w:rPr>
          <w:rFonts w:asciiTheme="majorBidi" w:eastAsiaTheme="minorEastAsia" w:hAnsiTheme="majorBidi" w:cstheme="majorBidi"/>
          <w:sz w:val="24"/>
          <w:szCs w:val="24"/>
          <w:lang w:val="en-GB"/>
        </w:rPr>
        <w:tab/>
      </w:r>
      <w:r w:rsidR="004221B6" w:rsidRPr="004221B6">
        <w:rPr>
          <w:rFonts w:asciiTheme="majorBidi" w:eastAsiaTheme="minorEastAsia" w:hAnsiTheme="majorBidi" w:cstheme="majorBidi"/>
          <w:sz w:val="24"/>
          <w:szCs w:val="24"/>
          <w:lang w:val="en-GB"/>
        </w:rPr>
        <w:tab/>
      </w:r>
      <w:r w:rsidR="004221B6" w:rsidRPr="004221B6">
        <w:rPr>
          <w:rFonts w:asciiTheme="majorBidi" w:eastAsiaTheme="minorEastAsia" w:hAnsiTheme="majorBidi" w:cstheme="majorBidi"/>
          <w:sz w:val="24"/>
          <w:szCs w:val="24"/>
          <w:lang w:val="en-GB"/>
        </w:rPr>
        <w:tab/>
      </w:r>
      <w:r w:rsidR="004221B6" w:rsidRPr="004221B6">
        <w:rPr>
          <w:rFonts w:asciiTheme="majorBidi" w:eastAsiaTheme="minorEastAsia" w:hAnsiTheme="majorBidi" w:cstheme="majorBidi"/>
          <w:sz w:val="24"/>
          <w:szCs w:val="24"/>
          <w:lang w:val="en-GB"/>
        </w:rPr>
        <w:tab/>
      </w:r>
      <w:r w:rsidR="004221B6" w:rsidRPr="004221B6">
        <w:rPr>
          <w:rFonts w:asciiTheme="majorBidi" w:eastAsiaTheme="minorEastAsia" w:hAnsiTheme="majorBidi" w:cstheme="majorBidi"/>
          <w:sz w:val="24"/>
          <w:szCs w:val="24"/>
          <w:lang w:val="en-GB"/>
        </w:rPr>
        <w:tab/>
        <w:t>[</w:t>
      </w:r>
      <w:r w:rsidR="009A6C1A">
        <w:rPr>
          <w:rFonts w:asciiTheme="majorBidi" w:eastAsiaTheme="minorEastAsia" w:hAnsiTheme="majorBidi" w:cstheme="majorBidi"/>
          <w:sz w:val="24"/>
          <w:szCs w:val="24"/>
          <w:lang w:val="en-GB"/>
        </w:rPr>
        <w:t>S</w:t>
      </w:r>
      <w:r w:rsidR="004221B6" w:rsidRPr="004221B6">
        <w:rPr>
          <w:rFonts w:asciiTheme="majorBidi" w:eastAsiaTheme="minorEastAsia" w:hAnsiTheme="majorBidi" w:cstheme="majorBidi"/>
          <w:sz w:val="24"/>
          <w:szCs w:val="24"/>
          <w:lang w:val="en-GB"/>
        </w:rPr>
        <w:t>1]</w:t>
      </w:r>
    </w:p>
    <w:p w14:paraId="289575D9" w14:textId="6A4A90AD"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lastRenderedPageBreak/>
        <w:t>Q is the average heat flow to and from the sample at steady state, and N and R</w:t>
      </w:r>
      <w:r w:rsidRPr="004221B6">
        <w:rPr>
          <w:rFonts w:asciiTheme="majorBidi" w:hAnsiTheme="majorBidi" w:cstheme="majorBidi"/>
          <w:sz w:val="24"/>
          <w:szCs w:val="24"/>
          <w:vertAlign w:val="subscript"/>
          <w:lang w:val="en-GB"/>
        </w:rPr>
        <w:t>o</w:t>
      </w:r>
      <w:r w:rsidRPr="004221B6">
        <w:rPr>
          <w:rFonts w:asciiTheme="majorBidi" w:hAnsiTheme="majorBidi" w:cstheme="majorBidi"/>
          <w:sz w:val="24"/>
          <w:szCs w:val="24"/>
          <w:lang w:val="en-GB"/>
        </w:rPr>
        <w:t xml:space="preserve"> are the temperature and load-dependant parameters obtained by calibration at each particular set of conditions.</w:t>
      </w:r>
    </w:p>
    <w:p w14:paraId="08D6DEC7" w14:textId="5803C0DB"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N and R</w:t>
      </w:r>
      <w:r w:rsidRPr="004221B6">
        <w:rPr>
          <w:rFonts w:asciiTheme="majorBidi" w:hAnsiTheme="majorBidi" w:cstheme="majorBidi"/>
          <w:sz w:val="24"/>
          <w:szCs w:val="24"/>
          <w:vertAlign w:val="subscript"/>
          <w:lang w:val="en-GB"/>
        </w:rPr>
        <w:t>o</w:t>
      </w:r>
      <w:r w:rsidRPr="004221B6">
        <w:rPr>
          <w:rFonts w:asciiTheme="majorBidi" w:hAnsiTheme="majorBidi" w:cstheme="majorBidi"/>
          <w:sz w:val="24"/>
          <w:szCs w:val="24"/>
          <w:lang w:val="en-GB"/>
        </w:rPr>
        <w:t xml:space="preserve"> are obtained graphically as the slope and intercept in the R</w:t>
      </w:r>
      <w:r w:rsidRPr="004221B6">
        <w:rPr>
          <w:rFonts w:asciiTheme="majorBidi" w:hAnsiTheme="majorBidi" w:cstheme="majorBidi"/>
          <w:sz w:val="24"/>
          <w:szCs w:val="24"/>
          <w:vertAlign w:val="subscript"/>
          <w:lang w:val="en-GB"/>
        </w:rPr>
        <w:t>s</w:t>
      </w:r>
      <w:r w:rsidRPr="004221B6">
        <w:rPr>
          <w:rFonts w:asciiTheme="majorBidi" w:hAnsiTheme="majorBidi" w:cstheme="majorBidi"/>
          <w:sz w:val="24"/>
          <w:szCs w:val="24"/>
          <w:lang w:val="en-GB"/>
        </w:rPr>
        <w:t xml:space="preserve"> Vs (T</w:t>
      </w:r>
      <w:r w:rsidRPr="004221B6">
        <w:rPr>
          <w:rFonts w:asciiTheme="majorBidi" w:hAnsiTheme="majorBidi" w:cstheme="majorBidi"/>
          <w:sz w:val="24"/>
          <w:szCs w:val="24"/>
          <w:vertAlign w:val="subscript"/>
          <w:lang w:val="en-GB"/>
        </w:rPr>
        <w:t>1</w:t>
      </w:r>
      <w:r w:rsidRPr="004221B6">
        <w:rPr>
          <w:rFonts w:asciiTheme="majorBidi" w:hAnsiTheme="majorBidi" w:cstheme="majorBidi"/>
          <w:sz w:val="24"/>
          <w:szCs w:val="24"/>
          <w:lang w:val="en-GB"/>
        </w:rPr>
        <w:t>-T</w:t>
      </w:r>
      <w:r w:rsidRPr="004221B6">
        <w:rPr>
          <w:rFonts w:asciiTheme="majorBidi" w:hAnsiTheme="majorBidi" w:cstheme="majorBidi"/>
          <w:sz w:val="24"/>
          <w:szCs w:val="24"/>
          <w:vertAlign w:val="subscript"/>
          <w:lang w:val="en-GB"/>
        </w:rPr>
        <w:t>2</w:t>
      </w:r>
      <w:r w:rsidRPr="004221B6">
        <w:rPr>
          <w:rFonts w:asciiTheme="majorBidi" w:hAnsiTheme="majorBidi" w:cstheme="majorBidi"/>
          <w:sz w:val="24"/>
          <w:szCs w:val="24"/>
          <w:lang w:val="en-GB"/>
        </w:rPr>
        <w:t xml:space="preserve">/Q) plot for the reference material at different thicknesses (as shown in Fig. </w:t>
      </w:r>
      <w:r w:rsidR="009A6C1A">
        <w:rPr>
          <w:rFonts w:asciiTheme="majorBidi" w:hAnsiTheme="majorBidi" w:cstheme="majorBidi"/>
          <w:sz w:val="24"/>
          <w:szCs w:val="24"/>
          <w:lang w:val="en-GB"/>
        </w:rPr>
        <w:t>S</w:t>
      </w:r>
      <w:r w:rsidRPr="004221B6">
        <w:rPr>
          <w:rFonts w:asciiTheme="majorBidi" w:hAnsiTheme="majorBidi" w:cstheme="majorBidi"/>
          <w:sz w:val="24"/>
          <w:szCs w:val="24"/>
          <w:lang w:val="en-GB"/>
        </w:rPr>
        <w:t>2). The values of N and R</w:t>
      </w:r>
      <w:r w:rsidRPr="004221B6">
        <w:rPr>
          <w:rFonts w:asciiTheme="majorBidi" w:hAnsiTheme="majorBidi" w:cstheme="majorBidi"/>
          <w:sz w:val="24"/>
          <w:szCs w:val="24"/>
          <w:vertAlign w:val="subscript"/>
          <w:lang w:val="en-GB"/>
        </w:rPr>
        <w:t>o</w:t>
      </w:r>
      <w:r w:rsidRPr="004221B6">
        <w:rPr>
          <w:rFonts w:asciiTheme="majorBidi" w:hAnsiTheme="majorBidi" w:cstheme="majorBidi"/>
          <w:sz w:val="24"/>
          <w:szCs w:val="24"/>
          <w:lang w:val="en-GB"/>
        </w:rPr>
        <w:t xml:space="preserve"> were 62</w:t>
      </w:r>
      <w:r w:rsidR="00B67CDD">
        <w:rPr>
          <w:rFonts w:asciiTheme="majorBidi" w:hAnsiTheme="majorBidi" w:cstheme="majorBidi"/>
          <w:sz w:val="24"/>
          <w:szCs w:val="24"/>
          <w:lang w:val="en-GB"/>
        </w:rPr>
        <w:t xml:space="preserve">60.82 </w:t>
      </w:r>
      <w:r w:rsidRPr="004221B6">
        <w:rPr>
          <w:rFonts w:asciiTheme="majorBidi" w:hAnsiTheme="majorBidi" w:cstheme="majorBidi"/>
          <w:sz w:val="24"/>
          <w:szCs w:val="24"/>
          <w:lang w:val="en-GB"/>
        </w:rPr>
        <w:t>and -</w:t>
      </w:r>
      <w:r w:rsidR="00B67CDD">
        <w:rPr>
          <w:rFonts w:asciiTheme="majorBidi" w:hAnsiTheme="majorBidi" w:cstheme="majorBidi"/>
          <w:sz w:val="24"/>
          <w:szCs w:val="24"/>
          <w:lang w:val="en-GB"/>
        </w:rPr>
        <w:t>9.91</w:t>
      </w:r>
      <w:r w:rsidRPr="004221B6">
        <w:rPr>
          <w:rFonts w:asciiTheme="majorBidi" w:hAnsiTheme="majorBidi" w:cstheme="majorBidi"/>
          <w:sz w:val="24"/>
          <w:szCs w:val="24"/>
          <w:lang w:val="en-GB"/>
        </w:rPr>
        <w:t>, respectively.</w:t>
      </w:r>
    </w:p>
    <w:p w14:paraId="362D1CB6" w14:textId="3DE69386" w:rsidR="004221B6" w:rsidRDefault="00B67CDD" w:rsidP="004221B6">
      <w:pPr>
        <w:spacing w:line="360" w:lineRule="auto"/>
        <w:jc w:val="both"/>
        <w:rPr>
          <w:lang w:val="en-GB"/>
        </w:rPr>
      </w:pPr>
      <w:r w:rsidRPr="00B67CDD">
        <w:rPr>
          <w:noProof/>
          <w:lang w:val="en-GB"/>
        </w:rPr>
        <w:drawing>
          <wp:inline distT="0" distB="0" distL="0" distR="0" wp14:anchorId="4F6DFF1F" wp14:editId="3C7CCEE3">
            <wp:extent cx="4922520" cy="3756660"/>
            <wp:effectExtent l="0" t="0" r="0" b="0"/>
            <wp:docPr id="4916212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3679" cy="3757545"/>
                    </a:xfrm>
                    <a:prstGeom prst="rect">
                      <a:avLst/>
                    </a:prstGeom>
                    <a:noFill/>
                    <a:ln>
                      <a:noFill/>
                    </a:ln>
                  </pic:spPr>
                </pic:pic>
              </a:graphicData>
            </a:graphic>
          </wp:inline>
        </w:drawing>
      </w:r>
    </w:p>
    <w:p w14:paraId="7BB3303B" w14:textId="0B558DE4" w:rsid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b/>
          <w:sz w:val="24"/>
          <w:szCs w:val="24"/>
          <w:lang w:val="en-GB"/>
        </w:rPr>
        <w:t xml:space="preserve">Fig. </w:t>
      </w:r>
      <w:r w:rsidR="009A6C1A">
        <w:rPr>
          <w:rFonts w:asciiTheme="majorBidi" w:hAnsiTheme="majorBidi" w:cstheme="majorBidi"/>
          <w:b/>
          <w:sz w:val="24"/>
          <w:szCs w:val="24"/>
          <w:lang w:val="en-GB"/>
        </w:rPr>
        <w:t>S</w:t>
      </w:r>
      <w:r w:rsidRPr="004221B6">
        <w:rPr>
          <w:rFonts w:asciiTheme="majorBidi" w:hAnsiTheme="majorBidi" w:cstheme="majorBidi"/>
          <w:b/>
          <w:sz w:val="24"/>
          <w:szCs w:val="24"/>
          <w:lang w:val="en-GB"/>
        </w:rPr>
        <w:t>2:</w:t>
      </w:r>
      <w:r w:rsidRPr="004221B6">
        <w:rPr>
          <w:rFonts w:asciiTheme="majorBidi" w:hAnsiTheme="majorBidi" w:cstheme="majorBidi"/>
          <w:sz w:val="24"/>
          <w:szCs w:val="24"/>
          <w:lang w:val="en-GB"/>
        </w:rPr>
        <w:t xml:space="preserve"> Thermal resistance Vs (T</w:t>
      </w:r>
      <w:r w:rsidRPr="004221B6">
        <w:rPr>
          <w:rFonts w:asciiTheme="majorBidi" w:hAnsiTheme="majorBidi" w:cstheme="majorBidi"/>
          <w:sz w:val="24"/>
          <w:szCs w:val="24"/>
          <w:vertAlign w:val="subscript"/>
          <w:lang w:val="en-GB"/>
        </w:rPr>
        <w:t>1</w:t>
      </w:r>
      <w:r w:rsidRPr="004221B6">
        <w:rPr>
          <w:rFonts w:asciiTheme="majorBidi" w:hAnsiTheme="majorBidi" w:cstheme="majorBidi"/>
          <w:sz w:val="24"/>
          <w:szCs w:val="24"/>
          <w:lang w:val="en-GB"/>
        </w:rPr>
        <w:t>-T</w:t>
      </w:r>
      <w:r w:rsidRPr="004221B6">
        <w:rPr>
          <w:rFonts w:asciiTheme="majorBidi" w:hAnsiTheme="majorBidi" w:cstheme="majorBidi"/>
          <w:sz w:val="24"/>
          <w:szCs w:val="24"/>
          <w:vertAlign w:val="subscript"/>
          <w:lang w:val="en-GB"/>
        </w:rPr>
        <w:t>2</w:t>
      </w:r>
      <w:r w:rsidRPr="004221B6">
        <w:rPr>
          <w:rFonts w:asciiTheme="majorBidi" w:hAnsiTheme="majorBidi" w:cstheme="majorBidi"/>
          <w:sz w:val="24"/>
          <w:szCs w:val="24"/>
          <w:lang w:val="en-GB"/>
        </w:rPr>
        <w:t xml:space="preserve">/Q) plot for the reference material  </w:t>
      </w:r>
    </w:p>
    <w:p w14:paraId="244E3787" w14:textId="5530DE22" w:rsidR="004221B6" w:rsidRPr="004221B6" w:rsidRDefault="004221B6" w:rsidP="004221B6">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 xml:space="preserve">Similarly, the thermal resistance of the composite sample subjected to a temperature gradient was calculated using Eq. 1. The thermal conductivity is obtained as in Eq. </w:t>
      </w:r>
      <w:r w:rsidR="009A6C1A">
        <w:rPr>
          <w:rFonts w:asciiTheme="majorBidi" w:hAnsiTheme="majorBidi" w:cstheme="majorBidi"/>
          <w:sz w:val="24"/>
          <w:szCs w:val="24"/>
          <w:lang w:val="en-GB"/>
        </w:rPr>
        <w:t>S</w:t>
      </w:r>
      <w:r w:rsidRPr="004221B6">
        <w:rPr>
          <w:rFonts w:asciiTheme="majorBidi" w:hAnsiTheme="majorBidi" w:cstheme="majorBidi"/>
          <w:sz w:val="24"/>
          <w:szCs w:val="24"/>
          <w:lang w:val="en-GB"/>
        </w:rPr>
        <w:t>2</w:t>
      </w:r>
    </w:p>
    <w:p w14:paraId="67B505B1" w14:textId="179C0675" w:rsidR="004221B6" w:rsidRPr="004221B6" w:rsidRDefault="004221B6" w:rsidP="004221B6">
      <w:pPr>
        <w:spacing w:line="360" w:lineRule="auto"/>
        <w:jc w:val="center"/>
        <w:rPr>
          <w:rFonts w:asciiTheme="majorBidi" w:eastAsiaTheme="minorEastAsia" w:hAnsiTheme="majorBidi" w:cstheme="majorBidi"/>
          <w:sz w:val="24"/>
          <w:szCs w:val="24"/>
          <w:lang w:val="en-GB"/>
        </w:rPr>
      </w:pPr>
      <m:oMath>
        <m:r>
          <w:rPr>
            <w:rFonts w:ascii="Cambria Math" w:hAnsi="Cambria Math" w:cstheme="majorBidi"/>
            <w:sz w:val="24"/>
            <w:szCs w:val="24"/>
            <w:lang w:val="en-GB"/>
          </w:rPr>
          <m:t>λ=</m:t>
        </m:r>
        <m:f>
          <m:fPr>
            <m:ctrlPr>
              <w:rPr>
                <w:rFonts w:ascii="Cambria Math" w:hAnsi="Cambria Math" w:cstheme="majorBidi"/>
                <w:i/>
                <w:sz w:val="24"/>
                <w:szCs w:val="24"/>
                <w:lang w:val="en-GB"/>
              </w:rPr>
            </m:ctrlPr>
          </m:fPr>
          <m:num>
            <m:r>
              <w:rPr>
                <w:rFonts w:ascii="Cambria Math" w:hAnsi="Cambria Math" w:cstheme="majorBidi"/>
                <w:sz w:val="24"/>
                <w:szCs w:val="24"/>
                <w:lang w:val="en-GB"/>
              </w:rPr>
              <m:t>∆t</m:t>
            </m:r>
          </m:num>
          <m:den>
            <m:sSub>
              <m:sSubPr>
                <m:ctrlPr>
                  <w:rPr>
                    <w:rFonts w:ascii="Cambria Math" w:hAnsi="Cambria Math" w:cstheme="majorBidi"/>
                    <w:i/>
                    <w:sz w:val="24"/>
                    <w:szCs w:val="24"/>
                    <w:lang w:val="en-GB"/>
                  </w:rPr>
                </m:ctrlPr>
              </m:sSubPr>
              <m:e>
                <m:r>
                  <w:rPr>
                    <w:rFonts w:ascii="Cambria Math" w:hAnsi="Cambria Math" w:cstheme="majorBidi"/>
                    <w:sz w:val="24"/>
                    <w:szCs w:val="24"/>
                    <w:lang w:val="en-GB"/>
                  </w:rPr>
                  <m:t>R</m:t>
                </m:r>
              </m:e>
              <m:sub>
                <m:r>
                  <w:rPr>
                    <w:rFonts w:ascii="Cambria Math" w:hAnsi="Cambria Math" w:cstheme="majorBidi"/>
                    <w:sz w:val="24"/>
                    <w:szCs w:val="24"/>
                    <w:lang w:val="en-GB"/>
                  </w:rPr>
                  <m:t>s</m:t>
                </m:r>
              </m:sub>
            </m:sSub>
          </m:den>
        </m:f>
      </m:oMath>
      <w:r w:rsidRPr="004221B6">
        <w:rPr>
          <w:rFonts w:asciiTheme="majorBidi" w:eastAsiaTheme="minorEastAsia" w:hAnsiTheme="majorBidi" w:cstheme="majorBidi"/>
          <w:sz w:val="24"/>
          <w:szCs w:val="24"/>
          <w:lang w:val="en-GB"/>
        </w:rPr>
        <w:t xml:space="preserve"> </w:t>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r>
      <w:r w:rsidRPr="004221B6">
        <w:rPr>
          <w:rFonts w:asciiTheme="majorBidi" w:eastAsiaTheme="minorEastAsia" w:hAnsiTheme="majorBidi" w:cstheme="majorBidi"/>
          <w:sz w:val="24"/>
          <w:szCs w:val="24"/>
          <w:lang w:val="en-GB"/>
        </w:rPr>
        <w:tab/>
        <w:t>[</w:t>
      </w:r>
      <w:r w:rsidR="009A6C1A">
        <w:rPr>
          <w:rFonts w:asciiTheme="majorBidi" w:eastAsiaTheme="minorEastAsia" w:hAnsiTheme="majorBidi" w:cstheme="majorBidi"/>
          <w:sz w:val="24"/>
          <w:szCs w:val="24"/>
          <w:lang w:val="en-GB"/>
        </w:rPr>
        <w:t>S</w:t>
      </w:r>
      <w:r w:rsidRPr="004221B6">
        <w:rPr>
          <w:rFonts w:asciiTheme="majorBidi" w:eastAsiaTheme="minorEastAsia" w:hAnsiTheme="majorBidi" w:cstheme="majorBidi"/>
          <w:sz w:val="24"/>
          <w:szCs w:val="24"/>
          <w:lang w:val="en-GB"/>
        </w:rPr>
        <w:t>2]</w:t>
      </w:r>
    </w:p>
    <w:p w14:paraId="561CF1EE" w14:textId="3703C46C" w:rsidR="004221B6" w:rsidRDefault="004221B6" w:rsidP="00B67CDD">
      <w:pPr>
        <w:spacing w:line="360" w:lineRule="auto"/>
        <w:jc w:val="both"/>
        <w:rPr>
          <w:rFonts w:asciiTheme="majorBidi" w:hAnsiTheme="majorBidi" w:cstheme="majorBidi"/>
          <w:sz w:val="24"/>
          <w:szCs w:val="24"/>
          <w:lang w:val="en-GB"/>
        </w:rPr>
      </w:pPr>
      <w:r w:rsidRPr="004221B6">
        <w:rPr>
          <w:rFonts w:asciiTheme="majorBidi" w:hAnsiTheme="majorBidi" w:cstheme="majorBidi"/>
          <w:sz w:val="24"/>
          <w:szCs w:val="24"/>
          <w:lang w:val="en-GB"/>
        </w:rPr>
        <w:t xml:space="preserve">where </w:t>
      </w:r>
      <w:proofErr w:type="spellStart"/>
      <w:r w:rsidRPr="004221B6">
        <w:rPr>
          <w:rFonts w:asciiTheme="majorBidi" w:hAnsiTheme="majorBidi" w:cstheme="majorBidi"/>
          <w:sz w:val="24"/>
          <w:szCs w:val="24"/>
          <w:lang w:val="en-GB"/>
        </w:rPr>
        <w:t>Δt</w:t>
      </w:r>
      <w:proofErr w:type="spellEnd"/>
      <w:r w:rsidRPr="004221B6">
        <w:rPr>
          <w:rFonts w:asciiTheme="majorBidi" w:hAnsiTheme="majorBidi" w:cstheme="majorBidi"/>
          <w:sz w:val="24"/>
          <w:szCs w:val="24"/>
          <w:lang w:val="en-GB"/>
        </w:rPr>
        <w:t xml:space="preserve"> is the thickness of the composite sample. </w:t>
      </w:r>
    </w:p>
    <w:p w14:paraId="3D46C0C3" w14:textId="33908900"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r w:rsidRPr="007B12CE">
        <w:rPr>
          <w:rFonts w:ascii="Times New Roman" w:eastAsia="Times New Roman" w:hAnsi="Times New Roman" w:cs="Times New Roman"/>
          <w:kern w:val="0"/>
          <w:sz w:val="24"/>
          <w:szCs w:val="24"/>
          <w:lang w:val="en-GB" w:bidi="ar-SA"/>
          <w14:ligatures w14:val="none"/>
        </w:rPr>
        <w:t xml:space="preserve">The thermal conductivity of the </w:t>
      </w:r>
      <w:r>
        <w:rPr>
          <w:rFonts w:ascii="Times New Roman" w:eastAsia="Times New Roman" w:hAnsi="Times New Roman" w:cs="Times New Roman"/>
          <w:kern w:val="0"/>
          <w:sz w:val="24"/>
          <w:szCs w:val="24"/>
          <w:lang w:val="en-GB" w:bidi="ar-SA"/>
          <w14:ligatures w14:val="none"/>
        </w:rPr>
        <w:t>encapsulated GF_RT44 and GF_RT35 composite samples are</w:t>
      </w:r>
      <w:r w:rsidRPr="007B12CE">
        <w:rPr>
          <w:rFonts w:ascii="Times New Roman" w:eastAsia="Times New Roman" w:hAnsi="Times New Roman" w:cs="Times New Roman"/>
          <w:kern w:val="0"/>
          <w:sz w:val="24"/>
          <w:szCs w:val="24"/>
          <w:lang w:val="en-GB" w:bidi="ar-SA"/>
          <w14:ligatures w14:val="none"/>
        </w:rPr>
        <w:t xml:space="preserve"> shown in the Table. The experiments were repeated three times at different temperature gradients</w:t>
      </w:r>
      <w:r>
        <w:rPr>
          <w:rFonts w:ascii="Times New Roman" w:eastAsia="Times New Roman" w:hAnsi="Times New Roman" w:cs="Times New Roman"/>
          <w:kern w:val="0"/>
          <w:sz w:val="24"/>
          <w:szCs w:val="24"/>
          <w:lang w:val="en-GB" w:bidi="ar-SA"/>
          <w14:ligatures w14:val="none"/>
        </w:rPr>
        <w:t>, and the standard deviations in the thermal conductivity measurements are given in parentheses</w:t>
      </w:r>
      <w:r w:rsidRPr="007B12CE">
        <w:rPr>
          <w:rFonts w:ascii="Times New Roman" w:eastAsia="Times New Roman" w:hAnsi="Times New Roman" w:cs="Times New Roman"/>
          <w:kern w:val="0"/>
          <w:sz w:val="24"/>
          <w:szCs w:val="24"/>
          <w:lang w:val="en-GB" w:bidi="ar-SA"/>
          <w14:ligatures w14:val="none"/>
        </w:rPr>
        <w:t>.</w:t>
      </w:r>
    </w:p>
    <w:p w14:paraId="5E5DD9A5" w14:textId="77777777"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p>
    <w:p w14:paraId="517382DB" w14:textId="77777777"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p>
    <w:p w14:paraId="576FE552" w14:textId="77777777"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p>
    <w:p w14:paraId="7ABD6BDA" w14:textId="77777777"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r w:rsidRPr="007B12CE">
        <w:rPr>
          <w:rFonts w:ascii="Times New Roman" w:eastAsia="Times New Roman" w:hAnsi="Times New Roman" w:cs="Times New Roman"/>
          <w:b/>
          <w:kern w:val="0"/>
          <w:sz w:val="24"/>
          <w:szCs w:val="24"/>
          <w:lang w:val="en-GB" w:bidi="ar-SA"/>
          <w14:ligatures w14:val="none"/>
        </w:rPr>
        <w:t>Table 1:</w:t>
      </w:r>
      <w:r w:rsidRPr="007B12CE">
        <w:rPr>
          <w:rFonts w:ascii="Times New Roman" w:eastAsia="Times New Roman" w:hAnsi="Times New Roman" w:cs="Times New Roman"/>
          <w:kern w:val="0"/>
          <w:sz w:val="24"/>
          <w:szCs w:val="24"/>
          <w:lang w:val="en-GB" w:bidi="ar-SA"/>
          <w14:ligatures w14:val="none"/>
        </w:rPr>
        <w:t xml:space="preserve"> Thermal conductivity of the composite samples obtained from the TGHP apparatus (standard deviations of 3 repeated measurements are given in parenthesis)</w:t>
      </w:r>
    </w:p>
    <w:tbl>
      <w:tblPr>
        <w:tblW w:w="6660" w:type="dxa"/>
        <w:jc w:val="center"/>
        <w:tblLook w:val="04A0" w:firstRow="1" w:lastRow="0" w:firstColumn="1" w:lastColumn="0" w:noHBand="0" w:noVBand="1"/>
      </w:tblPr>
      <w:tblGrid>
        <w:gridCol w:w="1440"/>
        <w:gridCol w:w="1213"/>
        <w:gridCol w:w="1577"/>
        <w:gridCol w:w="1080"/>
        <w:gridCol w:w="1350"/>
      </w:tblGrid>
      <w:tr w:rsidR="00FB4321" w:rsidRPr="007B12CE" w14:paraId="6E45B208" w14:textId="77777777" w:rsidTr="00FB4321">
        <w:trPr>
          <w:trHeight w:val="288"/>
          <w:jc w:val="center"/>
        </w:trPr>
        <w:tc>
          <w:tcPr>
            <w:tcW w:w="1440" w:type="dxa"/>
            <w:tcBorders>
              <w:top w:val="single" w:sz="4" w:space="0" w:color="auto"/>
              <w:left w:val="nil"/>
              <w:bottom w:val="single" w:sz="4" w:space="0" w:color="auto"/>
              <w:right w:val="nil"/>
            </w:tcBorders>
            <w:shd w:val="clear" w:color="auto" w:fill="auto"/>
            <w:noWrap/>
            <w:vAlign w:val="center"/>
            <w:hideMark/>
          </w:tcPr>
          <w:p w14:paraId="4FDF8E12" w14:textId="77777777" w:rsidR="00FB4321" w:rsidRPr="007B12CE" w:rsidRDefault="00FB4321" w:rsidP="007B12CE">
            <w:pPr>
              <w:spacing w:after="0" w:line="360" w:lineRule="auto"/>
              <w:jc w:val="both"/>
              <w:rPr>
                <w:rFonts w:ascii="Times New Roman" w:eastAsia="Times New Roman" w:hAnsi="Times New Roman" w:cs="Times New Roman"/>
                <w:b/>
                <w:kern w:val="0"/>
                <w:sz w:val="24"/>
                <w:szCs w:val="24"/>
                <w:lang w:bidi="ar-SA"/>
                <w14:ligatures w14:val="none"/>
              </w:rPr>
            </w:pPr>
            <w:r w:rsidRPr="007B12CE">
              <w:rPr>
                <w:rFonts w:ascii="Times New Roman" w:eastAsia="Times New Roman" w:hAnsi="Times New Roman" w:cs="Times New Roman"/>
                <w:b/>
                <w:kern w:val="0"/>
                <w:sz w:val="24"/>
                <w:szCs w:val="24"/>
                <w:lang w:bidi="ar-SA"/>
                <w14:ligatures w14:val="none"/>
              </w:rPr>
              <w:t>Composite</w:t>
            </w:r>
          </w:p>
        </w:tc>
        <w:tc>
          <w:tcPr>
            <w:tcW w:w="1213" w:type="dxa"/>
            <w:tcBorders>
              <w:top w:val="single" w:sz="4" w:space="0" w:color="auto"/>
              <w:left w:val="nil"/>
              <w:bottom w:val="single" w:sz="4" w:space="0" w:color="auto"/>
              <w:right w:val="nil"/>
            </w:tcBorders>
            <w:shd w:val="clear" w:color="auto" w:fill="auto"/>
            <w:noWrap/>
            <w:vAlign w:val="center"/>
            <w:hideMark/>
          </w:tcPr>
          <w:p w14:paraId="1B0C8F21" w14:textId="77777777"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sidRPr="007B12CE">
              <w:rPr>
                <w:rFonts w:ascii="Times New Roman" w:eastAsia="Times New Roman" w:hAnsi="Times New Roman" w:cs="Times New Roman"/>
                <w:b/>
                <w:color w:val="000000"/>
                <w:kern w:val="0"/>
                <w:sz w:val="24"/>
                <w:szCs w:val="24"/>
                <w:lang w:bidi="ar-SA"/>
                <w14:ligatures w14:val="none"/>
              </w:rPr>
              <w:t>(T</w:t>
            </w:r>
            <w:r w:rsidRPr="007B12CE">
              <w:rPr>
                <w:rFonts w:ascii="Times New Roman" w:eastAsia="Times New Roman" w:hAnsi="Times New Roman" w:cs="Times New Roman"/>
                <w:b/>
                <w:color w:val="000000"/>
                <w:kern w:val="0"/>
                <w:sz w:val="24"/>
                <w:szCs w:val="24"/>
                <w:vertAlign w:val="subscript"/>
                <w:lang w:bidi="ar-SA"/>
                <w14:ligatures w14:val="none"/>
              </w:rPr>
              <w:t>1</w:t>
            </w:r>
            <w:r w:rsidRPr="007B12CE">
              <w:rPr>
                <w:rFonts w:ascii="Times New Roman" w:eastAsia="Times New Roman" w:hAnsi="Times New Roman" w:cs="Times New Roman"/>
                <w:b/>
                <w:color w:val="000000"/>
                <w:kern w:val="0"/>
                <w:sz w:val="24"/>
                <w:szCs w:val="24"/>
                <w:lang w:bidi="ar-SA"/>
                <w14:ligatures w14:val="none"/>
              </w:rPr>
              <w:t>-T</w:t>
            </w:r>
            <w:r w:rsidRPr="007B12CE">
              <w:rPr>
                <w:rFonts w:ascii="Times New Roman" w:eastAsia="Times New Roman" w:hAnsi="Times New Roman" w:cs="Times New Roman"/>
                <w:b/>
                <w:color w:val="000000"/>
                <w:kern w:val="0"/>
                <w:sz w:val="24"/>
                <w:szCs w:val="24"/>
                <w:vertAlign w:val="subscript"/>
                <w:lang w:bidi="ar-SA"/>
                <w14:ligatures w14:val="none"/>
              </w:rPr>
              <w:t>2</w:t>
            </w:r>
            <w:r w:rsidRPr="007B12CE">
              <w:rPr>
                <w:rFonts w:ascii="Times New Roman" w:eastAsia="Times New Roman" w:hAnsi="Times New Roman" w:cs="Times New Roman"/>
                <w:b/>
                <w:color w:val="000000"/>
                <w:kern w:val="0"/>
                <w:sz w:val="24"/>
                <w:szCs w:val="24"/>
                <w:lang w:bidi="ar-SA"/>
                <w14:ligatures w14:val="none"/>
              </w:rPr>
              <w:t>)/Q</w:t>
            </w:r>
          </w:p>
        </w:tc>
        <w:tc>
          <w:tcPr>
            <w:tcW w:w="1577" w:type="dxa"/>
            <w:tcBorders>
              <w:top w:val="single" w:sz="4" w:space="0" w:color="auto"/>
              <w:left w:val="nil"/>
              <w:bottom w:val="single" w:sz="4" w:space="0" w:color="auto"/>
              <w:right w:val="nil"/>
            </w:tcBorders>
            <w:shd w:val="clear" w:color="auto" w:fill="auto"/>
            <w:noWrap/>
            <w:vAlign w:val="center"/>
            <w:hideMark/>
          </w:tcPr>
          <w:p w14:paraId="4BDBABB8" w14:textId="77777777"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sidRPr="007B12CE">
              <w:rPr>
                <w:rFonts w:ascii="Times New Roman" w:eastAsia="Times New Roman" w:hAnsi="Times New Roman" w:cs="Times New Roman"/>
                <w:b/>
                <w:color w:val="000000"/>
                <w:kern w:val="0"/>
                <w:sz w:val="24"/>
                <w:szCs w:val="24"/>
                <w:lang w:bidi="ar-SA"/>
                <w14:ligatures w14:val="none"/>
              </w:rPr>
              <w:t>R</w:t>
            </w:r>
            <w:r w:rsidRPr="007B12CE">
              <w:rPr>
                <w:rFonts w:ascii="Times New Roman" w:eastAsia="Times New Roman" w:hAnsi="Times New Roman" w:cs="Times New Roman"/>
                <w:b/>
                <w:color w:val="000000"/>
                <w:kern w:val="0"/>
                <w:sz w:val="24"/>
                <w:szCs w:val="24"/>
                <w:vertAlign w:val="subscript"/>
                <w:lang w:bidi="ar-SA"/>
                <w14:ligatures w14:val="none"/>
              </w:rPr>
              <w:t>s</w:t>
            </w:r>
            <w:r w:rsidRPr="007B12CE">
              <w:rPr>
                <w:rFonts w:ascii="Times New Roman" w:eastAsia="Times New Roman" w:hAnsi="Times New Roman" w:cs="Times New Roman"/>
                <w:b/>
                <w:color w:val="000000"/>
                <w:kern w:val="0"/>
                <w:sz w:val="24"/>
                <w:szCs w:val="24"/>
                <w:lang w:bidi="ar-SA"/>
                <w14:ligatures w14:val="none"/>
              </w:rPr>
              <w:t xml:space="preserve"> (cm</w:t>
            </w:r>
            <w:proofErr w:type="gramStart"/>
            <w:r w:rsidRPr="007B12CE">
              <w:rPr>
                <w:rFonts w:ascii="Times New Roman" w:eastAsia="Times New Roman" w:hAnsi="Times New Roman" w:cs="Times New Roman"/>
                <w:b/>
                <w:color w:val="000000"/>
                <w:kern w:val="0"/>
                <w:sz w:val="24"/>
                <w:szCs w:val="24"/>
                <w:vertAlign w:val="superscript"/>
                <w:lang w:bidi="ar-SA"/>
                <w14:ligatures w14:val="none"/>
              </w:rPr>
              <w:t>2</w:t>
            </w:r>
            <w:r w:rsidRPr="007B12CE">
              <w:rPr>
                <w:rFonts w:ascii="Times New Roman" w:eastAsia="Times New Roman" w:hAnsi="Times New Roman" w:cs="Times New Roman"/>
                <w:b/>
                <w:color w:val="000000"/>
                <w:kern w:val="0"/>
                <w:sz w:val="24"/>
                <w:szCs w:val="24"/>
                <w:lang w:bidi="ar-SA"/>
                <w14:ligatures w14:val="none"/>
              </w:rPr>
              <w:t>.℃</w:t>
            </w:r>
            <w:proofErr w:type="gramEnd"/>
            <w:r w:rsidRPr="007B12CE">
              <w:rPr>
                <w:rFonts w:ascii="Times New Roman" w:eastAsia="Times New Roman" w:hAnsi="Times New Roman" w:cs="Times New Roman"/>
                <w:b/>
                <w:color w:val="000000"/>
                <w:kern w:val="0"/>
                <w:sz w:val="24"/>
                <w:szCs w:val="24"/>
                <w:lang w:bidi="ar-SA"/>
                <w14:ligatures w14:val="none"/>
              </w:rPr>
              <w:t>/W)</w:t>
            </w:r>
          </w:p>
        </w:tc>
        <w:tc>
          <w:tcPr>
            <w:tcW w:w="1080" w:type="dxa"/>
            <w:tcBorders>
              <w:top w:val="single" w:sz="4" w:space="0" w:color="auto"/>
              <w:left w:val="nil"/>
              <w:bottom w:val="single" w:sz="4" w:space="0" w:color="auto"/>
              <w:right w:val="nil"/>
            </w:tcBorders>
            <w:shd w:val="clear" w:color="auto" w:fill="auto"/>
            <w:noWrap/>
            <w:vAlign w:val="center"/>
            <w:hideMark/>
          </w:tcPr>
          <w:p w14:paraId="45579DAA" w14:textId="77777777"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proofErr w:type="spellStart"/>
            <w:r w:rsidRPr="007B12CE">
              <w:rPr>
                <w:rFonts w:ascii="Times New Roman" w:eastAsia="Times New Roman" w:hAnsi="Times New Roman" w:cs="Times New Roman"/>
                <w:b/>
                <w:color w:val="000000"/>
                <w:kern w:val="0"/>
                <w:sz w:val="24"/>
                <w:szCs w:val="24"/>
                <w:lang w:bidi="ar-SA"/>
                <w14:ligatures w14:val="none"/>
              </w:rPr>
              <w:t>Δt</w:t>
            </w:r>
            <w:proofErr w:type="spellEnd"/>
            <w:r w:rsidRPr="007B12CE">
              <w:rPr>
                <w:rFonts w:ascii="Times New Roman" w:eastAsia="Times New Roman" w:hAnsi="Times New Roman" w:cs="Times New Roman"/>
                <w:b/>
                <w:color w:val="000000"/>
                <w:kern w:val="0"/>
                <w:sz w:val="24"/>
                <w:szCs w:val="24"/>
                <w:lang w:bidi="ar-SA"/>
                <w14:ligatures w14:val="none"/>
              </w:rPr>
              <w:t xml:space="preserve"> (mm)</w:t>
            </w:r>
          </w:p>
        </w:tc>
        <w:tc>
          <w:tcPr>
            <w:tcW w:w="1350" w:type="dxa"/>
            <w:tcBorders>
              <w:top w:val="single" w:sz="4" w:space="0" w:color="auto"/>
              <w:left w:val="nil"/>
              <w:bottom w:val="single" w:sz="4" w:space="0" w:color="auto"/>
              <w:right w:val="nil"/>
            </w:tcBorders>
            <w:shd w:val="clear" w:color="auto" w:fill="auto"/>
            <w:noWrap/>
            <w:vAlign w:val="center"/>
            <w:hideMark/>
          </w:tcPr>
          <w:p w14:paraId="4D486B35" w14:textId="77777777"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sidRPr="007B12CE">
              <w:rPr>
                <w:rFonts w:ascii="Times New Roman" w:eastAsia="Times New Roman" w:hAnsi="Times New Roman" w:cs="Times New Roman"/>
                <w:b/>
                <w:color w:val="000000"/>
                <w:kern w:val="0"/>
                <w:sz w:val="24"/>
                <w:szCs w:val="24"/>
                <w:lang w:bidi="ar-SA"/>
                <w14:ligatures w14:val="none"/>
              </w:rPr>
              <w:t>λ (W/m.℃)</w:t>
            </w:r>
          </w:p>
        </w:tc>
      </w:tr>
      <w:tr w:rsidR="00FB4321" w:rsidRPr="007B12CE" w14:paraId="4B19D945" w14:textId="77777777" w:rsidTr="00FB4321">
        <w:trPr>
          <w:trHeight w:val="288"/>
          <w:jc w:val="center"/>
        </w:trPr>
        <w:tc>
          <w:tcPr>
            <w:tcW w:w="1440" w:type="dxa"/>
            <w:tcBorders>
              <w:top w:val="single" w:sz="4" w:space="0" w:color="auto"/>
              <w:left w:val="nil"/>
              <w:bottom w:val="nil"/>
              <w:right w:val="nil"/>
            </w:tcBorders>
            <w:shd w:val="clear" w:color="auto" w:fill="auto"/>
            <w:noWrap/>
            <w:vAlign w:val="center"/>
            <w:hideMark/>
          </w:tcPr>
          <w:p w14:paraId="02CBDEB0" w14:textId="660F5C72"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Pr>
                <w:rFonts w:ascii="Times New Roman" w:eastAsia="Times New Roman" w:hAnsi="Times New Roman" w:cs="Times New Roman"/>
                <w:b/>
                <w:color w:val="000000"/>
                <w:kern w:val="0"/>
                <w:sz w:val="24"/>
                <w:szCs w:val="24"/>
                <w:lang w:bidi="ar-SA"/>
                <w14:ligatures w14:val="none"/>
              </w:rPr>
              <w:t>GF_RT44</w:t>
            </w:r>
          </w:p>
        </w:tc>
        <w:tc>
          <w:tcPr>
            <w:tcW w:w="1213" w:type="dxa"/>
            <w:tcBorders>
              <w:top w:val="single" w:sz="4" w:space="0" w:color="auto"/>
              <w:left w:val="nil"/>
              <w:bottom w:val="nil"/>
              <w:right w:val="nil"/>
            </w:tcBorders>
            <w:shd w:val="clear" w:color="auto" w:fill="auto"/>
            <w:noWrap/>
            <w:vAlign w:val="center"/>
            <w:hideMark/>
          </w:tcPr>
          <w:p w14:paraId="4EDE399A" w14:textId="557EDA84"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sidRPr="007B12CE">
              <w:rPr>
                <w:rFonts w:ascii="Times New Roman" w:eastAsia="Times New Roman" w:hAnsi="Times New Roman" w:cs="Times New Roman"/>
                <w:color w:val="000000"/>
                <w:kern w:val="0"/>
                <w:sz w:val="24"/>
                <w:szCs w:val="24"/>
                <w:lang w:bidi="ar-SA"/>
                <w14:ligatures w14:val="none"/>
              </w:rPr>
              <w:t>0.00</w:t>
            </w:r>
            <w:r>
              <w:rPr>
                <w:rFonts w:ascii="Times New Roman" w:eastAsia="Times New Roman" w:hAnsi="Times New Roman" w:cs="Times New Roman"/>
                <w:color w:val="000000"/>
                <w:kern w:val="0"/>
                <w:sz w:val="24"/>
                <w:szCs w:val="24"/>
                <w:lang w:bidi="ar-SA"/>
                <w14:ligatures w14:val="none"/>
              </w:rPr>
              <w:t>756</w:t>
            </w:r>
          </w:p>
        </w:tc>
        <w:tc>
          <w:tcPr>
            <w:tcW w:w="1577" w:type="dxa"/>
            <w:tcBorders>
              <w:top w:val="single" w:sz="4" w:space="0" w:color="auto"/>
              <w:left w:val="nil"/>
              <w:bottom w:val="nil"/>
              <w:right w:val="nil"/>
            </w:tcBorders>
            <w:shd w:val="clear" w:color="auto" w:fill="auto"/>
            <w:noWrap/>
            <w:vAlign w:val="center"/>
            <w:hideMark/>
          </w:tcPr>
          <w:p w14:paraId="3E54B179" w14:textId="53973F38"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Pr>
                <w:rFonts w:ascii="Times New Roman" w:eastAsia="Times New Roman" w:hAnsi="Times New Roman" w:cs="Times New Roman"/>
                <w:color w:val="000000"/>
                <w:kern w:val="0"/>
                <w:sz w:val="24"/>
                <w:szCs w:val="24"/>
                <w:lang w:bidi="ar-SA"/>
                <w14:ligatures w14:val="none"/>
              </w:rPr>
              <w:t>37.4204</w:t>
            </w:r>
          </w:p>
        </w:tc>
        <w:tc>
          <w:tcPr>
            <w:tcW w:w="1080" w:type="dxa"/>
            <w:tcBorders>
              <w:top w:val="single" w:sz="4" w:space="0" w:color="auto"/>
              <w:left w:val="nil"/>
              <w:bottom w:val="nil"/>
              <w:right w:val="nil"/>
            </w:tcBorders>
            <w:shd w:val="clear" w:color="auto" w:fill="auto"/>
            <w:noWrap/>
            <w:vAlign w:val="center"/>
            <w:hideMark/>
          </w:tcPr>
          <w:p w14:paraId="52293158" w14:textId="4DA505A3"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Pr>
                <w:rFonts w:ascii="Times New Roman" w:eastAsia="Times New Roman" w:hAnsi="Times New Roman" w:cs="Times New Roman"/>
                <w:color w:val="000000"/>
                <w:kern w:val="0"/>
                <w:sz w:val="24"/>
                <w:szCs w:val="24"/>
                <w:lang w:bidi="ar-SA"/>
                <w14:ligatures w14:val="none"/>
              </w:rPr>
              <w:t>16.5</w:t>
            </w:r>
          </w:p>
        </w:tc>
        <w:tc>
          <w:tcPr>
            <w:tcW w:w="1350" w:type="dxa"/>
            <w:tcBorders>
              <w:top w:val="single" w:sz="4" w:space="0" w:color="auto"/>
              <w:left w:val="nil"/>
              <w:bottom w:val="nil"/>
              <w:right w:val="nil"/>
            </w:tcBorders>
            <w:shd w:val="clear" w:color="auto" w:fill="auto"/>
            <w:noWrap/>
            <w:vAlign w:val="center"/>
            <w:hideMark/>
          </w:tcPr>
          <w:p w14:paraId="1156D443" w14:textId="4DC2CE28"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Pr>
                <w:rFonts w:ascii="Times New Roman" w:eastAsia="Times New Roman" w:hAnsi="Times New Roman" w:cs="Times New Roman"/>
                <w:b/>
                <w:color w:val="000000"/>
                <w:kern w:val="0"/>
                <w:sz w:val="24"/>
                <w:szCs w:val="24"/>
                <w:lang w:bidi="ar-SA"/>
                <w14:ligatures w14:val="none"/>
              </w:rPr>
              <w:t>4.41</w:t>
            </w:r>
            <w:r w:rsidRPr="007B12CE">
              <w:rPr>
                <w:rFonts w:ascii="Times New Roman" w:eastAsia="Times New Roman" w:hAnsi="Times New Roman" w:cs="Times New Roman"/>
                <w:b/>
                <w:color w:val="000000"/>
                <w:kern w:val="0"/>
                <w:sz w:val="24"/>
                <w:szCs w:val="24"/>
                <w:lang w:bidi="ar-SA"/>
                <w14:ligatures w14:val="none"/>
              </w:rPr>
              <w:t xml:space="preserve"> (0.05)</w:t>
            </w:r>
          </w:p>
        </w:tc>
      </w:tr>
      <w:tr w:rsidR="00FB4321" w:rsidRPr="007B12CE" w14:paraId="7ADD4387" w14:textId="77777777" w:rsidTr="00FB4321">
        <w:trPr>
          <w:trHeight w:val="288"/>
          <w:jc w:val="center"/>
        </w:trPr>
        <w:tc>
          <w:tcPr>
            <w:tcW w:w="1440" w:type="dxa"/>
            <w:tcBorders>
              <w:top w:val="nil"/>
              <w:left w:val="nil"/>
              <w:bottom w:val="single" w:sz="4" w:space="0" w:color="auto"/>
              <w:right w:val="nil"/>
            </w:tcBorders>
            <w:shd w:val="clear" w:color="auto" w:fill="auto"/>
            <w:noWrap/>
            <w:vAlign w:val="center"/>
            <w:hideMark/>
          </w:tcPr>
          <w:p w14:paraId="7F7E22BB" w14:textId="1F92914B"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Pr>
                <w:rFonts w:ascii="Times New Roman" w:eastAsia="Times New Roman" w:hAnsi="Times New Roman" w:cs="Times New Roman"/>
                <w:b/>
                <w:color w:val="000000"/>
                <w:kern w:val="0"/>
                <w:sz w:val="24"/>
                <w:szCs w:val="24"/>
                <w:lang w:bidi="ar-SA"/>
                <w14:ligatures w14:val="none"/>
              </w:rPr>
              <w:t>GF_RT35</w:t>
            </w:r>
          </w:p>
        </w:tc>
        <w:tc>
          <w:tcPr>
            <w:tcW w:w="1213" w:type="dxa"/>
            <w:tcBorders>
              <w:top w:val="nil"/>
              <w:left w:val="nil"/>
              <w:bottom w:val="single" w:sz="4" w:space="0" w:color="auto"/>
              <w:right w:val="nil"/>
            </w:tcBorders>
            <w:shd w:val="clear" w:color="auto" w:fill="auto"/>
            <w:noWrap/>
            <w:vAlign w:val="center"/>
            <w:hideMark/>
          </w:tcPr>
          <w:p w14:paraId="46748850" w14:textId="0DE80269"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sidRPr="007B12CE">
              <w:rPr>
                <w:rFonts w:ascii="Times New Roman" w:eastAsia="Times New Roman" w:hAnsi="Times New Roman" w:cs="Times New Roman"/>
                <w:color w:val="000000"/>
                <w:kern w:val="0"/>
                <w:sz w:val="24"/>
                <w:szCs w:val="24"/>
                <w:lang w:bidi="ar-SA"/>
                <w14:ligatures w14:val="none"/>
              </w:rPr>
              <w:t>0.00</w:t>
            </w:r>
            <w:r>
              <w:rPr>
                <w:rFonts w:ascii="Times New Roman" w:eastAsia="Times New Roman" w:hAnsi="Times New Roman" w:cs="Times New Roman"/>
                <w:color w:val="000000"/>
                <w:kern w:val="0"/>
                <w:sz w:val="24"/>
                <w:szCs w:val="24"/>
                <w:lang w:bidi="ar-SA"/>
                <w14:ligatures w14:val="none"/>
              </w:rPr>
              <w:t>754</w:t>
            </w:r>
          </w:p>
        </w:tc>
        <w:tc>
          <w:tcPr>
            <w:tcW w:w="1577" w:type="dxa"/>
            <w:tcBorders>
              <w:top w:val="nil"/>
              <w:left w:val="nil"/>
              <w:bottom w:val="single" w:sz="4" w:space="0" w:color="auto"/>
              <w:right w:val="nil"/>
            </w:tcBorders>
            <w:shd w:val="clear" w:color="auto" w:fill="auto"/>
            <w:noWrap/>
            <w:vAlign w:val="center"/>
            <w:hideMark/>
          </w:tcPr>
          <w:p w14:paraId="7F9E40EC" w14:textId="2C3B97F2"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Pr>
                <w:rFonts w:ascii="Times New Roman" w:eastAsia="Times New Roman" w:hAnsi="Times New Roman" w:cs="Times New Roman"/>
                <w:color w:val="000000"/>
                <w:kern w:val="0"/>
                <w:sz w:val="24"/>
                <w:szCs w:val="24"/>
                <w:lang w:bidi="ar-SA"/>
                <w14:ligatures w14:val="none"/>
              </w:rPr>
              <w:t>37.2952</w:t>
            </w:r>
          </w:p>
        </w:tc>
        <w:tc>
          <w:tcPr>
            <w:tcW w:w="1080" w:type="dxa"/>
            <w:tcBorders>
              <w:top w:val="nil"/>
              <w:left w:val="nil"/>
              <w:bottom w:val="single" w:sz="4" w:space="0" w:color="auto"/>
              <w:right w:val="nil"/>
            </w:tcBorders>
            <w:shd w:val="clear" w:color="auto" w:fill="auto"/>
            <w:noWrap/>
            <w:vAlign w:val="center"/>
            <w:hideMark/>
          </w:tcPr>
          <w:p w14:paraId="752D9218" w14:textId="33232276" w:rsidR="00FB4321" w:rsidRPr="007B12CE" w:rsidRDefault="00FB4321" w:rsidP="007B12CE">
            <w:pPr>
              <w:spacing w:after="0" w:line="360" w:lineRule="auto"/>
              <w:rPr>
                <w:rFonts w:ascii="Times New Roman" w:eastAsia="Times New Roman" w:hAnsi="Times New Roman" w:cs="Times New Roman"/>
                <w:color w:val="000000"/>
                <w:kern w:val="0"/>
                <w:sz w:val="24"/>
                <w:szCs w:val="24"/>
                <w:lang w:bidi="ar-SA"/>
                <w14:ligatures w14:val="none"/>
              </w:rPr>
            </w:pPr>
            <w:r>
              <w:rPr>
                <w:rFonts w:ascii="Times New Roman" w:eastAsia="Times New Roman" w:hAnsi="Times New Roman" w:cs="Times New Roman"/>
                <w:color w:val="000000"/>
                <w:kern w:val="0"/>
                <w:sz w:val="24"/>
                <w:szCs w:val="24"/>
                <w:lang w:bidi="ar-SA"/>
                <w14:ligatures w14:val="none"/>
              </w:rPr>
              <w:t>16.2</w:t>
            </w:r>
          </w:p>
        </w:tc>
        <w:tc>
          <w:tcPr>
            <w:tcW w:w="1350" w:type="dxa"/>
            <w:tcBorders>
              <w:top w:val="nil"/>
              <w:left w:val="nil"/>
              <w:bottom w:val="single" w:sz="4" w:space="0" w:color="auto"/>
              <w:right w:val="nil"/>
            </w:tcBorders>
            <w:shd w:val="clear" w:color="auto" w:fill="auto"/>
            <w:noWrap/>
            <w:vAlign w:val="center"/>
            <w:hideMark/>
          </w:tcPr>
          <w:p w14:paraId="704AA65D" w14:textId="09F5EF3A" w:rsidR="00FB4321" w:rsidRPr="007B12CE" w:rsidRDefault="00FB4321" w:rsidP="007B12CE">
            <w:pPr>
              <w:spacing w:after="0" w:line="360" w:lineRule="auto"/>
              <w:rPr>
                <w:rFonts w:ascii="Times New Roman" w:eastAsia="Times New Roman" w:hAnsi="Times New Roman" w:cs="Times New Roman"/>
                <w:b/>
                <w:color w:val="000000"/>
                <w:kern w:val="0"/>
                <w:sz w:val="24"/>
                <w:szCs w:val="24"/>
                <w:lang w:bidi="ar-SA"/>
                <w14:ligatures w14:val="none"/>
              </w:rPr>
            </w:pPr>
            <w:r>
              <w:rPr>
                <w:rFonts w:ascii="Times New Roman" w:eastAsia="Times New Roman" w:hAnsi="Times New Roman" w:cs="Times New Roman"/>
                <w:b/>
                <w:color w:val="000000"/>
                <w:kern w:val="0"/>
                <w:sz w:val="24"/>
                <w:szCs w:val="24"/>
                <w:lang w:bidi="ar-SA"/>
                <w14:ligatures w14:val="none"/>
              </w:rPr>
              <w:t>4.34</w:t>
            </w:r>
            <w:r w:rsidRPr="007B12CE">
              <w:rPr>
                <w:rFonts w:ascii="Times New Roman" w:eastAsia="Times New Roman" w:hAnsi="Times New Roman" w:cs="Times New Roman"/>
                <w:b/>
                <w:color w:val="000000"/>
                <w:kern w:val="0"/>
                <w:sz w:val="24"/>
                <w:szCs w:val="24"/>
                <w:lang w:bidi="ar-SA"/>
                <w14:ligatures w14:val="none"/>
              </w:rPr>
              <w:t xml:space="preserve"> (0.01)</w:t>
            </w:r>
          </w:p>
        </w:tc>
      </w:tr>
    </w:tbl>
    <w:p w14:paraId="15749B17" w14:textId="77777777" w:rsidR="007B12CE" w:rsidRPr="007B12CE" w:rsidRDefault="007B12CE" w:rsidP="007B12CE">
      <w:pPr>
        <w:spacing w:after="0" w:line="360" w:lineRule="auto"/>
        <w:jc w:val="both"/>
        <w:rPr>
          <w:rFonts w:ascii="Times New Roman" w:eastAsia="Times New Roman" w:hAnsi="Times New Roman" w:cs="Times New Roman"/>
          <w:kern w:val="0"/>
          <w:sz w:val="24"/>
          <w:szCs w:val="24"/>
          <w:lang w:val="en-GB" w:bidi="ar-SA"/>
          <w14:ligatures w14:val="none"/>
        </w:rPr>
      </w:pPr>
    </w:p>
    <w:p w14:paraId="5730550E" w14:textId="496BDB9D" w:rsidR="007B12CE" w:rsidRPr="00F04D71" w:rsidRDefault="00F04D71" w:rsidP="00B67CDD">
      <w:pPr>
        <w:spacing w:line="360" w:lineRule="auto"/>
        <w:jc w:val="both"/>
        <w:rPr>
          <w:rFonts w:asciiTheme="majorBidi" w:hAnsiTheme="majorBidi" w:cstheme="majorBidi"/>
          <w:b/>
          <w:bCs/>
          <w:sz w:val="24"/>
          <w:szCs w:val="24"/>
        </w:rPr>
      </w:pPr>
      <w:r w:rsidRPr="00F04D71">
        <w:rPr>
          <w:rFonts w:asciiTheme="majorBidi" w:hAnsiTheme="majorBidi" w:cstheme="majorBidi"/>
          <w:b/>
          <w:bCs/>
          <w:sz w:val="24"/>
          <w:szCs w:val="24"/>
        </w:rPr>
        <w:t>References</w:t>
      </w:r>
    </w:p>
    <w:sdt>
      <w:sdtPr>
        <w:rPr>
          <w:color w:val="000000"/>
        </w:rPr>
        <w:tag w:val="MENDELEY_BIBLIOGRAPHY"/>
        <w:id w:val="-1300755964"/>
        <w:placeholder>
          <w:docPart w:val="DefaultPlaceholder_-1854013440"/>
        </w:placeholder>
      </w:sdtPr>
      <w:sdtContent>
        <w:p w14:paraId="45F48207" w14:textId="77777777" w:rsidR="00F04D71" w:rsidRPr="00F04D71" w:rsidRDefault="00F04D71">
          <w:pPr>
            <w:autoSpaceDE w:val="0"/>
            <w:autoSpaceDN w:val="0"/>
            <w:ind w:hanging="640"/>
            <w:divId w:val="1201210496"/>
            <w:rPr>
              <w:rFonts w:eastAsia="Times New Roman"/>
              <w:color w:val="000000"/>
              <w:kern w:val="0"/>
              <w:sz w:val="24"/>
              <w:szCs w:val="24"/>
              <w14:ligatures w14:val="none"/>
            </w:rPr>
          </w:pPr>
          <w:r w:rsidRPr="00F04D71">
            <w:rPr>
              <w:rFonts w:eastAsia="Times New Roman"/>
              <w:color w:val="000000"/>
            </w:rPr>
            <w:t>[1]</w:t>
          </w:r>
          <w:r w:rsidRPr="00F04D71">
            <w:rPr>
              <w:rFonts w:eastAsia="Times New Roman"/>
              <w:color w:val="000000"/>
            </w:rPr>
            <w:tab/>
            <w:t xml:space="preserve">I. </w:t>
          </w:r>
          <w:proofErr w:type="spellStart"/>
          <w:r w:rsidRPr="00F04D71">
            <w:rPr>
              <w:rFonts w:eastAsia="Times New Roman"/>
              <w:color w:val="000000"/>
            </w:rPr>
            <w:t>Chriaa</w:t>
          </w:r>
          <w:proofErr w:type="spellEnd"/>
          <w:r w:rsidRPr="00F04D71">
            <w:rPr>
              <w:rFonts w:eastAsia="Times New Roman"/>
              <w:color w:val="000000"/>
            </w:rPr>
            <w:t xml:space="preserve">, A. Trigui, M. </w:t>
          </w:r>
          <w:proofErr w:type="spellStart"/>
          <w:r w:rsidRPr="00F04D71">
            <w:rPr>
              <w:rFonts w:eastAsia="Times New Roman"/>
              <w:color w:val="000000"/>
            </w:rPr>
            <w:t>Karkri</w:t>
          </w:r>
          <w:proofErr w:type="spellEnd"/>
          <w:r w:rsidRPr="00F04D71">
            <w:rPr>
              <w:rFonts w:eastAsia="Times New Roman"/>
              <w:color w:val="000000"/>
            </w:rPr>
            <w:t xml:space="preserve">, I. </w:t>
          </w:r>
          <w:proofErr w:type="spellStart"/>
          <w:r w:rsidRPr="00F04D71">
            <w:rPr>
              <w:rFonts w:eastAsia="Times New Roman"/>
              <w:color w:val="000000"/>
            </w:rPr>
            <w:t>Jedidi</w:t>
          </w:r>
          <w:proofErr w:type="spellEnd"/>
          <w:r w:rsidRPr="00F04D71">
            <w:rPr>
              <w:rFonts w:eastAsia="Times New Roman"/>
              <w:color w:val="000000"/>
            </w:rPr>
            <w:t xml:space="preserve">, M. </w:t>
          </w:r>
          <w:proofErr w:type="spellStart"/>
          <w:r w:rsidRPr="00F04D71">
            <w:rPr>
              <w:rFonts w:eastAsia="Times New Roman"/>
              <w:color w:val="000000"/>
            </w:rPr>
            <w:t>Abdelmouleh</w:t>
          </w:r>
          <w:proofErr w:type="spellEnd"/>
          <w:r w:rsidRPr="00F04D71">
            <w:rPr>
              <w:rFonts w:eastAsia="Times New Roman"/>
              <w:color w:val="000000"/>
            </w:rPr>
            <w:t xml:space="preserve">, C. </w:t>
          </w:r>
          <w:proofErr w:type="spellStart"/>
          <w:r w:rsidRPr="00F04D71">
            <w:rPr>
              <w:rFonts w:eastAsia="Times New Roman"/>
              <w:color w:val="000000"/>
            </w:rPr>
            <w:t>Boudaya</w:t>
          </w:r>
          <w:proofErr w:type="spellEnd"/>
          <w:r w:rsidRPr="00F04D71">
            <w:rPr>
              <w:rFonts w:eastAsia="Times New Roman"/>
              <w:color w:val="000000"/>
            </w:rPr>
            <w:t xml:space="preserve">, </w:t>
          </w:r>
          <w:r w:rsidRPr="00F04D71">
            <w:rPr>
              <w:rFonts w:eastAsia="Times New Roman"/>
              <w:i/>
              <w:iCs/>
              <w:color w:val="000000"/>
            </w:rPr>
            <w:t xml:space="preserve">Appl </w:t>
          </w:r>
          <w:proofErr w:type="spellStart"/>
          <w:r w:rsidRPr="00F04D71">
            <w:rPr>
              <w:rFonts w:eastAsia="Times New Roman"/>
              <w:i/>
              <w:iCs/>
              <w:color w:val="000000"/>
            </w:rPr>
            <w:t>Therm</w:t>
          </w:r>
          <w:proofErr w:type="spellEnd"/>
          <w:r w:rsidRPr="00F04D71">
            <w:rPr>
              <w:rFonts w:eastAsia="Times New Roman"/>
              <w:i/>
              <w:iCs/>
              <w:color w:val="000000"/>
            </w:rPr>
            <w:t xml:space="preserve"> Eng</w:t>
          </w:r>
          <w:r w:rsidRPr="00F04D71">
            <w:rPr>
              <w:rFonts w:eastAsia="Times New Roman"/>
              <w:color w:val="000000"/>
            </w:rPr>
            <w:t xml:space="preserve"> </w:t>
          </w:r>
          <w:r w:rsidRPr="00F04D71">
            <w:rPr>
              <w:rFonts w:eastAsia="Times New Roman"/>
              <w:bCs/>
              <w:color w:val="000000"/>
            </w:rPr>
            <w:t>2020</w:t>
          </w:r>
          <w:r w:rsidRPr="00F04D71">
            <w:rPr>
              <w:rFonts w:eastAsia="Times New Roman"/>
              <w:color w:val="000000"/>
            </w:rPr>
            <w:t xml:space="preserve">, </w:t>
          </w:r>
          <w:r w:rsidRPr="00F04D71">
            <w:rPr>
              <w:rFonts w:eastAsia="Times New Roman"/>
              <w:i/>
              <w:iCs/>
              <w:color w:val="000000"/>
            </w:rPr>
            <w:t>171</w:t>
          </w:r>
          <w:r w:rsidRPr="00F04D71">
            <w:rPr>
              <w:rFonts w:eastAsia="Times New Roman"/>
              <w:color w:val="000000"/>
            </w:rPr>
            <w:t>, 115072.</w:t>
          </w:r>
        </w:p>
        <w:p w14:paraId="502D1A76" w14:textId="77777777" w:rsidR="00F04D71" w:rsidRPr="00F04D71" w:rsidRDefault="00F04D71">
          <w:pPr>
            <w:autoSpaceDE w:val="0"/>
            <w:autoSpaceDN w:val="0"/>
            <w:ind w:hanging="640"/>
            <w:divId w:val="1187644336"/>
            <w:rPr>
              <w:rFonts w:eastAsia="Times New Roman"/>
              <w:color w:val="000000"/>
            </w:rPr>
          </w:pPr>
          <w:r w:rsidRPr="00F04D71">
            <w:rPr>
              <w:rFonts w:eastAsia="Times New Roman"/>
              <w:color w:val="000000"/>
            </w:rPr>
            <w:t>[2]</w:t>
          </w:r>
          <w:r w:rsidRPr="00F04D71">
            <w:rPr>
              <w:rFonts w:eastAsia="Times New Roman"/>
              <w:color w:val="000000"/>
            </w:rPr>
            <w:tab/>
            <w:t xml:space="preserve">S. Nishad, H. Mohammed, P. Sobolciak, I. Krupa, </w:t>
          </w:r>
          <w:r w:rsidRPr="00F04D71">
            <w:rPr>
              <w:rFonts w:eastAsia="Times New Roman"/>
              <w:i/>
              <w:iCs/>
              <w:color w:val="000000"/>
            </w:rPr>
            <w:t>Journal of Materials Research and Technology</w:t>
          </w:r>
          <w:r w:rsidRPr="00F04D71">
            <w:rPr>
              <w:rFonts w:eastAsia="Times New Roman"/>
              <w:color w:val="000000"/>
            </w:rPr>
            <w:t xml:space="preserve"> </w:t>
          </w:r>
          <w:r w:rsidRPr="00F04D71">
            <w:rPr>
              <w:rFonts w:eastAsia="Times New Roman"/>
              <w:bCs/>
              <w:color w:val="000000"/>
            </w:rPr>
            <w:t>2023</w:t>
          </w:r>
          <w:r w:rsidRPr="00F04D71">
            <w:rPr>
              <w:rFonts w:eastAsia="Times New Roman"/>
              <w:color w:val="000000"/>
            </w:rPr>
            <w:t xml:space="preserve">, </w:t>
          </w:r>
          <w:r w:rsidRPr="00F04D71">
            <w:rPr>
              <w:rFonts w:eastAsia="Times New Roman"/>
              <w:i/>
              <w:iCs/>
              <w:color w:val="000000"/>
            </w:rPr>
            <w:t>24</w:t>
          </w:r>
          <w:r w:rsidRPr="00F04D71">
            <w:rPr>
              <w:rFonts w:eastAsia="Times New Roman"/>
              <w:color w:val="000000"/>
            </w:rPr>
            <w:t>, 3717.</w:t>
          </w:r>
        </w:p>
        <w:p w14:paraId="0AE62053" w14:textId="6D5D0B7D" w:rsidR="00F04D71" w:rsidRDefault="00F04D71" w:rsidP="00B67CDD">
          <w:pPr>
            <w:spacing w:line="360" w:lineRule="auto"/>
            <w:jc w:val="both"/>
          </w:pPr>
          <w:r w:rsidRPr="00F04D71">
            <w:rPr>
              <w:rFonts w:eastAsia="Times New Roman"/>
              <w:color w:val="000000"/>
            </w:rPr>
            <w:t> </w:t>
          </w:r>
        </w:p>
      </w:sdtContent>
    </w:sdt>
    <w:sectPr w:rsidR="00F04D71" w:rsidSect="004674A3">
      <w:pgSz w:w="12240" w:h="15840"/>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wNjE2MjY0NTOwtDRV0lEKTi0uzszPAykwrwUAUbkWLSwAAAA="/>
  </w:docVars>
  <w:rsids>
    <w:rsidRoot w:val="001B6E43"/>
    <w:rsid w:val="00030E27"/>
    <w:rsid w:val="00073F90"/>
    <w:rsid w:val="000B2D91"/>
    <w:rsid w:val="00117C1B"/>
    <w:rsid w:val="001737E9"/>
    <w:rsid w:val="0017700C"/>
    <w:rsid w:val="001A1BCB"/>
    <w:rsid w:val="001A1D66"/>
    <w:rsid w:val="001A73FB"/>
    <w:rsid w:val="001B6E43"/>
    <w:rsid w:val="001C34B5"/>
    <w:rsid w:val="001F12AD"/>
    <w:rsid w:val="001F504D"/>
    <w:rsid w:val="001F5B38"/>
    <w:rsid w:val="0024440E"/>
    <w:rsid w:val="002579F8"/>
    <w:rsid w:val="002E51A6"/>
    <w:rsid w:val="00313EC4"/>
    <w:rsid w:val="00395C81"/>
    <w:rsid w:val="003B12E1"/>
    <w:rsid w:val="003E5184"/>
    <w:rsid w:val="004221B6"/>
    <w:rsid w:val="0046726B"/>
    <w:rsid w:val="004674A3"/>
    <w:rsid w:val="00596CAB"/>
    <w:rsid w:val="006677A7"/>
    <w:rsid w:val="006859E3"/>
    <w:rsid w:val="006F1750"/>
    <w:rsid w:val="00770F0D"/>
    <w:rsid w:val="007B12CE"/>
    <w:rsid w:val="007B76D9"/>
    <w:rsid w:val="00803D64"/>
    <w:rsid w:val="00881C37"/>
    <w:rsid w:val="008F2E6E"/>
    <w:rsid w:val="008F3CDA"/>
    <w:rsid w:val="009232AF"/>
    <w:rsid w:val="00946494"/>
    <w:rsid w:val="00985492"/>
    <w:rsid w:val="00990F65"/>
    <w:rsid w:val="009A6C1A"/>
    <w:rsid w:val="00A0274A"/>
    <w:rsid w:val="00A2206F"/>
    <w:rsid w:val="00A259A2"/>
    <w:rsid w:val="00A36078"/>
    <w:rsid w:val="00A460EE"/>
    <w:rsid w:val="00AE626F"/>
    <w:rsid w:val="00AF25F8"/>
    <w:rsid w:val="00B167E7"/>
    <w:rsid w:val="00B32383"/>
    <w:rsid w:val="00B67CDD"/>
    <w:rsid w:val="00B80D22"/>
    <w:rsid w:val="00CF24B6"/>
    <w:rsid w:val="00D0325D"/>
    <w:rsid w:val="00D57F81"/>
    <w:rsid w:val="00D940C0"/>
    <w:rsid w:val="00E3791B"/>
    <w:rsid w:val="00F04D71"/>
    <w:rsid w:val="00F528EE"/>
    <w:rsid w:val="00F64B81"/>
    <w:rsid w:val="00FA7711"/>
    <w:rsid w:val="00FB4321"/>
    <w:rsid w:val="00FD4471"/>
    <w:rsid w:val="00FE13DA"/>
    <w:rsid w:val="00FF0A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0A59B"/>
  <w15:chartTrackingRefBased/>
  <w15:docId w15:val="{4AF432BB-C544-4C26-96A6-EDC49626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Full">
    <w:name w:val="Authors Full"/>
    <w:basedOn w:val="Normal"/>
    <w:rsid w:val="001B6E43"/>
    <w:pPr>
      <w:spacing w:after="0" w:line="240" w:lineRule="auto"/>
    </w:pPr>
    <w:rPr>
      <w:rFonts w:ascii="Times New Roman" w:eastAsia="MS Mincho" w:hAnsi="Times New Roman" w:cs="Times New Roman"/>
      <w:i/>
      <w:kern w:val="0"/>
      <w:sz w:val="24"/>
      <w:szCs w:val="24"/>
      <w:lang w:eastAsia="ja-JP" w:bidi="ar-SA"/>
      <w14:ligatures w14:val="none"/>
    </w:rPr>
  </w:style>
  <w:style w:type="paragraph" w:customStyle="1" w:styleId="Addresses">
    <w:name w:val="Addresses"/>
    <w:basedOn w:val="Normal"/>
    <w:rsid w:val="001B6E43"/>
    <w:pPr>
      <w:spacing w:after="0" w:line="240" w:lineRule="auto"/>
    </w:pPr>
    <w:rPr>
      <w:rFonts w:ascii="Times New Roman" w:eastAsia="MS Mincho" w:hAnsi="Times New Roman" w:cs="Times New Roman"/>
      <w:kern w:val="0"/>
      <w:sz w:val="24"/>
      <w:szCs w:val="24"/>
      <w:lang w:eastAsia="ja-JP" w:bidi="ar-SA"/>
      <w14:ligatures w14:val="none"/>
    </w:rPr>
  </w:style>
  <w:style w:type="paragraph" w:customStyle="1" w:styleId="Title2">
    <w:name w:val="Title2"/>
    <w:basedOn w:val="Normal"/>
    <w:rsid w:val="001B6E43"/>
    <w:pPr>
      <w:spacing w:after="0" w:line="240" w:lineRule="auto"/>
    </w:pPr>
    <w:rPr>
      <w:rFonts w:ascii="Times New Roman" w:eastAsia="MS Mincho" w:hAnsi="Times New Roman" w:cs="Times New Roman"/>
      <w:b/>
      <w:kern w:val="0"/>
      <w:sz w:val="24"/>
      <w:szCs w:val="24"/>
      <w:lang w:eastAsia="ja-JP" w:bidi="ar-SA"/>
      <w14:ligatures w14:val="none"/>
    </w:rPr>
  </w:style>
  <w:style w:type="paragraph" w:styleId="Caption">
    <w:name w:val="caption"/>
    <w:basedOn w:val="Normal"/>
    <w:next w:val="Normal"/>
    <w:link w:val="CaptionChar"/>
    <w:uiPriority w:val="99"/>
    <w:unhideWhenUsed/>
    <w:qFormat/>
    <w:rsid w:val="00803D64"/>
    <w:pPr>
      <w:spacing w:after="200" w:line="240" w:lineRule="auto"/>
    </w:pPr>
    <w:rPr>
      <w:i/>
      <w:iCs/>
      <w:color w:val="44546A" w:themeColor="text2"/>
      <w:sz w:val="18"/>
      <w:szCs w:val="18"/>
    </w:rPr>
  </w:style>
  <w:style w:type="paragraph" w:customStyle="1" w:styleId="08ArticleText">
    <w:name w:val="08 Article Text"/>
    <w:qFormat/>
    <w:rsid w:val="001A1BCB"/>
    <w:pPr>
      <w:widowControl w:val="0"/>
      <w:tabs>
        <w:tab w:val="left" w:pos="198"/>
      </w:tabs>
      <w:spacing w:after="0" w:line="230" w:lineRule="exact"/>
      <w:jc w:val="both"/>
    </w:pPr>
    <w:rPr>
      <w:rFonts w:ascii="Times New Roman" w:eastAsia="Times New Roman" w:hAnsi="Times New Roman" w:cs="Times New Roman"/>
      <w:kern w:val="0"/>
      <w:sz w:val="18"/>
      <w:szCs w:val="18"/>
      <w:lang w:val="en-GB" w:eastAsia="en-GB" w:bidi="ar-SA"/>
      <w14:ligatures w14:val="none"/>
    </w:rPr>
  </w:style>
  <w:style w:type="character" w:customStyle="1" w:styleId="CaptionChar">
    <w:name w:val="Caption Char"/>
    <w:basedOn w:val="DefaultParagraphFont"/>
    <w:link w:val="Caption"/>
    <w:uiPriority w:val="99"/>
    <w:rsid w:val="001A1BCB"/>
    <w:rPr>
      <w:i/>
      <w:iCs/>
      <w:color w:val="44546A" w:themeColor="text2"/>
      <w:sz w:val="18"/>
      <w:szCs w:val="18"/>
    </w:rPr>
  </w:style>
  <w:style w:type="table" w:styleId="TableGrid">
    <w:name w:val="Table Grid"/>
    <w:basedOn w:val="TableNormal"/>
    <w:uiPriority w:val="39"/>
    <w:rsid w:val="00AE6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57F81"/>
    <w:pPr>
      <w:spacing w:after="0" w:line="240" w:lineRule="auto"/>
    </w:pPr>
  </w:style>
  <w:style w:type="character" w:styleId="CommentReference">
    <w:name w:val="annotation reference"/>
    <w:basedOn w:val="DefaultParagraphFont"/>
    <w:uiPriority w:val="99"/>
    <w:semiHidden/>
    <w:unhideWhenUsed/>
    <w:rsid w:val="00D57F81"/>
    <w:rPr>
      <w:sz w:val="16"/>
      <w:szCs w:val="16"/>
    </w:rPr>
  </w:style>
  <w:style w:type="paragraph" w:styleId="CommentText">
    <w:name w:val="annotation text"/>
    <w:basedOn w:val="Normal"/>
    <w:link w:val="CommentTextChar"/>
    <w:uiPriority w:val="99"/>
    <w:unhideWhenUsed/>
    <w:rsid w:val="00D57F81"/>
    <w:pPr>
      <w:spacing w:line="240" w:lineRule="auto"/>
    </w:pPr>
    <w:rPr>
      <w:sz w:val="20"/>
      <w:szCs w:val="20"/>
    </w:rPr>
  </w:style>
  <w:style w:type="character" w:customStyle="1" w:styleId="CommentTextChar">
    <w:name w:val="Comment Text Char"/>
    <w:basedOn w:val="DefaultParagraphFont"/>
    <w:link w:val="CommentText"/>
    <w:uiPriority w:val="99"/>
    <w:rsid w:val="00D57F81"/>
    <w:rPr>
      <w:sz w:val="20"/>
      <w:szCs w:val="20"/>
    </w:rPr>
  </w:style>
  <w:style w:type="paragraph" w:styleId="CommentSubject">
    <w:name w:val="annotation subject"/>
    <w:basedOn w:val="CommentText"/>
    <w:next w:val="CommentText"/>
    <w:link w:val="CommentSubjectChar"/>
    <w:uiPriority w:val="99"/>
    <w:semiHidden/>
    <w:unhideWhenUsed/>
    <w:rsid w:val="00D57F81"/>
    <w:rPr>
      <w:b/>
      <w:bCs/>
    </w:rPr>
  </w:style>
  <w:style w:type="character" w:customStyle="1" w:styleId="CommentSubjectChar">
    <w:name w:val="Comment Subject Char"/>
    <w:basedOn w:val="CommentTextChar"/>
    <w:link w:val="CommentSubject"/>
    <w:uiPriority w:val="99"/>
    <w:semiHidden/>
    <w:rsid w:val="00D57F81"/>
    <w:rPr>
      <w:b/>
      <w:bCs/>
      <w:sz w:val="20"/>
      <w:szCs w:val="20"/>
    </w:rPr>
  </w:style>
  <w:style w:type="character" w:styleId="PlaceholderText">
    <w:name w:val="Placeholder Text"/>
    <w:basedOn w:val="DefaultParagraphFont"/>
    <w:uiPriority w:val="99"/>
    <w:semiHidden/>
    <w:rsid w:val="000B2D91"/>
    <w:rPr>
      <w:color w:val="666666"/>
    </w:rPr>
  </w:style>
  <w:style w:type="character" w:styleId="Hyperlink">
    <w:name w:val="Hyperlink"/>
    <w:basedOn w:val="DefaultParagraphFont"/>
    <w:uiPriority w:val="99"/>
    <w:unhideWhenUsed/>
    <w:rsid w:val="00073F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5731993">
      <w:bodyDiv w:val="1"/>
      <w:marLeft w:val="0"/>
      <w:marRight w:val="0"/>
      <w:marTop w:val="0"/>
      <w:marBottom w:val="0"/>
      <w:divBdr>
        <w:top w:val="none" w:sz="0" w:space="0" w:color="auto"/>
        <w:left w:val="none" w:sz="0" w:space="0" w:color="auto"/>
        <w:bottom w:val="none" w:sz="0" w:space="0" w:color="auto"/>
        <w:right w:val="none" w:sz="0" w:space="0" w:color="auto"/>
      </w:divBdr>
      <w:divsChild>
        <w:div w:id="1201210496">
          <w:marLeft w:val="640"/>
          <w:marRight w:val="0"/>
          <w:marTop w:val="0"/>
          <w:marBottom w:val="0"/>
          <w:divBdr>
            <w:top w:val="none" w:sz="0" w:space="0" w:color="auto"/>
            <w:left w:val="none" w:sz="0" w:space="0" w:color="auto"/>
            <w:bottom w:val="none" w:sz="0" w:space="0" w:color="auto"/>
            <w:right w:val="none" w:sz="0" w:space="0" w:color="auto"/>
          </w:divBdr>
        </w:div>
        <w:div w:id="1187644336">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mailto:igor.krupa@qu.edu.q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62D0070B-EE68-524E-891A-48E1CF1D878E}"/>
      </w:docPartPr>
      <w:docPartBody>
        <w:p w:rsidR="00BE19FA" w:rsidRDefault="00B7085D">
          <w:r w:rsidRPr="004F33F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5D"/>
    <w:rsid w:val="004F64D7"/>
    <w:rsid w:val="006677A7"/>
    <w:rsid w:val="007F7243"/>
    <w:rsid w:val="0087633F"/>
    <w:rsid w:val="00946494"/>
    <w:rsid w:val="00B7085D"/>
    <w:rsid w:val="00BE19FA"/>
    <w:rsid w:val="00DB4D90"/>
    <w:rsid w:val="00F8600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085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C79311-4E0B-464A-B749-ABA392B17C0F}">
  <we:reference id="wa104382081" version="1.55.1.0" store="en-US" storeType="OMEX"/>
  <we:alternateReferences>
    <we:reference id="wa104382081" version="1.55.1.0" store="" storeType="OMEX"/>
  </we:alternateReferences>
  <we:properties>
    <we:property name="MENDELEY_CITATIONS" value="[{&quot;citationID&quot;:&quot;MENDELEY_CITATION_1aa65ef9-f1e0-4b77-b6c6-388337c934ab&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&quot;,&quot;citationItems&quot;:[{&quot;id&quot;:&quot;a1cfafe7-fcbf-3b90-8afb-49f77c1eb0bf&quot;,&quot;itemData&quot;:{&quot;type&quot;:&quot;article-journal&quot;,&quot;id&quot;:&quot;a1cfafe7-fcbf-3b90-8afb-49f77c1eb0bf&quot;,&quot;title&quot;:&quot;Thermal properties of shape-stabilized phase change materials based on Low Density Polyethylene, Hexadecane and SEBS for thermal energy storage&quot;,&quot;author&quot;:[{&quot;family&quot;:&quot;Chriaa&quot;,&quot;given&quot;:&quot;Ibtissem&quot;,&quot;parse-names&quot;:false,&quot;dropping-particle&quot;:&quot;&quot;,&quot;non-dropping-particle&quot;:&quot;&quot;},{&quot;family&quot;:&quot;Trigui&quot;,&quot;given&quot;:&quot;Abdelwaheb&quot;,&quot;parse-names&quot;:false,&quot;dropping-particle&quot;:&quot;&quot;,&quot;non-dropping-particle&quot;:&quot;&quot;},{&quot;family&quot;:&quot;Karkri&quot;,&quot;given&quot;:&quot;Mustapha&quot;,&quot;parse-names&quot;:false,&quot;dropping-particle&quot;:&quot;&quot;,&quot;non-dropping-particle&quot;:&quot;&quot;},{&quot;family&quot;:&quot;Jedidi&quot;,&quot;given&quot;:&quot;Ilyes&quot;,&quot;parse-names&quot;:false,&quot;dropping-particle&quot;:&quot;&quot;,&quot;non-dropping-particle&quot;:&quot;&quot;},{&quot;family&quot;:&quot;Abdelmouleh&quot;,&quot;given&quot;:&quot;Makki&quot;,&quot;parse-names&quot;:false,&quot;dropping-particle&quot;:&quot;&quot;,&quot;non-dropping-particle&quot;:&quot;&quot;},{&quot;family&quot;:&quot;Boudaya&quot;,&quot;given&quot;:&quot;Chokri&quot;,&quot;parse-names&quot;:false,&quot;dropping-particle&quot;:&quot;&quot;,&quot;non-dropping-particle&quot;:&quot;&quot;}],&quot;container-title&quot;:&quot;Applied Thermal Engineering&quot;,&quot;container-title-short&quot;:&quot;Appl Therm Eng&quot;,&quot;accessed&quot;:{&quot;date-parts&quot;:[[2024,5,13]]},&quot;DOI&quot;:&quot;10.1016/J.APPLTHERMALENG.2020.115072&quot;,&quot;ISSN&quot;:&quot;1359-4311&quot;,&quot;issued&quot;:{&quot;date-parts&quot;:[[2020,5,5]]},&quot;page&quot;:&quot;115072&quot;,&quot;abstract&quot;:&quot;In this work, a Shape-stabilized phase change materials were prepared by absorbing hexadecane into the network of styrene-b-(ethylene-co-butylene)-b-styrene (SEBS) tri-block copolymer and coating them with a low-density polyethylene (LDPE). The four composites were prepared at different mass fractions of Hexadecane/SEBS (80/5, 75/10, 65/20, 55/30, w/w %) with 15% of LDPE by the melt-mixing method. Thermal conductivities and diffusivities were evaluated using a Hot Disk Thermal Constants Analyzer (TPS 2500S) and the Transient Guarded Hot Plate Technique (TGHPT) was used to investigate thermal storage and release capacity of the composites. Results were compared to DSC/TGA data. The thermal properties of the composite were improved by the incorporation of the Hexadecane, where the latent heat of composites increased from 106.15 kJ/kg to 179.76 kJ/kg for the composite containing 80% PCM. Interestingly, the mass fraction of Hexadecane could reach approximately 80% with a good form stability, which surmounts almost all mass fraction values reported in the literature.&quot;,&quot;publisher&quot;:&quot;Pergamon&quot;,&quot;volume&quot;:&quot;171&quot;},&quot;isTemporary&quot;:false},{&quot;id&quot;:&quot;60fa24ca-0a30-3519-b72f-f1050b2a070e&quot;,&quot;itemData&quot;:{&quot;type&quot;:&quot;article-journal&quot;,&quot;id&quot;:&quot;60fa24ca-0a30-3519-b72f-f1050b2a070e&quot;,&quot;title&quot;:&quot;Evaluation of photothermal conversion performance of shape-stabilized phase change materials using a heat flux evolution curve&quot;,&quot;author&quot;:[{&quot;family&quot;:&quot;Nishad&quot;,&quot;given&quot;:&quot;Safna&quot;,&quot;parse-names&quot;:false,&quot;dropping-particle&quot;:&quot;&quot;,&quot;non-dropping-particle&quot;:&quot;&quot;},{&quot;family&quot;:&quot;Mohammed&quot;,&quot;given&quot;:&quot;Himyan&quot;,&quot;parse-names&quot;:false,&quot;dropping-particle&quot;:&quot;&quot;,&quot;non-dropping-particle&quot;:&quot;&quot;},{&quot;family&quot;:&quot;Sobolciak&quot;,&quot;given&quot;:&quot;Patrik&quot;,&quot;parse-names&quot;:false,&quot;dropping-particle&quot;:&quot;&quot;,&quot;non-dropping-particle&quot;:&quot;&quot;},{&quot;family&quot;:&quot;Krupa&quot;,&quot;given&quot;:&quot;Igor&quot;,&quot;parse-names&quot;:false,&quot;dropping-particle&quot;:&quot;&quot;,&quot;non-dropping-particle&quot;:&quot;&quot;}],&quot;container-title&quot;:&quot;Journal of Materials Research and Technology&quot;,&quot;accessed&quot;:{&quot;date-parts&quot;:[[2023,11,9]]},&quot;DOI&quot;:&quot;10.1016/J.JMRT.2023.04.047&quot;,&quot;ISSN&quot;:&quot;2238-7854&quot;,&quot;issued&quot;:{&quot;date-parts&quot;:[[2023,5,1]]},&quot;page&quot;:&quot;3717-3730&quot;,&quot;abstract&quot;:&quot;Phase change materials are promising alternatives for solar energy harvesting by photothermal conversion and thermal energy storage. In this work, a shape-stabilized phase change material (PCM) was prepared by hot-melt blending of paraffin wax (PW), high-density polyethylene (HDPE), and expanded graphite (EG) to investigate the photothermal conversion and storage performance using a heat flux evolution curve. This study introduced the heat flux evolution curve for the first time to accurately measure phase change duration, which is otherwise underestimated by the conventional temperature curves. The impact of various component compositions on thermal conductivity, energy storage density, PCM leakage, and photothermal conversion efficiency was evaluated experimentally. The results showed that the addition of 20 wt% EG enhanced the thermal conductivity of the composite by 305%. The total energy storage density of the composite varied in the range of 116.7–138.5 J/g during the photothermal conversion study. The composite with 15 wt% EG and 50 wt% PW exhibited a photothermal conversion efficiency of 79.8% when calculated from the temperature evolution curve and 61.8% from the heat flux evolution curve. This difference in efficiency indicates that the temperature evolution curve accounts only for the phase change of PCMs at the point of temperature measurement, while the heat flux evolution curve estimates the phase change of whole PCMs in the composite. Therefore, this work not only provides a shape-stabilized phase change material for the effective utilization of solar energy but also provides some guidelines to accurately calculate the photothermal conversion efficiency.&quot;,&quot;publisher&quot;:&quot;Elsevier&quot;,&quot;volume&quot;:&quot;24&quot;,&quot;container-title-short&quot;:&quot;&quot;},&quot;isTemporary&quot;:false}]}]"/>
    <we:property name="MENDELEY_CITATIONS_LOCALE_CODE" value="&quot;en-US&quot;"/>
    <we:property name="MENDELEY_CITATIONS_STYLE" value="{&quot;id&quot;:&quot;https://www.zotero.org/styles/advanced-materials&quot;,&quot;title&quot;:&quot;Advanced Material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C9F5-8E58-4AD2-87FE-B8903D0D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552</Words>
  <Characters>2971</Characters>
  <Application>Microsoft Office Word</Application>
  <DocSecurity>0</DocSecurity>
  <Lines>95</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שני ליגטי</dc:creator>
  <cp:keywords/>
  <dc:description/>
  <cp:lastModifiedBy>Safna Nishad</cp:lastModifiedBy>
  <cp:revision>7</cp:revision>
  <dcterms:created xsi:type="dcterms:W3CDTF">2024-04-11T13:13:00Z</dcterms:created>
  <dcterms:modified xsi:type="dcterms:W3CDTF">2024-09-04T10:00:00Z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828fdc0f-e4ff-4e36-89d6-328a49040ded</vt:lpwstr>
  </property>
  <property fmtid="{D5CDD505-2E9C-101B-9397-08002B2CF9AE}" pid="3" name="Mendeley Recent Style Id 0_1">
    <vt:lpwstr>http://www.zotero.org/styles/acs-applied-materials-and-interfaces</vt:lpwstr>
  </property>
  <property fmtid="{D5CDD505-2E9C-101B-9397-08002B2CF9AE}" pid="4" name="Mendeley Recent Style Name 0_1">
    <vt:lpwstr>ACS Applied Materials &amp; Interfaces</vt:lpwstr>
  </property>
  <property fmtid="{D5CDD505-2E9C-101B-9397-08002B2CF9AE}" pid="5" name="Mendeley Recent Style Id 1_1">
    <vt:lpwstr>http://www.zotero.org/styles/additive-manufacturing</vt:lpwstr>
  </property>
  <property fmtid="{D5CDD505-2E9C-101B-9397-08002B2CF9AE}" pid="6" name="Mendeley Recent Style Name 1_1">
    <vt:lpwstr>Additive Manufacturing</vt:lpwstr>
  </property>
  <property fmtid="{D5CDD505-2E9C-101B-9397-08002B2CF9AE}" pid="7" name="Mendeley Recent Style Id 2_1">
    <vt:lpwstr>http://www.zotero.org/styles/advanced-materials</vt:lpwstr>
  </property>
  <property fmtid="{D5CDD505-2E9C-101B-9397-08002B2CF9AE}" pid="8" name="Mendeley Recent Style Name 2_1">
    <vt:lpwstr>Advanced Materials</vt:lpwstr>
  </property>
  <property fmtid="{D5CDD505-2E9C-101B-9397-08002B2CF9AE}" pid="9" name="Mendeley Recent Style Id 3_1">
    <vt:lpwstr>http://csl.mendeley.com/styles/546648591/american-chemical-society-2</vt:lpwstr>
  </property>
  <property fmtid="{D5CDD505-2E9C-101B-9397-08002B2CF9AE}" pid="10" name="Mendeley Recent Style Name 3_1">
    <vt:lpwstr>American Chemical Society - Shani Ligati</vt:lpwstr>
  </property>
  <property fmtid="{D5CDD505-2E9C-101B-9397-08002B2CF9AE}" pid="11" name="Mendeley Recent Style Id 4_1">
    <vt:lpwstr>http://www.zotero.org/styles/american-medical-association</vt:lpwstr>
  </property>
  <property fmtid="{D5CDD505-2E9C-101B-9397-08002B2CF9AE}" pid="12" name="Mendeley Recent Style Name 4_1">
    <vt:lpwstr>American Medical Association 11th edition</vt:lpwstr>
  </property>
  <property fmtid="{D5CDD505-2E9C-101B-9397-08002B2CF9AE}" pid="13" name="Mendeley Recent Style Id 5_1">
    <vt:lpwstr>http://www.zotero.org/styles/american-political-science-association</vt:lpwstr>
  </property>
  <property fmtid="{D5CDD505-2E9C-101B-9397-08002B2CF9AE}" pid="14" name="Mendeley Recent Style Name 5_1">
    <vt:lpwstr>American Political Science Association</vt:lpwstr>
  </property>
  <property fmtid="{D5CDD505-2E9C-101B-9397-08002B2CF9AE}" pid="15" name="Mendeley Recent Style Id 6_1">
    <vt:lpwstr>http://www.zotero.org/styles/american-sociological-association</vt:lpwstr>
  </property>
  <property fmtid="{D5CDD505-2E9C-101B-9397-08002B2CF9AE}" pid="16" name="Mendeley Recent Style Name 6_1">
    <vt:lpwstr>American Sociological Association 6th edition</vt:lpwstr>
  </property>
  <property fmtid="{D5CDD505-2E9C-101B-9397-08002B2CF9AE}" pid="17" name="Mendeley Recent Style Id 7_1">
    <vt:lpwstr>http://csl.mendeley.com/styles/537090781/carbon-Luc</vt:lpwstr>
  </property>
  <property fmtid="{D5CDD505-2E9C-101B-9397-08002B2CF9AE}" pid="18" name="Mendeley Recent Style Name 7_1">
    <vt:lpwstr>Elsevier (numeric, with titles) - Lucas Cullari</vt:lpwstr>
  </property>
  <property fmtid="{D5CDD505-2E9C-101B-9397-08002B2CF9AE}" pid="19" name="Mendeley Recent Style Id 8_1">
    <vt:lpwstr>http://csl.mendeley.com/styles/546648591/elsevier-vancouver</vt:lpwstr>
  </property>
  <property fmtid="{D5CDD505-2E9C-101B-9397-08002B2CF9AE}" pid="20" name="Mendeley Recent Style Name 8_1">
    <vt:lpwstr>Elsevier - Vancouver - Shani Ligati</vt:lpwstr>
  </property>
  <property fmtid="{D5CDD505-2E9C-101B-9397-08002B2CF9AE}" pid="21" name="Mendeley Recent Style Id 9_1">
    <vt:lpwstr>https://csl.mendeley.com/styles/546648591/nature</vt:lpwstr>
  </property>
  <property fmtid="{D5CDD505-2E9C-101B-9397-08002B2CF9AE}" pid="22" name="Mendeley Recent Style Name 9_1">
    <vt:lpwstr>Nature - Shani Ligati</vt:lpwstr>
  </property>
  <property fmtid="{D5CDD505-2E9C-101B-9397-08002B2CF9AE}" pid="23" name="Mendeley Document_1">
    <vt:lpwstr>True</vt:lpwstr>
  </property>
  <property fmtid="{D5CDD505-2E9C-101B-9397-08002B2CF9AE}" pid="24" name="Mendeley Unique User Id_1">
    <vt:lpwstr>5ba4c3cd-617c-36f2-9a58-741a8e3511f1</vt:lpwstr>
  </property>
  <property fmtid="{D5CDD505-2E9C-101B-9397-08002B2CF9AE}" pid="25" name="Mendeley Citation Style_1">
    <vt:lpwstr>http://www.zotero.org/styles/additive-manufacturing</vt:lpwstr>
  </property>
</Properties>
</file>