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12009" w14:textId="617D9A3B" w:rsidR="007F6D29" w:rsidRPr="00D164EC" w:rsidRDefault="007F6D29" w:rsidP="007F6D29">
      <w:pPr>
        <w:pStyle w:val="Cmsor2"/>
        <w:spacing w:line="240" w:lineRule="auto"/>
        <w:contextualSpacing/>
        <w:rPr>
          <w:rFonts w:ascii="Times New Roman" w:hAnsi="Times New Roman" w:cs="Times New Roman"/>
          <w:b/>
          <w:color w:val="auto"/>
          <w:sz w:val="20"/>
          <w:szCs w:val="20"/>
        </w:rPr>
      </w:pPr>
      <w:bookmarkStart w:id="0" w:name="_Toc38288766"/>
      <w:r w:rsidRPr="00D164EC">
        <w:rPr>
          <w:rFonts w:ascii="Times New Roman" w:hAnsi="Times New Roman" w:cs="Times New Roman"/>
          <w:b/>
          <w:color w:val="auto"/>
          <w:sz w:val="20"/>
          <w:szCs w:val="20"/>
        </w:rPr>
        <w:t>S</w:t>
      </w:r>
      <w:r w:rsidR="009C52E5">
        <w:rPr>
          <w:rFonts w:ascii="Times New Roman" w:hAnsi="Times New Roman" w:cs="Times New Roman"/>
          <w:b/>
          <w:color w:val="auto"/>
          <w:sz w:val="20"/>
          <w:szCs w:val="20"/>
        </w:rPr>
        <w:t>2</w:t>
      </w:r>
      <w:r w:rsidRPr="00D164EC">
        <w:rPr>
          <w:rFonts w:ascii="Times New Roman" w:hAnsi="Times New Roman" w:cs="Times New Roman"/>
          <w:b/>
          <w:color w:val="auto"/>
          <w:sz w:val="20"/>
          <w:szCs w:val="20"/>
        </w:rPr>
        <w:t xml:space="preserve"> Text. Covariate rationale</w:t>
      </w:r>
      <w:bookmarkEnd w:id="0"/>
    </w:p>
    <w:p w14:paraId="31E6EAB6" w14:textId="77777777" w:rsidR="007F6D29" w:rsidRPr="00734694" w:rsidRDefault="007F6D29" w:rsidP="007F6D29">
      <w:pPr>
        <w:spacing w:line="240" w:lineRule="auto"/>
        <w:contextualSpacing/>
        <w:rPr>
          <w:rFonts w:ascii="Times New Roman" w:hAnsi="Times New Roman" w:cs="Times New Roman"/>
          <w:sz w:val="20"/>
          <w:szCs w:val="20"/>
        </w:rPr>
      </w:pPr>
      <w:r w:rsidRPr="00734694">
        <w:rPr>
          <w:rFonts w:ascii="Times New Roman" w:hAnsi="Times New Roman" w:cs="Times New Roman"/>
          <w:sz w:val="20"/>
          <w:szCs w:val="20"/>
        </w:rPr>
        <w:t xml:space="preserve">The covariates used in the analysis were chosen to account for environmental factors known to influence transmission of onchocerciasis. </w:t>
      </w:r>
      <w:r>
        <w:rPr>
          <w:rFonts w:ascii="Times New Roman" w:hAnsi="Times New Roman" w:cs="Times New Roman"/>
          <w:sz w:val="20"/>
          <w:szCs w:val="20"/>
        </w:rPr>
        <w:t>All covariate datasets were resampled to the 5x5km resolution prior to analysis.</w:t>
      </w:r>
    </w:p>
    <w:p w14:paraId="02C72243" w14:textId="77777777" w:rsidR="007F6D29" w:rsidRPr="00734694" w:rsidRDefault="007F6D29" w:rsidP="007F6D29">
      <w:pPr>
        <w:pStyle w:val="Listaszerbekezds"/>
        <w:numPr>
          <w:ilvl w:val="0"/>
          <w:numId w:val="1"/>
        </w:numPr>
        <w:spacing w:line="240" w:lineRule="auto"/>
        <w:rPr>
          <w:rFonts w:ascii="Times New Roman" w:hAnsi="Times New Roman" w:cs="Times New Roman"/>
          <w:sz w:val="20"/>
          <w:szCs w:val="20"/>
        </w:rPr>
      </w:pPr>
      <w:r w:rsidRPr="00734694">
        <w:rPr>
          <w:rFonts w:ascii="Times New Roman" w:hAnsi="Times New Roman" w:cs="Times New Roman"/>
          <w:sz w:val="20"/>
          <w:szCs w:val="20"/>
        </w:rPr>
        <w:t>Aridity, temperature, and precipitation were chosen to account for climatic factors that would be associated with vector presence</w:t>
      </w:r>
      <w:r w:rsidR="007E450C">
        <w:rPr>
          <w:rFonts w:ascii="Times New Roman" w:hAnsi="Times New Roman" w:cs="Times New Roman"/>
          <w:sz w:val="20"/>
          <w:szCs w:val="20"/>
        </w:rPr>
        <w:t xml:space="preserve"> [1,2]</w:t>
      </w:r>
      <w:r w:rsidRPr="00734694">
        <w:rPr>
          <w:rFonts w:ascii="Times New Roman" w:hAnsi="Times New Roman" w:cs="Times New Roman"/>
          <w:sz w:val="20"/>
          <w:szCs w:val="20"/>
        </w:rPr>
        <w:t>.</w:t>
      </w:r>
      <w:r w:rsidR="007E450C" w:rsidRPr="00734694">
        <w:rPr>
          <w:rFonts w:ascii="Times New Roman" w:hAnsi="Times New Roman" w:cs="Times New Roman"/>
          <w:sz w:val="20"/>
          <w:szCs w:val="20"/>
        </w:rPr>
        <w:t xml:space="preserve"> </w:t>
      </w:r>
    </w:p>
    <w:p w14:paraId="2C7A0529" w14:textId="77777777" w:rsidR="007F6D29" w:rsidRPr="00734694" w:rsidRDefault="007F6D29" w:rsidP="007F6D29">
      <w:pPr>
        <w:pStyle w:val="Listaszerbekezds"/>
        <w:numPr>
          <w:ilvl w:val="0"/>
          <w:numId w:val="1"/>
        </w:numPr>
        <w:spacing w:line="240" w:lineRule="auto"/>
        <w:rPr>
          <w:rFonts w:ascii="Times New Roman" w:hAnsi="Times New Roman" w:cs="Times New Roman"/>
          <w:sz w:val="20"/>
          <w:szCs w:val="20"/>
        </w:rPr>
      </w:pPr>
      <w:r w:rsidRPr="00734694">
        <w:rPr>
          <w:rFonts w:ascii="Times New Roman" w:hAnsi="Times New Roman" w:cs="Times New Roman"/>
          <w:sz w:val="20"/>
          <w:szCs w:val="20"/>
        </w:rPr>
        <w:t>We included elevation, slope (</w:t>
      </w:r>
      <w:proofErr w:type="spellStart"/>
      <w:r w:rsidRPr="00734694">
        <w:rPr>
          <w:rFonts w:ascii="Times New Roman" w:hAnsi="Times New Roman" w:cs="Times New Roman"/>
          <w:sz w:val="20"/>
          <w:szCs w:val="20"/>
        </w:rPr>
        <w:t>eg</w:t>
      </w:r>
      <w:proofErr w:type="spellEnd"/>
      <w:r w:rsidRPr="00734694">
        <w:rPr>
          <w:rFonts w:ascii="Times New Roman" w:hAnsi="Times New Roman" w:cs="Times New Roman"/>
          <w:sz w:val="20"/>
          <w:szCs w:val="20"/>
        </w:rPr>
        <w:t xml:space="preserve">, the grade of elevation across the 5 × 5-km), and distance to rivers (&gt;25m wide) to account for the fact that </w:t>
      </w:r>
      <w:proofErr w:type="spellStart"/>
      <w:r w:rsidRPr="00734694">
        <w:rPr>
          <w:rFonts w:ascii="Times New Roman" w:hAnsi="Times New Roman" w:cs="Times New Roman"/>
          <w:i/>
          <w:sz w:val="20"/>
          <w:szCs w:val="20"/>
        </w:rPr>
        <w:t>Similium</w:t>
      </w:r>
      <w:proofErr w:type="spellEnd"/>
      <w:r w:rsidRPr="00734694">
        <w:rPr>
          <w:rFonts w:ascii="Times New Roman" w:hAnsi="Times New Roman" w:cs="Times New Roman"/>
          <w:i/>
          <w:sz w:val="20"/>
          <w:szCs w:val="20"/>
        </w:rPr>
        <w:t xml:space="preserve"> </w:t>
      </w:r>
      <w:r w:rsidRPr="00734694">
        <w:rPr>
          <w:rFonts w:ascii="Times New Roman" w:hAnsi="Times New Roman" w:cs="Times New Roman"/>
          <w:sz w:val="20"/>
          <w:szCs w:val="20"/>
        </w:rPr>
        <w:t>species breed near fast-flowing rivers. Data are available to generate a covariate on rivers as small as 10m in width; we chose to use a larger threshold of 25m to (1) exclude the possibility of water sources that would likely not be representative of breeding sites and (2) avoid saturating the covariate when the raw river data was aggregated to the 5 × 5-km resolution</w:t>
      </w:r>
      <w:r w:rsidR="007E450C">
        <w:rPr>
          <w:rFonts w:ascii="Times New Roman" w:hAnsi="Times New Roman" w:cs="Times New Roman"/>
          <w:sz w:val="20"/>
          <w:szCs w:val="20"/>
        </w:rPr>
        <w:t xml:space="preserve"> [3-5].</w:t>
      </w:r>
    </w:p>
    <w:p w14:paraId="6024BECD" w14:textId="77777777" w:rsidR="007F6D29" w:rsidRPr="00734694" w:rsidRDefault="007F6D29" w:rsidP="007F6D29">
      <w:pPr>
        <w:pStyle w:val="Listaszerbekezds"/>
        <w:numPr>
          <w:ilvl w:val="0"/>
          <w:numId w:val="1"/>
        </w:numPr>
        <w:spacing w:line="240" w:lineRule="auto"/>
        <w:rPr>
          <w:rFonts w:ascii="Times New Roman" w:hAnsi="Times New Roman" w:cs="Times New Roman"/>
          <w:sz w:val="20"/>
          <w:szCs w:val="20"/>
        </w:rPr>
      </w:pPr>
      <w:r w:rsidRPr="00734694">
        <w:rPr>
          <w:rFonts w:ascii="Times New Roman" w:hAnsi="Times New Roman" w:cs="Times New Roman"/>
          <w:sz w:val="20"/>
          <w:szCs w:val="20"/>
        </w:rPr>
        <w:t xml:space="preserve">Urbanicity was included to account for the reduced vectorial capacity among urban areas. </w:t>
      </w:r>
    </w:p>
    <w:p w14:paraId="7CB8A532" w14:textId="77777777" w:rsidR="007F6D29" w:rsidRPr="00734694" w:rsidRDefault="007F6D29" w:rsidP="007F6D29">
      <w:pPr>
        <w:pStyle w:val="Listaszerbekezds"/>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Enhanced vegetation index (</w:t>
      </w:r>
      <w:r w:rsidRPr="00734694">
        <w:rPr>
          <w:rFonts w:ascii="Times New Roman" w:hAnsi="Times New Roman" w:cs="Times New Roman"/>
          <w:sz w:val="20"/>
          <w:szCs w:val="20"/>
        </w:rPr>
        <w:t>EVI</w:t>
      </w:r>
      <w:r>
        <w:rPr>
          <w:rFonts w:ascii="Times New Roman" w:hAnsi="Times New Roman" w:cs="Times New Roman"/>
          <w:sz w:val="20"/>
          <w:szCs w:val="20"/>
        </w:rPr>
        <w:t>)</w:t>
      </w:r>
      <w:r w:rsidRPr="00734694">
        <w:rPr>
          <w:rFonts w:ascii="Times New Roman" w:hAnsi="Times New Roman" w:cs="Times New Roman"/>
          <w:sz w:val="20"/>
          <w:szCs w:val="20"/>
        </w:rPr>
        <w:t xml:space="preserve">, </w:t>
      </w:r>
      <w:r>
        <w:rPr>
          <w:rFonts w:ascii="Times New Roman" w:hAnsi="Times New Roman" w:cs="Times New Roman"/>
          <w:sz w:val="20"/>
          <w:szCs w:val="20"/>
        </w:rPr>
        <w:t>tasseled cap brightness (</w:t>
      </w:r>
      <w:r w:rsidRPr="00734694">
        <w:rPr>
          <w:rFonts w:ascii="Times New Roman" w:hAnsi="Times New Roman" w:cs="Times New Roman"/>
          <w:sz w:val="20"/>
          <w:szCs w:val="20"/>
        </w:rPr>
        <w:t>TCB</w:t>
      </w:r>
      <w:r>
        <w:rPr>
          <w:rFonts w:ascii="Times New Roman" w:hAnsi="Times New Roman" w:cs="Times New Roman"/>
          <w:sz w:val="20"/>
          <w:szCs w:val="20"/>
        </w:rPr>
        <w:t>)</w:t>
      </w:r>
      <w:r w:rsidRPr="00734694">
        <w:rPr>
          <w:rFonts w:ascii="Times New Roman" w:hAnsi="Times New Roman" w:cs="Times New Roman"/>
          <w:sz w:val="20"/>
          <w:szCs w:val="20"/>
        </w:rPr>
        <w:t xml:space="preserve">, and </w:t>
      </w:r>
      <w:r>
        <w:rPr>
          <w:rFonts w:ascii="Times New Roman" w:hAnsi="Times New Roman" w:cs="Times New Roman"/>
          <w:sz w:val="20"/>
          <w:szCs w:val="20"/>
        </w:rPr>
        <w:t>tasseled cap wetness (</w:t>
      </w:r>
      <w:r w:rsidRPr="00734694">
        <w:rPr>
          <w:rFonts w:ascii="Times New Roman" w:hAnsi="Times New Roman" w:cs="Times New Roman"/>
          <w:sz w:val="20"/>
          <w:szCs w:val="20"/>
        </w:rPr>
        <w:t>TCW</w:t>
      </w:r>
      <w:r>
        <w:rPr>
          <w:rFonts w:ascii="Times New Roman" w:hAnsi="Times New Roman" w:cs="Times New Roman"/>
          <w:sz w:val="20"/>
          <w:szCs w:val="20"/>
        </w:rPr>
        <w:t>)</w:t>
      </w:r>
      <w:r w:rsidRPr="00734694">
        <w:rPr>
          <w:rFonts w:ascii="Times New Roman" w:hAnsi="Times New Roman" w:cs="Times New Roman"/>
          <w:sz w:val="20"/>
          <w:szCs w:val="20"/>
        </w:rPr>
        <w:t xml:space="preserve"> together are the axes of a coordinate s</w:t>
      </w:r>
      <w:r w:rsidR="007E450C">
        <w:rPr>
          <w:rFonts w:ascii="Times New Roman" w:hAnsi="Times New Roman" w:cs="Times New Roman"/>
          <w:sz w:val="20"/>
          <w:szCs w:val="20"/>
        </w:rPr>
        <w:t xml:space="preserve">ystem for land surface analysis [7,8]. </w:t>
      </w:r>
      <w:r w:rsidRPr="00734694">
        <w:rPr>
          <w:rFonts w:ascii="Times New Roman" w:hAnsi="Times New Roman" w:cs="Times New Roman"/>
          <w:sz w:val="20"/>
          <w:szCs w:val="20"/>
        </w:rPr>
        <w:t xml:space="preserve"> As such, they allow the model to account for geographical variation due to differences in relevant factors of fly-human interaction such as vegetation, soil, and moisture. These covariates also serve as proxies for density of vegetation, which serves as a proxy for forest density</w:t>
      </w:r>
      <w:r w:rsidR="007E450C">
        <w:rPr>
          <w:rFonts w:ascii="Times New Roman" w:hAnsi="Times New Roman" w:cs="Times New Roman"/>
          <w:sz w:val="20"/>
          <w:szCs w:val="20"/>
        </w:rPr>
        <w:t xml:space="preserve"> [7,8].</w:t>
      </w:r>
    </w:p>
    <w:p w14:paraId="52A6707D" w14:textId="77777777" w:rsidR="007F6D29" w:rsidRPr="00734694" w:rsidRDefault="007F6D29" w:rsidP="007F6D29">
      <w:pPr>
        <w:spacing w:line="240" w:lineRule="auto"/>
        <w:contextualSpacing/>
        <w:rPr>
          <w:rFonts w:ascii="Times New Roman" w:hAnsi="Times New Roman" w:cs="Times New Roman"/>
          <w:sz w:val="20"/>
          <w:szCs w:val="20"/>
        </w:rPr>
      </w:pPr>
      <w:r w:rsidRPr="00734694">
        <w:rPr>
          <w:rFonts w:ascii="Times New Roman" w:hAnsi="Times New Roman" w:cs="Times New Roman"/>
          <w:sz w:val="20"/>
          <w:szCs w:val="20"/>
        </w:rPr>
        <w:t xml:space="preserve">Covariate values are </w:t>
      </w:r>
      <w:proofErr w:type="spellStart"/>
      <w:r w:rsidRPr="00734694">
        <w:rPr>
          <w:rFonts w:ascii="Times New Roman" w:hAnsi="Times New Roman" w:cs="Times New Roman"/>
          <w:sz w:val="20"/>
          <w:szCs w:val="20"/>
        </w:rPr>
        <w:t>visuali</w:t>
      </w:r>
      <w:r>
        <w:rPr>
          <w:rFonts w:ascii="Times New Roman" w:hAnsi="Times New Roman" w:cs="Times New Roman"/>
          <w:sz w:val="20"/>
          <w:szCs w:val="20"/>
        </w:rPr>
        <w:t>s</w:t>
      </w:r>
      <w:r w:rsidRPr="00734694">
        <w:rPr>
          <w:rFonts w:ascii="Times New Roman" w:hAnsi="Times New Roman" w:cs="Times New Roman"/>
          <w:sz w:val="20"/>
          <w:szCs w:val="20"/>
        </w:rPr>
        <w:t>ed</w:t>
      </w:r>
      <w:proofErr w:type="spellEnd"/>
      <w:r w:rsidRPr="00734694">
        <w:rPr>
          <w:rFonts w:ascii="Times New Roman" w:hAnsi="Times New Roman" w:cs="Times New Roman"/>
          <w:sz w:val="20"/>
          <w:szCs w:val="20"/>
        </w:rPr>
        <w:t xml:space="preserve"> in </w:t>
      </w:r>
      <w:r>
        <w:rPr>
          <w:rFonts w:ascii="Times New Roman" w:hAnsi="Times New Roman" w:cs="Times New Roman"/>
          <w:sz w:val="20"/>
          <w:szCs w:val="20"/>
        </w:rPr>
        <w:t>S3 Fig</w:t>
      </w:r>
      <w:r w:rsidRPr="00734694">
        <w:rPr>
          <w:rFonts w:ascii="Times New Roman" w:hAnsi="Times New Roman" w:cs="Times New Roman"/>
          <w:sz w:val="20"/>
          <w:szCs w:val="20"/>
        </w:rPr>
        <w:t xml:space="preserve">.  </w:t>
      </w:r>
    </w:p>
    <w:p w14:paraId="56365907" w14:textId="77777777" w:rsidR="007F6D29" w:rsidRPr="00734694" w:rsidRDefault="007F6D29" w:rsidP="007F6D29">
      <w:pPr>
        <w:spacing w:line="240" w:lineRule="auto"/>
        <w:contextualSpacing/>
        <w:rPr>
          <w:rFonts w:ascii="Times New Roman" w:hAnsi="Times New Roman" w:cs="Times New Roman"/>
          <w:sz w:val="20"/>
          <w:szCs w:val="20"/>
        </w:rPr>
      </w:pPr>
      <w:r w:rsidRPr="00734694">
        <w:rPr>
          <w:rFonts w:ascii="Times New Roman" w:hAnsi="Times New Roman" w:cs="Times New Roman"/>
          <w:sz w:val="20"/>
          <w:szCs w:val="20"/>
        </w:rPr>
        <w:t>We extracted covariate data at each occurrence and background location in the dataset. For point-level data, covariate values were extracted at the coordinates; for polygonal data, covariates were assigned values by making n-many random draws within the polygonal region for each bootstrap, where n is the number of sampling sites (if reported). Where the number of sampling sites was not available, we imputed the value of n for that polygon by estimating the frequency density of n across all polygons and drawing from this distribution in each bootstrap to arrive at the number of random draws made within said polygon to represent instances of uncertainty in the environmental factors associated with transmission.</w:t>
      </w:r>
    </w:p>
    <w:p w14:paraId="7E0257C7" w14:textId="77777777" w:rsidR="003D0CEA" w:rsidRDefault="003D0CEA"/>
    <w:p w14:paraId="3AEE5F42" w14:textId="77777777" w:rsidR="007E450C" w:rsidRPr="00B2600F" w:rsidRDefault="007E450C">
      <w:pPr>
        <w:rPr>
          <w:rFonts w:ascii="Times New Roman" w:eastAsiaTheme="majorEastAsia" w:hAnsi="Times New Roman" w:cs="Times New Roman"/>
          <w:b/>
          <w:sz w:val="20"/>
          <w:szCs w:val="20"/>
        </w:rPr>
      </w:pPr>
      <w:r w:rsidRPr="00B2600F">
        <w:rPr>
          <w:rFonts w:ascii="Times New Roman" w:eastAsiaTheme="majorEastAsia" w:hAnsi="Times New Roman" w:cs="Times New Roman"/>
          <w:b/>
          <w:sz w:val="20"/>
          <w:szCs w:val="20"/>
        </w:rPr>
        <w:t>References:</w:t>
      </w:r>
    </w:p>
    <w:p w14:paraId="65C94B74" w14:textId="77777777" w:rsidR="007E450C" w:rsidRPr="007A7FF9" w:rsidRDefault="007E450C" w:rsidP="007E450C">
      <w:pPr>
        <w:pStyle w:val="Irodalomjegyzk"/>
        <w:rPr>
          <w:rFonts w:ascii="Times New Roman" w:hAnsi="Times New Roman" w:cs="Times New Roman"/>
          <w:sz w:val="20"/>
        </w:rPr>
      </w:pPr>
      <w:r w:rsidRPr="000A2CE2">
        <w:rPr>
          <w:sz w:val="20"/>
          <w:szCs w:val="20"/>
        </w:rPr>
        <w:fldChar w:fldCharType="begin"/>
      </w:r>
      <w:r>
        <w:rPr>
          <w:sz w:val="20"/>
          <w:szCs w:val="20"/>
        </w:rPr>
        <w:instrText xml:space="preserve"> ADDIN ZOTERO_BIBL {"uncited":[],"omitted":[],"custom":[]} CSL_BIBLIOGRAPHY </w:instrText>
      </w:r>
      <w:r w:rsidRPr="000A2CE2">
        <w:rPr>
          <w:sz w:val="20"/>
          <w:szCs w:val="20"/>
        </w:rPr>
        <w:fldChar w:fldCharType="separate"/>
      </w:r>
    </w:p>
    <w:p w14:paraId="7660913B"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1</w:t>
      </w:r>
      <w:r w:rsidR="00B2600F">
        <w:rPr>
          <w:rFonts w:ascii="Times New Roman" w:hAnsi="Times New Roman" w:cs="Times New Roman"/>
          <w:sz w:val="20"/>
        </w:rPr>
        <w:t xml:space="preserve"> </w:t>
      </w:r>
      <w:r w:rsidRPr="007A7FF9">
        <w:rPr>
          <w:rFonts w:ascii="Times New Roman" w:hAnsi="Times New Roman" w:cs="Times New Roman"/>
          <w:sz w:val="20"/>
        </w:rPr>
        <w:t xml:space="preserve">Cheke RA. The thermal constant of the onchocerciasis vector </w:t>
      </w:r>
      <w:r w:rsidRPr="00D2311D">
        <w:rPr>
          <w:rFonts w:ascii="Times New Roman" w:hAnsi="Times New Roman" w:cs="Times New Roman"/>
          <w:i/>
          <w:sz w:val="20"/>
        </w:rPr>
        <w:t>Simulium damnosum</w:t>
      </w:r>
      <w:r w:rsidRPr="007A7FF9">
        <w:rPr>
          <w:rFonts w:ascii="Times New Roman" w:hAnsi="Times New Roman" w:cs="Times New Roman"/>
          <w:sz w:val="20"/>
        </w:rPr>
        <w:t xml:space="preserve"> s.l. in West Africa. </w:t>
      </w:r>
      <w:r w:rsidRPr="007A7FF9">
        <w:rPr>
          <w:rFonts w:ascii="Times New Roman" w:hAnsi="Times New Roman" w:cs="Times New Roman"/>
          <w:i/>
          <w:iCs/>
          <w:sz w:val="20"/>
        </w:rPr>
        <w:t>Med Vet Entomol</w:t>
      </w:r>
      <w:r w:rsidRPr="007A7FF9">
        <w:rPr>
          <w:rFonts w:ascii="Times New Roman" w:hAnsi="Times New Roman" w:cs="Times New Roman"/>
          <w:sz w:val="20"/>
        </w:rPr>
        <w:t xml:space="preserve"> 2012; </w:t>
      </w:r>
      <w:r w:rsidRPr="007A7FF9">
        <w:rPr>
          <w:rFonts w:ascii="Times New Roman" w:hAnsi="Times New Roman" w:cs="Times New Roman"/>
          <w:b/>
          <w:bCs/>
          <w:sz w:val="20"/>
        </w:rPr>
        <w:t>26</w:t>
      </w:r>
      <w:r w:rsidRPr="007A7FF9">
        <w:rPr>
          <w:rFonts w:ascii="Times New Roman" w:hAnsi="Times New Roman" w:cs="Times New Roman"/>
          <w:sz w:val="20"/>
        </w:rPr>
        <w:t>: 236–8.</w:t>
      </w:r>
    </w:p>
    <w:p w14:paraId="71B07A71"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2</w:t>
      </w:r>
      <w:r w:rsidR="00B2600F">
        <w:rPr>
          <w:rFonts w:ascii="Times New Roman" w:hAnsi="Times New Roman" w:cs="Times New Roman"/>
          <w:sz w:val="20"/>
        </w:rPr>
        <w:t xml:space="preserve"> </w:t>
      </w:r>
      <w:r w:rsidRPr="007A7FF9">
        <w:rPr>
          <w:rFonts w:ascii="Times New Roman" w:hAnsi="Times New Roman" w:cs="Times New Roman"/>
          <w:sz w:val="20"/>
        </w:rPr>
        <w:t xml:space="preserve">Nwoke B, Onwuliri C, Ufomadu G. Onchocerciasis in Plateau State; Nigeria: ecological background, local disease perception &amp; treatment; and vector/parasite dynamics. </w:t>
      </w:r>
      <w:r w:rsidRPr="007A7FF9">
        <w:rPr>
          <w:rFonts w:ascii="Times New Roman" w:hAnsi="Times New Roman" w:cs="Times New Roman"/>
          <w:i/>
          <w:iCs/>
          <w:sz w:val="20"/>
        </w:rPr>
        <w:t>J Hyg Epidemiol Microbiol Immunol</w:t>
      </w:r>
      <w:r w:rsidRPr="007A7FF9">
        <w:rPr>
          <w:rFonts w:ascii="Times New Roman" w:hAnsi="Times New Roman" w:cs="Times New Roman"/>
          <w:sz w:val="20"/>
        </w:rPr>
        <w:t xml:space="preserve"> 1992; </w:t>
      </w:r>
      <w:r w:rsidRPr="007A7FF9">
        <w:rPr>
          <w:rFonts w:ascii="Times New Roman" w:hAnsi="Times New Roman" w:cs="Times New Roman"/>
          <w:b/>
          <w:bCs/>
          <w:sz w:val="20"/>
        </w:rPr>
        <w:t>36</w:t>
      </w:r>
      <w:r w:rsidRPr="007A7FF9">
        <w:rPr>
          <w:rFonts w:ascii="Times New Roman" w:hAnsi="Times New Roman" w:cs="Times New Roman"/>
          <w:sz w:val="20"/>
        </w:rPr>
        <w:t>: 153–60.</w:t>
      </w:r>
    </w:p>
    <w:p w14:paraId="1A56448D"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3</w:t>
      </w:r>
      <w:r w:rsidR="00B2600F">
        <w:rPr>
          <w:rFonts w:ascii="Times New Roman" w:hAnsi="Times New Roman" w:cs="Times New Roman"/>
          <w:sz w:val="20"/>
        </w:rPr>
        <w:t xml:space="preserve"> </w:t>
      </w:r>
      <w:r w:rsidRPr="007A7FF9">
        <w:rPr>
          <w:rFonts w:ascii="Times New Roman" w:hAnsi="Times New Roman" w:cs="Times New Roman"/>
          <w:sz w:val="20"/>
        </w:rPr>
        <w:t xml:space="preserve">Winthrop KL, Furtado JM, Silva JC, Resnikoff S, Lansingh VC. River Blindness: An Old Disease on the Brink of Elimination and Control. </w:t>
      </w:r>
      <w:r w:rsidRPr="007A7FF9">
        <w:rPr>
          <w:rFonts w:ascii="Times New Roman" w:hAnsi="Times New Roman" w:cs="Times New Roman"/>
          <w:i/>
          <w:iCs/>
          <w:sz w:val="20"/>
        </w:rPr>
        <w:t>J Glob Infect Dis</w:t>
      </w:r>
      <w:r w:rsidRPr="007A7FF9">
        <w:rPr>
          <w:rFonts w:ascii="Times New Roman" w:hAnsi="Times New Roman" w:cs="Times New Roman"/>
          <w:sz w:val="20"/>
        </w:rPr>
        <w:t xml:space="preserve"> 2011; </w:t>
      </w:r>
      <w:r w:rsidRPr="007A7FF9">
        <w:rPr>
          <w:rFonts w:ascii="Times New Roman" w:hAnsi="Times New Roman" w:cs="Times New Roman"/>
          <w:b/>
          <w:bCs/>
          <w:sz w:val="20"/>
        </w:rPr>
        <w:t>3</w:t>
      </w:r>
      <w:r w:rsidRPr="007A7FF9">
        <w:rPr>
          <w:rFonts w:ascii="Times New Roman" w:hAnsi="Times New Roman" w:cs="Times New Roman"/>
          <w:sz w:val="20"/>
        </w:rPr>
        <w:t>: 151–5.</w:t>
      </w:r>
    </w:p>
    <w:p w14:paraId="7A90A6AB"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4</w:t>
      </w:r>
      <w:r w:rsidR="00B2600F">
        <w:rPr>
          <w:rFonts w:ascii="Times New Roman" w:hAnsi="Times New Roman" w:cs="Times New Roman"/>
          <w:sz w:val="20"/>
        </w:rPr>
        <w:t xml:space="preserve"> </w:t>
      </w:r>
      <w:r w:rsidRPr="007A7FF9">
        <w:rPr>
          <w:rFonts w:ascii="Times New Roman" w:hAnsi="Times New Roman" w:cs="Times New Roman"/>
          <w:sz w:val="20"/>
        </w:rPr>
        <w:t>Duke BO. The differential dispersal of nulliparous and parous</w:t>
      </w:r>
      <w:r w:rsidRPr="00D2311D">
        <w:rPr>
          <w:rFonts w:ascii="Times New Roman" w:hAnsi="Times New Roman" w:cs="Times New Roman"/>
          <w:i/>
          <w:sz w:val="20"/>
        </w:rPr>
        <w:t xml:space="preserve"> Simulium damnosum</w:t>
      </w:r>
      <w:r w:rsidRPr="007A7FF9">
        <w:rPr>
          <w:rFonts w:ascii="Times New Roman" w:hAnsi="Times New Roman" w:cs="Times New Roman"/>
          <w:sz w:val="20"/>
        </w:rPr>
        <w:t xml:space="preserve">. </w:t>
      </w:r>
      <w:r w:rsidRPr="007A7FF9">
        <w:rPr>
          <w:rFonts w:ascii="Times New Roman" w:hAnsi="Times New Roman" w:cs="Times New Roman"/>
          <w:i/>
          <w:iCs/>
          <w:sz w:val="20"/>
        </w:rPr>
        <w:t>Tropenmed Parasitol</w:t>
      </w:r>
      <w:r w:rsidRPr="007A7FF9">
        <w:rPr>
          <w:rFonts w:ascii="Times New Roman" w:hAnsi="Times New Roman" w:cs="Times New Roman"/>
          <w:sz w:val="20"/>
        </w:rPr>
        <w:t xml:space="preserve"> 1975; </w:t>
      </w:r>
      <w:r w:rsidRPr="007A7FF9">
        <w:rPr>
          <w:rFonts w:ascii="Times New Roman" w:hAnsi="Times New Roman" w:cs="Times New Roman"/>
          <w:b/>
          <w:bCs/>
          <w:sz w:val="20"/>
        </w:rPr>
        <w:t>26</w:t>
      </w:r>
      <w:r w:rsidRPr="007A7FF9">
        <w:rPr>
          <w:rFonts w:ascii="Times New Roman" w:hAnsi="Times New Roman" w:cs="Times New Roman"/>
          <w:sz w:val="20"/>
        </w:rPr>
        <w:t>: 88–97.</w:t>
      </w:r>
    </w:p>
    <w:p w14:paraId="1A56D8F9"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5</w:t>
      </w:r>
      <w:r w:rsidR="00B2600F">
        <w:rPr>
          <w:rFonts w:ascii="Times New Roman" w:hAnsi="Times New Roman" w:cs="Times New Roman"/>
          <w:sz w:val="20"/>
        </w:rPr>
        <w:t xml:space="preserve"> </w:t>
      </w:r>
      <w:r w:rsidRPr="007A7FF9">
        <w:rPr>
          <w:rFonts w:ascii="Times New Roman" w:hAnsi="Times New Roman" w:cs="Times New Roman"/>
          <w:sz w:val="20"/>
        </w:rPr>
        <w:t>Crosskey RW. The Natural History of Blackflies. Chichester: John Wiley and Sons, 1990.</w:t>
      </w:r>
    </w:p>
    <w:p w14:paraId="10CE7CD6"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6</w:t>
      </w:r>
      <w:r w:rsidR="00B2600F">
        <w:rPr>
          <w:rFonts w:ascii="Times New Roman" w:hAnsi="Times New Roman" w:cs="Times New Roman"/>
          <w:sz w:val="20"/>
        </w:rPr>
        <w:t xml:space="preserve"> </w:t>
      </w:r>
      <w:r w:rsidRPr="007A7FF9">
        <w:rPr>
          <w:rFonts w:ascii="Times New Roman" w:hAnsi="Times New Roman" w:cs="Times New Roman"/>
          <w:sz w:val="20"/>
        </w:rPr>
        <w:t xml:space="preserve">Thompson BH. Studies on the flight range and dispersal of </w:t>
      </w:r>
      <w:r w:rsidRPr="00D2311D">
        <w:rPr>
          <w:rFonts w:ascii="Times New Roman" w:hAnsi="Times New Roman" w:cs="Times New Roman"/>
          <w:i/>
          <w:sz w:val="20"/>
        </w:rPr>
        <w:t>Simulium damnosum</w:t>
      </w:r>
      <w:r w:rsidRPr="007A7FF9">
        <w:rPr>
          <w:rFonts w:ascii="Times New Roman" w:hAnsi="Times New Roman" w:cs="Times New Roman"/>
          <w:sz w:val="20"/>
        </w:rPr>
        <w:t xml:space="preserve"> (Diptera: Simuliidae) in the rain-forest of Cameroon. </w:t>
      </w:r>
      <w:r w:rsidRPr="007A7FF9">
        <w:rPr>
          <w:rFonts w:ascii="Times New Roman" w:hAnsi="Times New Roman" w:cs="Times New Roman"/>
          <w:i/>
          <w:iCs/>
          <w:sz w:val="20"/>
        </w:rPr>
        <w:t>Ann Trop Med Parasitol</w:t>
      </w:r>
      <w:r w:rsidRPr="007A7FF9">
        <w:rPr>
          <w:rFonts w:ascii="Times New Roman" w:hAnsi="Times New Roman" w:cs="Times New Roman"/>
          <w:sz w:val="20"/>
        </w:rPr>
        <w:t xml:space="preserve"> 1976; </w:t>
      </w:r>
      <w:r w:rsidRPr="007A7FF9">
        <w:rPr>
          <w:rFonts w:ascii="Times New Roman" w:hAnsi="Times New Roman" w:cs="Times New Roman"/>
          <w:b/>
          <w:bCs/>
          <w:sz w:val="20"/>
        </w:rPr>
        <w:t>70</w:t>
      </w:r>
      <w:r w:rsidRPr="007A7FF9">
        <w:rPr>
          <w:rFonts w:ascii="Times New Roman" w:hAnsi="Times New Roman" w:cs="Times New Roman"/>
          <w:sz w:val="20"/>
        </w:rPr>
        <w:t>: 343–54.</w:t>
      </w:r>
    </w:p>
    <w:p w14:paraId="5C97CFF1" w14:textId="77777777" w:rsidR="007E450C" w:rsidRPr="007A7FF9" w:rsidRDefault="007E450C" w:rsidP="007E450C">
      <w:pPr>
        <w:pStyle w:val="Irodalomjegyzk"/>
        <w:rPr>
          <w:rFonts w:ascii="Times New Roman" w:hAnsi="Times New Roman" w:cs="Times New Roman"/>
          <w:sz w:val="20"/>
        </w:rPr>
      </w:pPr>
      <w:r>
        <w:rPr>
          <w:rFonts w:ascii="Times New Roman" w:hAnsi="Times New Roman" w:cs="Times New Roman"/>
          <w:sz w:val="20"/>
        </w:rPr>
        <w:t>7</w:t>
      </w:r>
      <w:r w:rsidR="00B2600F">
        <w:rPr>
          <w:rFonts w:ascii="Times New Roman" w:hAnsi="Times New Roman" w:cs="Times New Roman"/>
          <w:sz w:val="20"/>
        </w:rPr>
        <w:t xml:space="preserve"> </w:t>
      </w:r>
      <w:r w:rsidRPr="007A7FF9">
        <w:rPr>
          <w:rFonts w:ascii="Times New Roman" w:hAnsi="Times New Roman" w:cs="Times New Roman"/>
          <w:sz w:val="20"/>
        </w:rPr>
        <w:t>Xiaoyang Zhang, Schaaf C, Friedl M, Strahler A, Feng Gao, Hodges. MODIS tasseled cap transformation and its utility. 2002: 1063–5.</w:t>
      </w:r>
    </w:p>
    <w:p w14:paraId="47114537" w14:textId="77777777" w:rsidR="007E450C" w:rsidRDefault="007E450C" w:rsidP="007E450C">
      <w:pPr>
        <w:pStyle w:val="Irodalomjegyzk"/>
        <w:rPr>
          <w:rFonts w:ascii="Times New Roman" w:hAnsi="Times New Roman" w:cs="Times New Roman"/>
          <w:sz w:val="20"/>
        </w:rPr>
      </w:pPr>
      <w:r>
        <w:rPr>
          <w:rFonts w:ascii="Times New Roman" w:hAnsi="Times New Roman" w:cs="Times New Roman"/>
          <w:sz w:val="20"/>
        </w:rPr>
        <w:t>8</w:t>
      </w:r>
      <w:r w:rsidR="00B2600F">
        <w:rPr>
          <w:rFonts w:ascii="Times New Roman" w:hAnsi="Times New Roman" w:cs="Times New Roman"/>
          <w:sz w:val="20"/>
        </w:rPr>
        <w:t xml:space="preserve"> </w:t>
      </w:r>
      <w:r w:rsidRPr="007A7FF9">
        <w:rPr>
          <w:rFonts w:ascii="Times New Roman" w:hAnsi="Times New Roman" w:cs="Times New Roman"/>
          <w:sz w:val="20"/>
        </w:rPr>
        <w:t xml:space="preserve">Crist EP, Cicone RC. A Physically-Based Transformation of Thematic Mapper Data-The TM Tasseled Cap. </w:t>
      </w:r>
      <w:r w:rsidRPr="007A7FF9">
        <w:rPr>
          <w:rFonts w:ascii="Times New Roman" w:hAnsi="Times New Roman" w:cs="Times New Roman"/>
          <w:i/>
          <w:iCs/>
          <w:sz w:val="20"/>
        </w:rPr>
        <w:t>IEEE Trans Geosci Remote Sens</w:t>
      </w:r>
      <w:r w:rsidRPr="007A7FF9">
        <w:rPr>
          <w:rFonts w:ascii="Times New Roman" w:hAnsi="Times New Roman" w:cs="Times New Roman"/>
          <w:sz w:val="20"/>
        </w:rPr>
        <w:t xml:space="preserve"> 1984; </w:t>
      </w:r>
      <w:r w:rsidRPr="007A7FF9">
        <w:rPr>
          <w:rFonts w:ascii="Times New Roman" w:hAnsi="Times New Roman" w:cs="Times New Roman"/>
          <w:b/>
          <w:bCs/>
          <w:sz w:val="20"/>
        </w:rPr>
        <w:t>GE-22</w:t>
      </w:r>
      <w:r w:rsidRPr="007A7FF9">
        <w:rPr>
          <w:rFonts w:ascii="Times New Roman" w:hAnsi="Times New Roman" w:cs="Times New Roman"/>
          <w:sz w:val="20"/>
        </w:rPr>
        <w:t>: 256–63.</w:t>
      </w:r>
    </w:p>
    <w:p w14:paraId="7C9921B3" w14:textId="77777777" w:rsidR="00B2600F" w:rsidRPr="00B2600F" w:rsidRDefault="00B2600F" w:rsidP="00B2600F"/>
    <w:p w14:paraId="19AEBE40" w14:textId="77777777" w:rsidR="007E450C" w:rsidRPr="007A7FF9" w:rsidRDefault="007E450C" w:rsidP="007E450C">
      <w:pPr>
        <w:pStyle w:val="Irodalomjegyzk"/>
        <w:rPr>
          <w:rFonts w:ascii="Times New Roman" w:hAnsi="Times New Roman" w:cs="Times New Roman"/>
          <w:sz w:val="20"/>
        </w:rPr>
      </w:pPr>
    </w:p>
    <w:p w14:paraId="5FC55838" w14:textId="77777777" w:rsidR="007E450C" w:rsidRDefault="007E450C" w:rsidP="007E450C">
      <w:r w:rsidRPr="000A2CE2">
        <w:rPr>
          <w:rFonts w:ascii="Times New Roman" w:hAnsi="Times New Roman" w:cs="Times New Roman"/>
          <w:sz w:val="20"/>
          <w:szCs w:val="20"/>
        </w:rPr>
        <w:lastRenderedPageBreak/>
        <w:fldChar w:fldCharType="end"/>
      </w:r>
    </w:p>
    <w:sectPr w:rsidR="007E45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0973"/>
    <w:multiLevelType w:val="hybridMultilevel"/>
    <w:tmpl w:val="783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D29"/>
    <w:rsid w:val="003D0CEA"/>
    <w:rsid w:val="007E450C"/>
    <w:rsid w:val="007F6D29"/>
    <w:rsid w:val="009C52E5"/>
    <w:rsid w:val="00B2600F"/>
    <w:rsid w:val="00D16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19DFB"/>
  <w15:chartTrackingRefBased/>
  <w15:docId w15:val="{32FCB56A-63E8-4DEF-B792-81010329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F6D29"/>
  </w:style>
  <w:style w:type="paragraph" w:styleId="Cmsor2">
    <w:name w:val="heading 2"/>
    <w:basedOn w:val="Norml"/>
    <w:next w:val="Norml"/>
    <w:link w:val="Cmsor2Char"/>
    <w:uiPriority w:val="9"/>
    <w:unhideWhenUsed/>
    <w:qFormat/>
    <w:rsid w:val="007F6D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7F6D29"/>
    <w:rPr>
      <w:rFonts w:asciiTheme="majorHAnsi" w:eastAsiaTheme="majorEastAsia" w:hAnsiTheme="majorHAnsi" w:cstheme="majorBidi"/>
      <w:color w:val="2E74B5" w:themeColor="accent1" w:themeShade="BF"/>
      <w:sz w:val="26"/>
      <w:szCs w:val="26"/>
    </w:rPr>
  </w:style>
  <w:style w:type="paragraph" w:styleId="Listaszerbekezds">
    <w:name w:val="List Paragraph"/>
    <w:basedOn w:val="Norml"/>
    <w:uiPriority w:val="34"/>
    <w:qFormat/>
    <w:rsid w:val="007F6D29"/>
    <w:pPr>
      <w:ind w:left="720"/>
      <w:contextualSpacing/>
    </w:pPr>
  </w:style>
  <w:style w:type="paragraph" w:styleId="Irodalomjegyzk">
    <w:name w:val="Bibliography"/>
    <w:basedOn w:val="Norml"/>
    <w:next w:val="Norml"/>
    <w:uiPriority w:val="37"/>
    <w:unhideWhenUsed/>
    <w:rsid w:val="007E4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A. Cromwell</dc:creator>
  <cp:keywords/>
  <dc:description/>
  <cp:lastModifiedBy>Zita Heltai-Barta</cp:lastModifiedBy>
  <cp:revision>4</cp:revision>
  <dcterms:created xsi:type="dcterms:W3CDTF">2020-10-09T19:10:00Z</dcterms:created>
  <dcterms:modified xsi:type="dcterms:W3CDTF">2021-05-14T10:47:00Z</dcterms:modified>
</cp:coreProperties>
</file>