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554" w:rsidRDefault="00C07554" w:rsidP="00C07554">
      <w:pPr>
        <w:spacing w:after="200" w:line="480" w:lineRule="auto"/>
        <w:rPr>
          <w:rFonts w:asciiTheme="majorBidi" w:eastAsia="Calibri" w:hAnsiTheme="majorBidi" w:cstheme="majorBidi"/>
          <w:b/>
          <w:bCs/>
          <w:sz w:val="28"/>
          <w:szCs w:val="28"/>
          <w:lang w:val="en-GB"/>
        </w:rPr>
      </w:pPr>
      <w:r w:rsidRPr="00C07554">
        <w:rPr>
          <w:rFonts w:asciiTheme="majorBidi" w:eastAsia="Calibri" w:hAnsiTheme="majorBidi" w:cstheme="majorBidi"/>
          <w:b/>
          <w:bCs/>
          <w:sz w:val="28"/>
          <w:szCs w:val="28"/>
        </w:rPr>
        <w:t>Supplementary Material (ESI) for</w:t>
      </w:r>
    </w:p>
    <w:p w:rsidR="00C07554" w:rsidRDefault="00C07554" w:rsidP="00C07554">
      <w:pPr>
        <w:spacing w:after="200" w:line="480" w:lineRule="auto"/>
        <w:jc w:val="center"/>
        <w:rPr>
          <w:rFonts w:asciiTheme="majorBidi" w:eastAsia="Calibri" w:hAnsiTheme="majorBidi" w:cstheme="majorBidi"/>
          <w:b/>
          <w:bCs/>
          <w:sz w:val="28"/>
          <w:szCs w:val="28"/>
          <w:lang w:val="en-GB"/>
        </w:rPr>
      </w:pPr>
    </w:p>
    <w:p w:rsidR="00BB4FB7" w:rsidRPr="00DA474A" w:rsidRDefault="00BB4FB7" w:rsidP="00BB4FB7">
      <w:pPr>
        <w:spacing w:after="200" w:line="480" w:lineRule="auto"/>
        <w:jc w:val="center"/>
        <w:rPr>
          <w:rFonts w:asciiTheme="majorBidi" w:eastAsia="Calibri" w:hAnsiTheme="majorBidi" w:cstheme="majorBidi"/>
          <w:b/>
          <w:bCs/>
          <w:sz w:val="28"/>
          <w:szCs w:val="28"/>
        </w:rPr>
      </w:pPr>
      <w:r w:rsidRPr="00DA474A">
        <w:rPr>
          <w:rFonts w:asciiTheme="majorBidi" w:eastAsia="Calibri" w:hAnsiTheme="majorBidi" w:cstheme="majorBidi"/>
          <w:b/>
          <w:bCs/>
          <w:sz w:val="28"/>
          <w:szCs w:val="28"/>
        </w:rPr>
        <w:t xml:space="preserve">Optoelectronic Properties </w:t>
      </w:r>
      <w:r w:rsidRPr="00DA474A">
        <w:rPr>
          <w:rFonts w:asciiTheme="majorBidi" w:eastAsia="Calibri" w:hAnsiTheme="majorBidi" w:cstheme="majorBidi"/>
          <w:b/>
          <w:bCs/>
          <w:sz w:val="28"/>
          <w:szCs w:val="28"/>
          <w:lang w:val="en-GB"/>
        </w:rPr>
        <w:t xml:space="preserve">of </w:t>
      </w:r>
      <w:r>
        <w:rPr>
          <w:rFonts w:asciiTheme="majorBidi" w:eastAsia="Calibri" w:hAnsiTheme="majorBidi" w:cstheme="majorBidi"/>
          <w:b/>
          <w:bCs/>
          <w:sz w:val="28"/>
          <w:szCs w:val="28"/>
        </w:rPr>
        <w:t>P</w:t>
      </w:r>
      <w:r w:rsidRPr="00050CF8">
        <w:rPr>
          <w:rFonts w:asciiTheme="majorBidi" w:eastAsia="Calibri" w:hAnsiTheme="majorBidi" w:cstheme="majorBidi"/>
          <w:b/>
          <w:bCs/>
          <w:sz w:val="28"/>
          <w:szCs w:val="28"/>
        </w:rPr>
        <w:t xml:space="preserve">orous </w:t>
      </w:r>
      <w:r w:rsidRPr="00DA474A">
        <w:rPr>
          <w:rFonts w:asciiTheme="majorBidi" w:eastAsia="Calibri" w:hAnsiTheme="majorBidi" w:cstheme="majorBidi"/>
          <w:b/>
          <w:bCs/>
          <w:sz w:val="28"/>
          <w:szCs w:val="28"/>
          <w:lang w:val="en-GB"/>
        </w:rPr>
        <w:t xml:space="preserve">Silver Oxide </w:t>
      </w:r>
      <w:r>
        <w:rPr>
          <w:rFonts w:asciiTheme="majorBidi" w:eastAsia="Calibri" w:hAnsiTheme="majorBidi" w:cstheme="majorBidi"/>
          <w:b/>
          <w:bCs/>
          <w:sz w:val="28"/>
          <w:szCs w:val="28"/>
          <w:lang w:val="en-GB"/>
        </w:rPr>
        <w:t xml:space="preserve">Thin </w:t>
      </w:r>
      <w:r w:rsidRPr="00DA474A">
        <w:rPr>
          <w:rFonts w:asciiTheme="majorBidi" w:eastAsia="Calibri" w:hAnsiTheme="majorBidi" w:cstheme="majorBidi"/>
          <w:b/>
          <w:bCs/>
          <w:sz w:val="28"/>
          <w:szCs w:val="28"/>
          <w:lang w:val="en-GB"/>
        </w:rPr>
        <w:t>Film</w:t>
      </w:r>
      <w:r>
        <w:rPr>
          <w:rFonts w:asciiTheme="majorBidi" w:eastAsia="Calibri" w:hAnsiTheme="majorBidi" w:cstheme="majorBidi"/>
          <w:b/>
          <w:bCs/>
          <w:sz w:val="28"/>
          <w:szCs w:val="28"/>
          <w:lang w:val="en-GB"/>
        </w:rPr>
        <w:t xml:space="preserve">: </w:t>
      </w:r>
      <w:r w:rsidRPr="00DA474A">
        <w:rPr>
          <w:rFonts w:asciiTheme="majorBidi" w:eastAsia="Calibri" w:hAnsiTheme="majorBidi" w:cstheme="majorBidi"/>
          <w:b/>
          <w:bCs/>
          <w:sz w:val="28"/>
          <w:szCs w:val="28"/>
          <w:lang w:val="en-GB"/>
        </w:rPr>
        <w:t xml:space="preserve">Oxidation Time </w:t>
      </w:r>
      <w:r>
        <w:rPr>
          <w:rFonts w:asciiTheme="majorBidi" w:eastAsia="Calibri" w:hAnsiTheme="majorBidi" w:cstheme="majorBidi"/>
          <w:b/>
          <w:bCs/>
          <w:sz w:val="28"/>
          <w:szCs w:val="28"/>
          <w:lang w:val="en-GB"/>
        </w:rPr>
        <w:t>Influence</w:t>
      </w:r>
      <w:bookmarkStart w:id="0" w:name="_Hlk32874257"/>
    </w:p>
    <w:p w:rsidR="00C07554" w:rsidRDefault="00C07554" w:rsidP="00C07554">
      <w:pPr>
        <w:spacing w:after="200" w:line="480" w:lineRule="auto"/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  <w:bookmarkStart w:id="1" w:name="_GoBack"/>
      <w:bookmarkEnd w:id="0"/>
      <w:bookmarkEnd w:id="1"/>
      <w:r>
        <w:rPr>
          <w:rFonts w:asciiTheme="majorBidi" w:eastAsia="Calibri" w:hAnsiTheme="majorBidi" w:cstheme="majorBidi"/>
          <w:b/>
          <w:bCs/>
          <w:sz w:val="24"/>
          <w:szCs w:val="24"/>
        </w:rPr>
        <w:t>Ahmad Al-Sarraj</w:t>
      </w:r>
      <w:r w:rsidRPr="00323748">
        <w:rPr>
          <w:rFonts w:asciiTheme="majorBidi" w:eastAsia="Calibri" w:hAnsiTheme="majorBidi" w:cstheme="majorBidi"/>
          <w:b/>
          <w:bCs/>
          <w:sz w:val="24"/>
          <w:szCs w:val="24"/>
          <w:vertAlign w:val="superscript"/>
        </w:rPr>
        <w:t>1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, </w:t>
      </w:r>
      <w:r w:rsidRPr="00323748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Khaled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M. </w:t>
      </w:r>
      <w:r w:rsidRPr="00323748">
        <w:rPr>
          <w:rFonts w:asciiTheme="majorBidi" w:eastAsia="Calibri" w:hAnsiTheme="majorBidi" w:cstheme="majorBidi"/>
          <w:b/>
          <w:bCs/>
          <w:sz w:val="24"/>
          <w:szCs w:val="24"/>
        </w:rPr>
        <w:t>Saoud</w:t>
      </w:r>
      <w:r w:rsidRPr="00323748">
        <w:rPr>
          <w:rFonts w:asciiTheme="majorBidi" w:eastAsia="Calibri" w:hAnsiTheme="majorBidi" w:cstheme="majorBidi"/>
          <w:b/>
          <w:bCs/>
          <w:sz w:val="24"/>
          <w:szCs w:val="24"/>
          <w:vertAlign w:val="superscript"/>
        </w:rPr>
        <w:t>2</w:t>
      </w:r>
      <w:r>
        <w:rPr>
          <w:rFonts w:asciiTheme="majorBidi" w:eastAsia="Calibri" w:hAnsiTheme="majorBidi" w:cstheme="majorBidi"/>
          <w:b/>
          <w:bCs/>
          <w:sz w:val="24"/>
          <w:szCs w:val="24"/>
          <w:vertAlign w:val="superscript"/>
        </w:rPr>
        <w:t>*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>, Abdelaziz Elmel</w:t>
      </w:r>
      <w:r>
        <w:rPr>
          <w:rFonts w:asciiTheme="majorBidi" w:eastAsia="Calibri" w:hAnsiTheme="majorBidi" w:cstheme="majorBidi"/>
          <w:b/>
          <w:bCs/>
          <w:sz w:val="24"/>
          <w:szCs w:val="24"/>
          <w:vertAlign w:val="superscript"/>
        </w:rPr>
        <w:t>1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>, Said Mansour</w:t>
      </w:r>
      <w:r>
        <w:rPr>
          <w:rFonts w:asciiTheme="majorBidi" w:eastAsia="Calibri" w:hAnsiTheme="majorBidi" w:cstheme="majorBidi"/>
          <w:b/>
          <w:bCs/>
          <w:sz w:val="24"/>
          <w:szCs w:val="24"/>
          <w:vertAlign w:val="superscript"/>
        </w:rPr>
        <w:t>3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, </w:t>
      </w:r>
      <w:r w:rsidRPr="00926F66">
        <w:rPr>
          <w:rFonts w:asciiTheme="majorBidi" w:eastAsia="Calibri" w:hAnsiTheme="majorBidi" w:cstheme="majorBidi"/>
          <w:b/>
          <w:bCs/>
          <w:sz w:val="24"/>
          <w:szCs w:val="24"/>
        </w:rPr>
        <w:t>Yousef Haik</w:t>
      </w:r>
      <w:r>
        <w:rPr>
          <w:rFonts w:asciiTheme="majorBidi" w:eastAsia="Calibri" w:hAnsiTheme="majorBidi" w:cstheme="majorBidi"/>
          <w:b/>
          <w:bCs/>
          <w:sz w:val="24"/>
          <w:szCs w:val="24"/>
          <w:vertAlign w:val="superscript"/>
        </w:rPr>
        <w:t>1*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</w:t>
      </w:r>
    </w:p>
    <w:p w:rsidR="00C07554" w:rsidRPr="00926F66" w:rsidRDefault="00C07554" w:rsidP="00C07554">
      <w:pPr>
        <w:pStyle w:val="ListParagraph"/>
        <w:numPr>
          <w:ilvl w:val="0"/>
          <w:numId w:val="1"/>
        </w:numPr>
        <w:spacing w:after="200" w:line="480" w:lineRule="auto"/>
        <w:rPr>
          <w:rFonts w:asciiTheme="majorBidi" w:eastAsia="Calibri" w:hAnsiTheme="majorBidi" w:cstheme="majorBidi"/>
          <w:sz w:val="24"/>
          <w:szCs w:val="24"/>
        </w:rPr>
      </w:pPr>
      <w:r w:rsidRPr="00926F66">
        <w:rPr>
          <w:rFonts w:asciiTheme="majorBidi" w:eastAsia="Calibri" w:hAnsiTheme="majorBidi" w:cstheme="majorBidi"/>
          <w:sz w:val="24"/>
          <w:szCs w:val="24"/>
        </w:rPr>
        <w:t>College of Science and Engineering, Hamad Bin Khalifa University, Qatar Foundation, Doha, Qatar</w:t>
      </w:r>
      <w:r>
        <w:rPr>
          <w:rFonts w:asciiTheme="majorBidi" w:eastAsia="Calibri" w:hAnsiTheme="majorBidi" w:cstheme="majorBidi"/>
          <w:sz w:val="24"/>
          <w:szCs w:val="24"/>
        </w:rPr>
        <w:t>.</w:t>
      </w:r>
      <w:r w:rsidRPr="00926F66">
        <w:rPr>
          <w:rFonts w:asciiTheme="majorBidi" w:eastAsia="Calibri" w:hAnsiTheme="majorBidi" w:cstheme="majorBidi"/>
          <w:sz w:val="24"/>
          <w:szCs w:val="24"/>
        </w:rPr>
        <w:t xml:space="preserve"> </w:t>
      </w:r>
    </w:p>
    <w:p w:rsidR="00C07554" w:rsidRDefault="00C07554" w:rsidP="00C07554">
      <w:pPr>
        <w:pStyle w:val="ListParagraph"/>
        <w:numPr>
          <w:ilvl w:val="0"/>
          <w:numId w:val="1"/>
        </w:numPr>
        <w:spacing w:after="200" w:line="480" w:lineRule="auto"/>
        <w:rPr>
          <w:rFonts w:asciiTheme="majorBidi" w:eastAsia="Calibri" w:hAnsiTheme="majorBidi" w:cstheme="majorBidi"/>
          <w:sz w:val="24"/>
          <w:szCs w:val="24"/>
        </w:rPr>
      </w:pPr>
      <w:r w:rsidRPr="00926F66">
        <w:rPr>
          <w:rFonts w:asciiTheme="majorBidi" w:eastAsia="Calibri" w:hAnsiTheme="majorBidi" w:cstheme="majorBidi"/>
          <w:sz w:val="24"/>
          <w:szCs w:val="24"/>
        </w:rPr>
        <w:t>Liberal Arts and Science Program, Virginia Commonwealth University in Qatar, Doha, Qatar</w:t>
      </w:r>
      <w:r>
        <w:rPr>
          <w:rFonts w:asciiTheme="majorBidi" w:eastAsia="Calibri" w:hAnsiTheme="majorBidi" w:cstheme="majorBidi"/>
          <w:sz w:val="24"/>
          <w:szCs w:val="24"/>
        </w:rPr>
        <w:t>.</w:t>
      </w:r>
    </w:p>
    <w:p w:rsidR="00C07554" w:rsidRDefault="00C07554" w:rsidP="00C07554">
      <w:pPr>
        <w:pStyle w:val="ListParagraph"/>
        <w:numPr>
          <w:ilvl w:val="0"/>
          <w:numId w:val="1"/>
        </w:numPr>
        <w:spacing w:after="200" w:line="480" w:lineRule="auto"/>
        <w:rPr>
          <w:rFonts w:asciiTheme="majorBidi" w:eastAsia="Calibri" w:hAnsiTheme="majorBidi" w:cstheme="majorBidi"/>
          <w:sz w:val="24"/>
          <w:szCs w:val="24"/>
        </w:rPr>
      </w:pPr>
      <w:r w:rsidRPr="005C13AD">
        <w:rPr>
          <w:rFonts w:asciiTheme="majorBidi" w:eastAsia="Calibri" w:hAnsiTheme="majorBidi" w:cstheme="majorBidi"/>
          <w:sz w:val="24"/>
          <w:szCs w:val="24"/>
        </w:rPr>
        <w:t>Qatar Energy and Environment Research Institute</w:t>
      </w:r>
      <w:r>
        <w:rPr>
          <w:rFonts w:asciiTheme="majorBidi" w:eastAsia="Calibri" w:hAnsiTheme="majorBidi" w:cstheme="majorBidi"/>
          <w:sz w:val="24"/>
          <w:szCs w:val="24"/>
        </w:rPr>
        <w:t xml:space="preserve">, </w:t>
      </w:r>
      <w:r w:rsidRPr="005C13AD">
        <w:rPr>
          <w:rFonts w:asciiTheme="majorBidi" w:eastAsia="Calibri" w:hAnsiTheme="majorBidi" w:cstheme="majorBidi"/>
          <w:sz w:val="24"/>
          <w:szCs w:val="24"/>
        </w:rPr>
        <w:t>Hamad Bin Khalifa University</w:t>
      </w:r>
      <w:r>
        <w:rPr>
          <w:rFonts w:asciiTheme="majorBidi" w:eastAsia="Calibri" w:hAnsiTheme="majorBidi" w:cstheme="majorBidi"/>
          <w:sz w:val="24"/>
          <w:szCs w:val="24"/>
        </w:rPr>
        <w:t>,</w:t>
      </w:r>
      <w:r w:rsidRPr="005C13AD">
        <w:rPr>
          <w:rFonts w:asciiTheme="majorBidi" w:eastAsia="Calibri" w:hAnsiTheme="majorBidi" w:cstheme="majorBidi"/>
          <w:sz w:val="24"/>
          <w:szCs w:val="24"/>
        </w:rPr>
        <w:t xml:space="preserve"> Qatar Foundation</w:t>
      </w:r>
      <w:r w:rsidRPr="00926F66">
        <w:rPr>
          <w:rFonts w:asciiTheme="majorBidi" w:eastAsia="Calibri" w:hAnsiTheme="majorBidi" w:cstheme="majorBidi"/>
          <w:sz w:val="24"/>
          <w:szCs w:val="24"/>
        </w:rPr>
        <w:t>, Doha, Qatar</w:t>
      </w:r>
      <w:r>
        <w:rPr>
          <w:rFonts w:asciiTheme="majorBidi" w:eastAsia="Calibri" w:hAnsiTheme="majorBidi" w:cstheme="majorBidi"/>
          <w:sz w:val="24"/>
          <w:szCs w:val="24"/>
        </w:rPr>
        <w:t>.</w:t>
      </w:r>
    </w:p>
    <w:p w:rsidR="001E0303" w:rsidRDefault="001E0303" w:rsidP="00604F96">
      <w:pPr>
        <w:spacing w:after="200" w:line="480" w:lineRule="auto"/>
        <w:rPr>
          <w:rFonts w:asciiTheme="majorBidi" w:eastAsia="Calibri" w:hAnsiTheme="majorBidi" w:cstheme="majorBidi"/>
          <w:sz w:val="24"/>
          <w:szCs w:val="24"/>
        </w:rPr>
      </w:pPr>
    </w:p>
    <w:p w:rsidR="001E0303" w:rsidRPr="001E0303" w:rsidRDefault="00604F96" w:rsidP="008A551F">
      <w:pPr>
        <w:spacing w:after="200" w:line="480" w:lineRule="auto"/>
        <w:rPr>
          <w:rFonts w:asciiTheme="majorBidi" w:eastAsia="Calibri" w:hAnsiTheme="majorBidi" w:cstheme="majorBidi"/>
          <w:sz w:val="24"/>
          <w:szCs w:val="24"/>
        </w:rPr>
      </w:pPr>
      <w:r w:rsidRPr="00604F96">
        <w:rPr>
          <w:rFonts w:asciiTheme="majorBidi" w:eastAsia="Calibri" w:hAnsiTheme="majorBidi" w:cstheme="majorBidi"/>
          <w:sz w:val="24"/>
          <w:szCs w:val="24"/>
        </w:rPr>
        <w:t xml:space="preserve">Experimental setup for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>ultrasonic spraying deposition</w:t>
      </w:r>
      <w:r w:rsid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and Oxygen plasma etching techniques are shown </w:t>
      </w:r>
      <w:r w:rsidRPr="00604F96">
        <w:rPr>
          <w:rFonts w:asciiTheme="majorBidi" w:eastAsia="Calibri" w:hAnsiTheme="majorBidi" w:cstheme="majorBidi"/>
          <w:sz w:val="24"/>
          <w:szCs w:val="24"/>
        </w:rPr>
        <w:t xml:space="preserve">Fig. S1. </w:t>
      </w:r>
      <w:r w:rsidR="008A551F">
        <w:rPr>
          <w:rFonts w:asciiTheme="majorBidi" w:eastAsia="Calibri" w:hAnsiTheme="majorBidi" w:cstheme="majorBidi"/>
          <w:sz w:val="24"/>
          <w:szCs w:val="24"/>
          <w:lang w:val="en-GB"/>
        </w:rPr>
        <w:t>A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n aqueous solution of silver NWs </w:t>
      </w:r>
      <w:r w:rsidR="001E0303">
        <w:rPr>
          <w:rFonts w:asciiTheme="majorBidi" w:eastAsia="Calibri" w:hAnsiTheme="majorBidi" w:cstheme="majorBidi"/>
          <w:sz w:val="24"/>
          <w:szCs w:val="24"/>
          <w:lang w:val="en-GB"/>
        </w:rPr>
        <w:t>with a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diameter of 50 nm</w:t>
      </w:r>
      <w:r w:rsid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and a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length is 100-200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sym w:font="Symbol" w:char="F06D"/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>m is dispersed in 25 mL of ethanol</w:t>
      </w:r>
      <w:r w:rsid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. Ag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NWs solution </w:t>
      </w:r>
      <w:r w:rsid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with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concentration 20 mg/mL is diluted </w:t>
      </w:r>
      <w:r w:rsidR="001E0303">
        <w:rPr>
          <w:rFonts w:asciiTheme="majorBidi" w:eastAsia="Calibri" w:hAnsiTheme="majorBidi" w:cstheme="majorBidi"/>
          <w:sz w:val="24"/>
          <w:szCs w:val="24"/>
          <w:lang w:val="en-GB"/>
        </w:rPr>
        <w:t>with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ethanol to </w:t>
      </w:r>
      <w:r w:rsidR="001E0303">
        <w:rPr>
          <w:rFonts w:asciiTheme="majorBidi" w:eastAsia="Calibri" w:hAnsiTheme="majorBidi" w:cstheme="majorBidi"/>
          <w:sz w:val="24"/>
          <w:szCs w:val="24"/>
          <w:lang w:val="en-GB"/>
        </w:rPr>
        <w:t>achieve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homogeneous deposition and prevent the NWs from clogging the nozzle </w:t>
      </w:r>
      <w:r w:rsid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during the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spraying. </w:t>
      </w:r>
      <w:r w:rsidR="006F6342">
        <w:rPr>
          <w:rFonts w:asciiTheme="majorBidi" w:eastAsia="Calibri" w:hAnsiTheme="majorBidi" w:cstheme="majorBidi"/>
          <w:sz w:val="24"/>
          <w:szCs w:val="24"/>
          <w:lang w:val="en-GB"/>
        </w:rPr>
        <w:t xml:space="preserve">The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solution </w:t>
      </w:r>
      <w:r w:rsidR="006F6342">
        <w:rPr>
          <w:rFonts w:asciiTheme="majorBidi" w:eastAsia="Calibri" w:hAnsiTheme="majorBidi" w:cstheme="majorBidi"/>
          <w:sz w:val="24"/>
          <w:szCs w:val="24"/>
          <w:lang w:val="en-GB"/>
        </w:rPr>
        <w:t>then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sprayed </w:t>
      </w:r>
      <w:r w:rsidR="006F6342" w:rsidRPr="006F6342">
        <w:rPr>
          <w:rFonts w:asciiTheme="majorBidi" w:eastAsia="Calibri" w:hAnsiTheme="majorBidi" w:cstheme="majorBidi"/>
          <w:sz w:val="24"/>
          <w:szCs w:val="24"/>
          <w:lang w:val="en-GB"/>
        </w:rPr>
        <w:t xml:space="preserve">using the ultrasonic spraying deposition </w:t>
      </w:r>
      <w:r w:rsidR="006F6342">
        <w:rPr>
          <w:rFonts w:asciiTheme="majorBidi" w:eastAsia="Calibri" w:hAnsiTheme="majorBidi" w:cstheme="majorBidi"/>
          <w:sz w:val="24"/>
          <w:szCs w:val="24"/>
          <w:lang w:val="en-GB"/>
        </w:rPr>
        <w:t xml:space="preserve">technique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on </w:t>
      </w:r>
      <w:r w:rsidR="006F6342" w:rsidRPr="006F6342">
        <w:rPr>
          <w:rFonts w:asciiTheme="majorBidi" w:eastAsia="Calibri" w:hAnsiTheme="majorBidi" w:cstheme="majorBidi"/>
          <w:sz w:val="24"/>
          <w:szCs w:val="24"/>
          <w:lang w:val="en-GB"/>
        </w:rPr>
        <w:t xml:space="preserve">25x75mm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glass substrates. </w:t>
      </w:r>
      <w:r w:rsidR="006F6342">
        <w:rPr>
          <w:rFonts w:asciiTheme="majorBidi" w:eastAsia="Calibri" w:hAnsiTheme="majorBidi" w:cstheme="majorBidi"/>
          <w:sz w:val="24"/>
          <w:szCs w:val="24"/>
          <w:lang w:val="en-GB"/>
        </w:rPr>
        <w:t>The spraying system is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</w:t>
      </w:r>
      <w:r w:rsidR="006F6342" w:rsidRPr="001E0303">
        <w:rPr>
          <w:rFonts w:asciiTheme="majorBidi" w:eastAsia="Calibri" w:hAnsiTheme="majorBidi" w:cstheme="majorBidi"/>
          <w:sz w:val="24"/>
          <w:szCs w:val="24"/>
          <w:lang w:val="en-GB"/>
        </w:rPr>
        <w:t>consisting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of an impact nozzle, heating plate, and a syringe with a stirrer to pump the solution into the nozzle. The </w:t>
      </w:r>
      <w:r w:rsidR="006F6342">
        <w:rPr>
          <w:rFonts w:asciiTheme="majorBidi" w:eastAsia="Calibri" w:hAnsiTheme="majorBidi" w:cstheme="majorBidi"/>
          <w:sz w:val="24"/>
          <w:szCs w:val="24"/>
          <w:lang w:val="en-GB"/>
        </w:rPr>
        <w:t>system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deposits the silver on the substrate in the form of tiny droplets (size range in microns) to ultrasonically form piezoelectric crystals.</w:t>
      </w:r>
      <w:r w:rsidR="006F6342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The size of the droplets is controlled by the crystals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lastRenderedPageBreak/>
        <w:t xml:space="preserve">mean frequency of oscillation. Pumped gas (nitrogen) then drive the droplets onto the substrate to create a thin film. The flow rate </w:t>
      </w:r>
      <w:r w:rsidR="006F6342">
        <w:rPr>
          <w:rFonts w:asciiTheme="majorBidi" w:eastAsia="Calibri" w:hAnsiTheme="majorBidi" w:cstheme="majorBidi"/>
          <w:sz w:val="24"/>
          <w:szCs w:val="24"/>
          <w:lang w:val="en-GB"/>
        </w:rPr>
        <w:t>was adjusted to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0.8 m/L per second, while the air shaping pressure placed at 0.7 CMM.</w:t>
      </w:r>
      <w:r w:rsidR="006F6342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The </w:t>
      </w:r>
      <w:r w:rsidR="006F6342" w:rsidRPr="006F6342">
        <w:rPr>
          <w:rFonts w:asciiTheme="majorBidi" w:eastAsia="Calibri" w:hAnsiTheme="majorBidi" w:cstheme="majorBidi"/>
          <w:sz w:val="24"/>
          <w:szCs w:val="24"/>
          <w:lang w:val="en-GB"/>
        </w:rPr>
        <w:t>silver NWs</w:t>
      </w:r>
      <w:r w:rsidR="006F6342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is oxidized using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radio-frequency plasma source Plasma etch® model PE-100. </w:t>
      </w:r>
      <w:r w:rsidR="008A551F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A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radiofrequency plasma power </w:t>
      </w:r>
      <w:r w:rsidR="008A551F">
        <w:rPr>
          <w:rFonts w:asciiTheme="majorBidi" w:eastAsia="Calibri" w:hAnsiTheme="majorBidi" w:cstheme="majorBidi"/>
          <w:sz w:val="24"/>
          <w:szCs w:val="24"/>
          <w:lang w:val="en-GB"/>
        </w:rPr>
        <w:t xml:space="preserve">was </w:t>
      </w:r>
      <w:r w:rsidR="008A551F" w:rsidRPr="001E0303">
        <w:rPr>
          <w:rFonts w:asciiTheme="majorBidi" w:eastAsia="Calibri" w:hAnsiTheme="majorBidi" w:cstheme="majorBidi"/>
          <w:sz w:val="24"/>
          <w:szCs w:val="24"/>
          <w:lang w:val="en-GB"/>
        </w:rPr>
        <w:t>adjusted</w:t>
      </w:r>
      <w:r w:rsidR="008A551F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to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30 W </w:t>
      </w:r>
      <w:r w:rsidR="008A551F">
        <w:rPr>
          <w:rFonts w:asciiTheme="majorBidi" w:eastAsia="Calibri" w:hAnsiTheme="majorBidi" w:cstheme="majorBidi"/>
          <w:sz w:val="24"/>
          <w:szCs w:val="24"/>
          <w:lang w:val="en-GB"/>
        </w:rPr>
        <w:t xml:space="preserve">and 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then applied to the silver film under oxygen plasma etching with a mass flow of 15 </w:t>
      </w:r>
      <w:proofErr w:type="spellStart"/>
      <w:r w:rsidR="008A551F">
        <w:rPr>
          <w:rFonts w:asciiTheme="majorBidi" w:eastAsia="Calibri" w:hAnsiTheme="majorBidi" w:cstheme="majorBidi"/>
          <w:sz w:val="24"/>
          <w:szCs w:val="24"/>
          <w:lang w:val="en-GB"/>
        </w:rPr>
        <w:t>S</w:t>
      </w:r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>ccm</w:t>
      </w:r>
      <w:proofErr w:type="spellEnd"/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 xml:space="preserve">. The pressure inside the chamber was 200 </w:t>
      </w:r>
      <w:proofErr w:type="spellStart"/>
      <w:r w:rsidR="001E0303" w:rsidRPr="001E0303">
        <w:rPr>
          <w:rFonts w:asciiTheme="majorBidi" w:eastAsia="Calibri" w:hAnsiTheme="majorBidi" w:cstheme="majorBidi"/>
          <w:sz w:val="24"/>
          <w:szCs w:val="24"/>
          <w:lang w:val="en-GB"/>
        </w:rPr>
        <w:t>mTor</w:t>
      </w:r>
      <w:proofErr w:type="spellEnd"/>
      <w:r w:rsidR="008A551F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and </w:t>
      </w:r>
      <w:r w:rsidR="001E0303" w:rsidRPr="001E0303">
        <w:rPr>
          <w:rFonts w:asciiTheme="majorBidi" w:eastAsia="Calibri" w:hAnsiTheme="majorBidi" w:cstheme="majorBidi"/>
          <w:sz w:val="24"/>
          <w:szCs w:val="24"/>
        </w:rPr>
        <w:t>the temperature inside the chamber set at 30 degrees Celsius.</w:t>
      </w:r>
    </w:p>
    <w:p w:rsidR="001E0303" w:rsidRDefault="001E0303" w:rsidP="00604F96">
      <w:pPr>
        <w:spacing w:after="200" w:line="480" w:lineRule="auto"/>
        <w:rPr>
          <w:rFonts w:asciiTheme="majorBidi" w:eastAsia="Calibri" w:hAnsiTheme="majorBidi" w:cstheme="majorBidi"/>
          <w:sz w:val="24"/>
          <w:szCs w:val="24"/>
        </w:rPr>
      </w:pPr>
    </w:p>
    <w:p w:rsidR="00604F96" w:rsidRPr="00604F96" w:rsidRDefault="00604F96" w:rsidP="00604F96">
      <w:pPr>
        <w:spacing w:after="200" w:line="480" w:lineRule="auto"/>
        <w:rPr>
          <w:rFonts w:asciiTheme="majorBidi" w:eastAsia="Calibri" w:hAnsiTheme="majorBidi" w:cstheme="majorBidi"/>
          <w:sz w:val="24"/>
          <w:szCs w:val="24"/>
        </w:rPr>
      </w:pPr>
    </w:p>
    <w:p w:rsidR="008A551F" w:rsidRDefault="00C07554" w:rsidP="008A551F">
      <w:pPr>
        <w:keepNext/>
        <w:jc w:val="center"/>
      </w:pPr>
      <w:r>
        <w:rPr>
          <w:noProof/>
        </w:rPr>
        <w:drawing>
          <wp:inline distT="0" distB="0" distL="0" distR="0" wp14:anchorId="1393B25D">
            <wp:extent cx="6006540" cy="2777490"/>
            <wp:effectExtent l="19050" t="19050" r="13335" b="228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272" cy="278476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76281" w:rsidRPr="00440DF4" w:rsidRDefault="008A551F" w:rsidP="00440DF4">
      <w:pPr>
        <w:pStyle w:val="Caption"/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</w:pPr>
      <w:r w:rsidRPr="00440DF4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t xml:space="preserve">Figure S </w:t>
      </w:r>
      <w:r w:rsidRPr="00440DF4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fldChar w:fldCharType="begin"/>
      </w:r>
      <w:r w:rsidRPr="00440DF4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instrText xml:space="preserve"> SEQ Figure_S \* ARABIC </w:instrText>
      </w:r>
      <w:r w:rsidRPr="00440DF4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fldChar w:fldCharType="separate"/>
      </w:r>
      <w:r w:rsidRPr="00440DF4">
        <w:rPr>
          <w:rFonts w:asciiTheme="majorBidi" w:hAnsiTheme="majorBidi" w:cstheme="majorBidi"/>
          <w:i w:val="0"/>
          <w:iCs w:val="0"/>
          <w:noProof/>
          <w:color w:val="auto"/>
          <w:sz w:val="24"/>
          <w:szCs w:val="24"/>
        </w:rPr>
        <w:t>1</w:t>
      </w:r>
      <w:r w:rsidRPr="00440DF4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fldChar w:fldCharType="end"/>
      </w:r>
      <w:r w:rsidRPr="00440DF4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t xml:space="preserve">: Schematic </w:t>
      </w:r>
      <w:r w:rsidR="00440DF4" w:rsidRPr="00440DF4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t>illustration</w:t>
      </w:r>
      <w:r w:rsidRPr="00440DF4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t xml:space="preserve"> of the ultrasonic spray-pyrolysis system and </w:t>
      </w:r>
      <w:r w:rsidRPr="00440DF4">
        <w:rPr>
          <w:rFonts w:asciiTheme="majorBidi" w:hAnsiTheme="majorBidi" w:cstheme="majorBidi"/>
          <w:i w:val="0"/>
          <w:iCs w:val="0"/>
          <w:color w:val="auto"/>
          <w:sz w:val="24"/>
          <w:szCs w:val="24"/>
          <w:lang w:val="en-GB"/>
        </w:rPr>
        <w:t>Oxygen plasma etching techniques</w:t>
      </w:r>
      <w:r w:rsidRPr="00440DF4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t xml:space="preserve"> used the preparation of silver oxide thin film.  the present study</w:t>
      </w:r>
    </w:p>
    <w:sectPr w:rsidR="00976281" w:rsidRPr="00440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A55BD0"/>
    <w:multiLevelType w:val="multilevel"/>
    <w:tmpl w:val="CBDEA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81"/>
    <w:rsid w:val="001E0303"/>
    <w:rsid w:val="00440DF4"/>
    <w:rsid w:val="00604F96"/>
    <w:rsid w:val="006F6342"/>
    <w:rsid w:val="008A551F"/>
    <w:rsid w:val="00976281"/>
    <w:rsid w:val="009862B7"/>
    <w:rsid w:val="00BB4FB7"/>
    <w:rsid w:val="00C07554"/>
    <w:rsid w:val="00CB353F"/>
    <w:rsid w:val="00EA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DC30D-3436-473A-A72F-1696A7DB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554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8A551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VCUArts Qatar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Saoud</dc:creator>
  <cp:keywords/>
  <dc:description/>
  <cp:lastModifiedBy>Haik, Yousef</cp:lastModifiedBy>
  <cp:revision>3</cp:revision>
  <dcterms:created xsi:type="dcterms:W3CDTF">2020-04-03T19:28:00Z</dcterms:created>
  <dcterms:modified xsi:type="dcterms:W3CDTF">2020-04-08T04:52:00Z</dcterms:modified>
</cp:coreProperties>
</file>