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720B5" w14:textId="7536D330" w:rsidR="00A67EDA" w:rsidRPr="003232A4" w:rsidRDefault="00FF719C" w:rsidP="003232A4">
      <w:pPr>
        <w:spacing w:line="480" w:lineRule="auto"/>
        <w:rPr>
          <w:rFonts w:ascii="Arial" w:hAnsi="Arial" w:cs="Arial"/>
          <w:sz w:val="20"/>
          <w:szCs w:val="20"/>
          <w:lang w:val="en-US"/>
        </w:rPr>
      </w:pPr>
      <w:bookmarkStart w:id="0" w:name="_GoBack"/>
      <w:r>
        <w:rPr>
          <w:b/>
          <w:sz w:val="28"/>
        </w:rPr>
        <w:t xml:space="preserve">1. </w:t>
      </w:r>
      <w:r w:rsidR="00F45D92">
        <w:rPr>
          <w:b/>
          <w:sz w:val="28"/>
        </w:rPr>
        <w:t>Introduction</w:t>
      </w:r>
    </w:p>
    <w:p w14:paraId="4077C7C5" w14:textId="7E59E1F8" w:rsidR="004D4119" w:rsidRPr="00BD0CF3" w:rsidRDefault="00F45D92" w:rsidP="003232A4">
      <w:pPr>
        <w:spacing w:line="480" w:lineRule="auto"/>
        <w:rPr>
          <w:rFonts w:ascii="Calibri" w:hAnsi="Calibri"/>
          <w:sz w:val="22"/>
          <w:szCs w:val="22"/>
        </w:rPr>
      </w:pPr>
      <w:r w:rsidRPr="00BD0CF3">
        <w:rPr>
          <w:sz w:val="22"/>
          <w:szCs w:val="22"/>
        </w:rPr>
        <w:t>2.5% p</w:t>
      </w:r>
      <w:r w:rsidR="00296AEF" w:rsidRPr="00BD0CF3">
        <w:rPr>
          <w:sz w:val="22"/>
          <w:szCs w:val="22"/>
        </w:rPr>
        <w:t>olyacrylamide hydrogel (</w:t>
      </w:r>
      <w:r w:rsidRPr="00BD0CF3">
        <w:rPr>
          <w:sz w:val="22"/>
          <w:szCs w:val="22"/>
        </w:rPr>
        <w:t>2.5%</w:t>
      </w:r>
      <w:r w:rsidR="00BF2724">
        <w:rPr>
          <w:sz w:val="22"/>
          <w:szCs w:val="22"/>
        </w:rPr>
        <w:t xml:space="preserve"> </w:t>
      </w:r>
      <w:r w:rsidR="00665D19" w:rsidRPr="00BD0CF3">
        <w:rPr>
          <w:sz w:val="22"/>
          <w:szCs w:val="22"/>
        </w:rPr>
        <w:t>PAAG)</w:t>
      </w:r>
      <w:r w:rsidR="00665D19" w:rsidRPr="00BD0CF3">
        <w:rPr>
          <w:rFonts w:ascii="Calibri" w:hAnsi="Calibri"/>
          <w:sz w:val="22"/>
          <w:szCs w:val="22"/>
        </w:rPr>
        <w:t xml:space="preserve"> is a non-toxic, non-particulate, homogenous polymer, consisting of 97.5% sterile water and 2.5% cross-linked polyacrylamide hydrogel</w:t>
      </w:r>
      <w:r w:rsidR="00236BAF" w:rsidRPr="00BD0CF3">
        <w:rPr>
          <w:rFonts w:ascii="Calibri" w:hAnsi="Calibri"/>
          <w:sz w:val="22"/>
          <w:szCs w:val="22"/>
        </w:rPr>
        <w:t>.</w:t>
      </w:r>
      <w:r w:rsidR="00A547D2" w:rsidRPr="00BD0CF3">
        <w:rPr>
          <w:rFonts w:ascii="Calibri" w:hAnsi="Calibri"/>
          <w:sz w:val="22"/>
          <w:szCs w:val="22"/>
        </w:rPr>
        <w:t xml:space="preserve"> </w:t>
      </w:r>
      <w:r w:rsidR="00262A37" w:rsidRPr="00BD0CF3">
        <w:rPr>
          <w:rFonts w:ascii="Calibri" w:hAnsi="Calibri"/>
          <w:sz w:val="22"/>
          <w:szCs w:val="22"/>
        </w:rPr>
        <w:t xml:space="preserve">In small quantities, </w:t>
      </w:r>
      <w:r w:rsidRPr="00BD0CF3">
        <w:rPr>
          <w:rFonts w:ascii="Calibri" w:hAnsi="Calibri"/>
          <w:sz w:val="22"/>
          <w:szCs w:val="22"/>
        </w:rPr>
        <w:t xml:space="preserve">2.5% </w:t>
      </w:r>
      <w:r w:rsidR="00A547D2" w:rsidRPr="00BD0CF3">
        <w:rPr>
          <w:rFonts w:ascii="Calibri" w:hAnsi="Calibri"/>
          <w:sz w:val="22"/>
          <w:szCs w:val="22"/>
        </w:rPr>
        <w:t>PAAG is biocompatible</w:t>
      </w:r>
      <w:r w:rsidR="00660CF1" w:rsidRPr="00BD0CF3">
        <w:rPr>
          <w:rFonts w:ascii="Calibri" w:hAnsi="Calibri"/>
          <w:sz w:val="22"/>
          <w:szCs w:val="22"/>
        </w:rPr>
        <w:t xml:space="preserve"> </w:t>
      </w:r>
      <w:r w:rsidR="00F711AD" w:rsidRPr="00BD0CF3">
        <w:rPr>
          <w:rFonts w:ascii="Calibri" w:hAnsi="Calibri"/>
          <w:sz w:val="22"/>
          <w:szCs w:val="22"/>
        </w:rPr>
        <w:t>when</w:t>
      </w:r>
      <w:r w:rsidR="003C7032" w:rsidRPr="00BD0CF3">
        <w:rPr>
          <w:rFonts w:ascii="Calibri" w:hAnsi="Calibri"/>
          <w:sz w:val="22"/>
          <w:szCs w:val="22"/>
        </w:rPr>
        <w:t xml:space="preserve"> used</w:t>
      </w:r>
      <w:r w:rsidR="00262A37" w:rsidRPr="00BD0CF3">
        <w:rPr>
          <w:rFonts w:ascii="Calibri" w:hAnsi="Calibri"/>
          <w:sz w:val="22"/>
          <w:szCs w:val="22"/>
        </w:rPr>
        <w:t xml:space="preserve"> </w:t>
      </w:r>
      <w:r w:rsidR="003C7032" w:rsidRPr="00BD0CF3">
        <w:rPr>
          <w:rFonts w:ascii="Calibri" w:hAnsi="Calibri"/>
          <w:sz w:val="22"/>
          <w:szCs w:val="22"/>
        </w:rPr>
        <w:t>for</w:t>
      </w:r>
      <w:r w:rsidR="00262A37" w:rsidRPr="00BD0CF3">
        <w:rPr>
          <w:rFonts w:ascii="Calibri" w:hAnsi="Calibri"/>
          <w:sz w:val="22"/>
          <w:szCs w:val="22"/>
        </w:rPr>
        <w:t xml:space="preserve"> soft tissue augmentation in human medicine [1,</w:t>
      </w:r>
      <w:r w:rsidR="00A672C2">
        <w:rPr>
          <w:rFonts w:ascii="Calibri" w:hAnsi="Calibri"/>
          <w:sz w:val="22"/>
          <w:szCs w:val="22"/>
        </w:rPr>
        <w:t>2</w:t>
      </w:r>
      <w:r w:rsidR="00262A37" w:rsidRPr="00BD0CF3">
        <w:rPr>
          <w:rFonts w:ascii="Calibri" w:hAnsi="Calibri"/>
          <w:sz w:val="22"/>
          <w:szCs w:val="22"/>
        </w:rPr>
        <w:t xml:space="preserve">]. </w:t>
      </w:r>
      <w:r>
        <w:rPr>
          <w:rFonts w:ascii="Calibri" w:hAnsi="Calibri"/>
          <w:sz w:val="22"/>
          <w:szCs w:val="22"/>
        </w:rPr>
        <w:t>Animal s</w:t>
      </w:r>
      <w:r w:rsidR="00262A37" w:rsidRPr="00BD0CF3">
        <w:rPr>
          <w:rFonts w:ascii="Calibri" w:hAnsi="Calibri"/>
          <w:sz w:val="22"/>
          <w:szCs w:val="22"/>
        </w:rPr>
        <w:t>tudies using</w:t>
      </w:r>
      <w:r w:rsidR="00B37BCC" w:rsidRPr="00BD0CF3">
        <w:rPr>
          <w:rFonts w:ascii="Calibri" w:hAnsi="Calibri"/>
          <w:sz w:val="22"/>
          <w:szCs w:val="22"/>
        </w:rPr>
        <w:t xml:space="preserve"> </w:t>
      </w:r>
      <w:r w:rsidR="00262A37" w:rsidRPr="00BD0CF3">
        <w:rPr>
          <w:rFonts w:ascii="Calibri" w:hAnsi="Calibri"/>
          <w:sz w:val="22"/>
          <w:szCs w:val="22"/>
        </w:rPr>
        <w:t xml:space="preserve">histological </w:t>
      </w:r>
      <w:r w:rsidR="00A547D2" w:rsidRPr="00BD0CF3">
        <w:rPr>
          <w:rFonts w:ascii="Calibri" w:hAnsi="Calibri"/>
          <w:sz w:val="22"/>
          <w:szCs w:val="22"/>
        </w:rPr>
        <w:t xml:space="preserve">examination reveal its integration into </w:t>
      </w:r>
      <w:r w:rsidRPr="00BD0CF3">
        <w:rPr>
          <w:rFonts w:ascii="Calibri" w:hAnsi="Calibri"/>
          <w:sz w:val="22"/>
          <w:szCs w:val="22"/>
        </w:rPr>
        <w:t xml:space="preserve">the synovium layers in both osteoarthritic and non-osteoarthritic </w:t>
      </w:r>
      <w:r>
        <w:rPr>
          <w:rFonts w:ascii="Calibri" w:hAnsi="Calibri"/>
          <w:sz w:val="22"/>
          <w:szCs w:val="22"/>
        </w:rPr>
        <w:t>equine</w:t>
      </w:r>
      <w:r w:rsidRPr="00BD0CF3">
        <w:rPr>
          <w:rFonts w:ascii="Calibri" w:hAnsi="Calibri"/>
          <w:sz w:val="22"/>
          <w:szCs w:val="22"/>
        </w:rPr>
        <w:t xml:space="preserve"> synovial joints </w:t>
      </w:r>
      <w:r w:rsidR="00A547D2" w:rsidRPr="00BD0CF3">
        <w:rPr>
          <w:rFonts w:ascii="Calibri" w:hAnsi="Calibri"/>
          <w:sz w:val="22"/>
          <w:szCs w:val="22"/>
        </w:rPr>
        <w:t>through a combination of vessel in-growth and molecular water exchange</w:t>
      </w:r>
      <w:r>
        <w:rPr>
          <w:rFonts w:ascii="Calibri" w:hAnsi="Calibri"/>
          <w:sz w:val="22"/>
          <w:szCs w:val="22"/>
        </w:rPr>
        <w:t>,</w:t>
      </w:r>
      <w:r w:rsidR="00A547D2" w:rsidRPr="00BD0CF3">
        <w:rPr>
          <w:rFonts w:ascii="Calibri" w:hAnsi="Calibri"/>
          <w:sz w:val="22"/>
          <w:szCs w:val="22"/>
        </w:rPr>
        <w:t xml:space="preserve"> </w:t>
      </w:r>
      <w:r w:rsidR="007D553B">
        <w:rPr>
          <w:rFonts w:ascii="Calibri" w:hAnsi="Calibri"/>
          <w:sz w:val="22"/>
          <w:szCs w:val="22"/>
        </w:rPr>
        <w:t xml:space="preserve">with </w:t>
      </w:r>
      <w:r w:rsidRPr="00BD0CF3">
        <w:rPr>
          <w:rFonts w:ascii="Calibri" w:hAnsi="Calibri"/>
          <w:sz w:val="22"/>
          <w:szCs w:val="22"/>
        </w:rPr>
        <w:t>resultant deposition of collagen fibres</w:t>
      </w:r>
      <w:r w:rsidR="003B4A6B">
        <w:rPr>
          <w:rFonts w:ascii="Calibri" w:hAnsi="Calibri"/>
          <w:sz w:val="22"/>
          <w:szCs w:val="22"/>
        </w:rPr>
        <w:t xml:space="preserve"> </w:t>
      </w:r>
      <w:r w:rsidR="003B4A6B" w:rsidRPr="00BD0CF3">
        <w:rPr>
          <w:rFonts w:ascii="Calibri" w:hAnsi="Calibri"/>
          <w:sz w:val="22"/>
          <w:szCs w:val="22"/>
        </w:rPr>
        <w:t>[</w:t>
      </w:r>
      <w:r w:rsidR="003B4A6B">
        <w:rPr>
          <w:rFonts w:ascii="Calibri" w:hAnsi="Calibri"/>
          <w:sz w:val="22"/>
          <w:szCs w:val="22"/>
        </w:rPr>
        <w:t>3,4</w:t>
      </w:r>
      <w:r w:rsidR="003B4A6B" w:rsidRPr="00BD0CF3">
        <w:rPr>
          <w:rFonts w:ascii="Calibri" w:hAnsi="Calibri"/>
          <w:sz w:val="22"/>
          <w:szCs w:val="22"/>
        </w:rPr>
        <w:t>]</w:t>
      </w:r>
      <w:r w:rsidR="00356F54" w:rsidRPr="00BD0CF3">
        <w:rPr>
          <w:rFonts w:ascii="Calibri" w:hAnsi="Calibri"/>
          <w:sz w:val="22"/>
          <w:szCs w:val="22"/>
        </w:rPr>
        <w:t>.</w:t>
      </w:r>
      <w:r w:rsidR="00356932" w:rsidRPr="00BD0CF3">
        <w:rPr>
          <w:rFonts w:ascii="Calibri" w:hAnsi="Calibri"/>
          <w:sz w:val="22"/>
          <w:szCs w:val="22"/>
        </w:rPr>
        <w:t xml:space="preserve"> </w:t>
      </w:r>
    </w:p>
    <w:p w14:paraId="4E37AB9B" w14:textId="77777777" w:rsidR="00BA2F4A" w:rsidRDefault="00BA2F4A" w:rsidP="003232A4">
      <w:pPr>
        <w:spacing w:line="480" w:lineRule="auto"/>
        <w:rPr>
          <w:rFonts w:ascii="Calibri" w:hAnsi="Calibri"/>
          <w:sz w:val="22"/>
        </w:rPr>
      </w:pPr>
    </w:p>
    <w:p w14:paraId="48BF2762" w14:textId="09464C6B" w:rsidR="001552E7" w:rsidRDefault="00727244" w:rsidP="003232A4">
      <w:pPr>
        <w:spacing w:line="480" w:lineRule="auto"/>
        <w:rPr>
          <w:rFonts w:ascii="Calibri" w:hAnsi="Calibri"/>
          <w:sz w:val="22"/>
        </w:rPr>
      </w:pPr>
      <w:r>
        <w:rPr>
          <w:rFonts w:ascii="Calibri" w:hAnsi="Calibri"/>
          <w:sz w:val="22"/>
          <w:szCs w:val="22"/>
        </w:rPr>
        <w:t>Few</w:t>
      </w:r>
      <w:r w:rsidRPr="00BD0CF3">
        <w:rPr>
          <w:rFonts w:ascii="Calibri" w:hAnsi="Calibri"/>
          <w:sz w:val="22"/>
          <w:szCs w:val="22"/>
        </w:rPr>
        <w:t xml:space="preserve"> </w:t>
      </w:r>
      <w:r w:rsidR="00A827A7" w:rsidRPr="00BD0CF3">
        <w:rPr>
          <w:rFonts w:ascii="Calibri" w:hAnsi="Calibri"/>
          <w:sz w:val="22"/>
          <w:szCs w:val="22"/>
        </w:rPr>
        <w:t xml:space="preserve">studies have shown a corresponding </w:t>
      </w:r>
      <w:r w:rsidR="00A87637" w:rsidRPr="00BD0CF3">
        <w:rPr>
          <w:rFonts w:ascii="Calibri" w:hAnsi="Calibri"/>
          <w:sz w:val="22"/>
          <w:szCs w:val="22"/>
        </w:rPr>
        <w:t>alleviat</w:t>
      </w:r>
      <w:r w:rsidR="00A827A7" w:rsidRPr="00BD0CF3">
        <w:rPr>
          <w:rFonts w:ascii="Calibri" w:hAnsi="Calibri"/>
          <w:sz w:val="22"/>
          <w:szCs w:val="22"/>
        </w:rPr>
        <w:t>ion of</w:t>
      </w:r>
      <w:r w:rsidR="00A87637" w:rsidRPr="00BD0CF3">
        <w:rPr>
          <w:rFonts w:ascii="Calibri" w:hAnsi="Calibri"/>
          <w:sz w:val="22"/>
          <w:szCs w:val="22"/>
        </w:rPr>
        <w:t xml:space="preserve"> clinical signs </w:t>
      </w:r>
      <w:r w:rsidR="00A827A7" w:rsidRPr="00BD0CF3">
        <w:rPr>
          <w:rFonts w:ascii="Calibri" w:hAnsi="Calibri"/>
          <w:sz w:val="22"/>
          <w:szCs w:val="22"/>
        </w:rPr>
        <w:t xml:space="preserve">of lameness </w:t>
      </w:r>
      <w:r w:rsidR="0093117B" w:rsidRPr="00BD0CF3">
        <w:rPr>
          <w:rFonts w:ascii="Calibri" w:hAnsi="Calibri"/>
          <w:sz w:val="22"/>
          <w:szCs w:val="22"/>
        </w:rPr>
        <w:t xml:space="preserve">using </w:t>
      </w:r>
      <w:r w:rsidR="003C3922" w:rsidRPr="00BD0CF3">
        <w:rPr>
          <w:rFonts w:ascii="Calibri" w:hAnsi="Calibri"/>
          <w:sz w:val="22"/>
          <w:szCs w:val="22"/>
        </w:rPr>
        <w:t xml:space="preserve">2.5% </w:t>
      </w:r>
      <w:r w:rsidR="0093117B" w:rsidRPr="00BD0CF3">
        <w:rPr>
          <w:rFonts w:ascii="Calibri" w:hAnsi="Calibri"/>
          <w:sz w:val="22"/>
          <w:szCs w:val="22"/>
        </w:rPr>
        <w:t>PAAG treatment in</w:t>
      </w:r>
      <w:r w:rsidR="00A827A7" w:rsidRPr="00BD0CF3">
        <w:rPr>
          <w:rFonts w:ascii="Calibri" w:hAnsi="Calibri"/>
          <w:sz w:val="22"/>
          <w:szCs w:val="22"/>
        </w:rPr>
        <w:t xml:space="preserve"> naturally</w:t>
      </w:r>
      <w:r w:rsidR="00596F1C">
        <w:rPr>
          <w:rFonts w:ascii="Calibri" w:hAnsi="Calibri"/>
          <w:sz w:val="22"/>
          <w:szCs w:val="22"/>
        </w:rPr>
        <w:t xml:space="preserve"> </w:t>
      </w:r>
      <w:r w:rsidR="00A827A7" w:rsidRPr="00BD0CF3">
        <w:rPr>
          <w:rFonts w:ascii="Calibri" w:hAnsi="Calibri"/>
          <w:sz w:val="22"/>
          <w:szCs w:val="22"/>
        </w:rPr>
        <w:t>occurring disease</w:t>
      </w:r>
      <w:r w:rsidR="0093117B" w:rsidRPr="00BD0CF3">
        <w:rPr>
          <w:rFonts w:ascii="Calibri" w:hAnsi="Calibri"/>
          <w:sz w:val="22"/>
          <w:szCs w:val="22"/>
        </w:rPr>
        <w:t xml:space="preserve">. </w:t>
      </w:r>
      <w:r w:rsidR="00A827A7" w:rsidRPr="00BD0CF3">
        <w:rPr>
          <w:rFonts w:ascii="Calibri" w:hAnsi="Calibri"/>
          <w:sz w:val="22"/>
          <w:szCs w:val="22"/>
        </w:rPr>
        <w:t xml:space="preserve"> </w:t>
      </w:r>
      <w:r w:rsidR="0093117B" w:rsidRPr="00BD0CF3">
        <w:rPr>
          <w:rFonts w:ascii="Calibri" w:hAnsi="Calibri"/>
          <w:sz w:val="22"/>
          <w:szCs w:val="22"/>
        </w:rPr>
        <w:t>D</w:t>
      </w:r>
      <w:r w:rsidR="00A827A7" w:rsidRPr="00BD0CF3">
        <w:rPr>
          <w:rFonts w:ascii="Calibri" w:hAnsi="Calibri"/>
          <w:sz w:val="22"/>
          <w:szCs w:val="22"/>
        </w:rPr>
        <w:t xml:space="preserve">istal interphalangeal, metacarpophalangeal, metatarsophalangeal, carpal and </w:t>
      </w:r>
      <w:proofErr w:type="spellStart"/>
      <w:r w:rsidR="00A827A7" w:rsidRPr="00BD0CF3">
        <w:rPr>
          <w:rFonts w:ascii="Calibri" w:hAnsi="Calibri"/>
          <w:sz w:val="22"/>
          <w:szCs w:val="22"/>
        </w:rPr>
        <w:t>tarsocrural</w:t>
      </w:r>
      <w:proofErr w:type="spellEnd"/>
      <w:r w:rsidR="00A827A7" w:rsidRPr="00BD0CF3">
        <w:rPr>
          <w:rFonts w:ascii="Calibri" w:hAnsi="Calibri"/>
          <w:sz w:val="22"/>
          <w:szCs w:val="22"/>
        </w:rPr>
        <w:t xml:space="preserve"> joints</w:t>
      </w:r>
      <w:r w:rsidR="0093117B" w:rsidRPr="00BD0CF3">
        <w:rPr>
          <w:rFonts w:ascii="Calibri" w:hAnsi="Calibri"/>
          <w:sz w:val="22"/>
          <w:szCs w:val="22"/>
        </w:rPr>
        <w:t xml:space="preserve"> have been treated</w:t>
      </w:r>
      <w:r w:rsidR="00A827A7" w:rsidRPr="00BD0CF3">
        <w:rPr>
          <w:rFonts w:ascii="Calibri" w:hAnsi="Calibri"/>
          <w:sz w:val="22"/>
          <w:szCs w:val="22"/>
        </w:rPr>
        <w:t xml:space="preserve">, with the efficacy </w:t>
      </w:r>
      <w:r w:rsidR="00F711AD" w:rsidRPr="00BD0CF3">
        <w:rPr>
          <w:rFonts w:ascii="Calibri" w:hAnsi="Calibri"/>
          <w:sz w:val="22"/>
          <w:szCs w:val="22"/>
        </w:rPr>
        <w:t xml:space="preserve">of a single intra-articular dose of 2.5% PAAG </w:t>
      </w:r>
      <w:r w:rsidR="00A827A7" w:rsidRPr="00BD0CF3">
        <w:rPr>
          <w:rFonts w:ascii="Calibri" w:hAnsi="Calibri"/>
          <w:sz w:val="22"/>
          <w:szCs w:val="22"/>
        </w:rPr>
        <w:t>lasting up to 24 months post-administration</w:t>
      </w:r>
      <w:r w:rsidR="00617648" w:rsidRPr="00BD0CF3">
        <w:rPr>
          <w:rFonts w:ascii="Calibri" w:hAnsi="Calibri"/>
          <w:sz w:val="22"/>
          <w:szCs w:val="22"/>
        </w:rPr>
        <w:t xml:space="preserve"> [</w:t>
      </w:r>
      <w:r w:rsidR="00AD326D">
        <w:rPr>
          <w:rFonts w:ascii="Calibri" w:hAnsi="Calibri"/>
          <w:sz w:val="22"/>
          <w:szCs w:val="22"/>
        </w:rPr>
        <w:t>5-</w:t>
      </w:r>
      <w:r w:rsidR="0031572B">
        <w:rPr>
          <w:rFonts w:ascii="Calibri" w:hAnsi="Calibri"/>
          <w:sz w:val="22"/>
          <w:szCs w:val="22"/>
        </w:rPr>
        <w:t>8</w:t>
      </w:r>
      <w:r w:rsidR="00617648" w:rsidRPr="00BD0CF3">
        <w:rPr>
          <w:rFonts w:ascii="Calibri" w:hAnsi="Calibri"/>
          <w:sz w:val="22"/>
          <w:szCs w:val="22"/>
        </w:rPr>
        <w:t>]</w:t>
      </w:r>
      <w:r w:rsidR="00791AD5" w:rsidRPr="00BD0CF3">
        <w:rPr>
          <w:rFonts w:ascii="Calibri" w:hAnsi="Calibri"/>
          <w:sz w:val="22"/>
          <w:szCs w:val="22"/>
        </w:rPr>
        <w:t xml:space="preserve">. </w:t>
      </w:r>
      <w:r w:rsidR="00E858E8">
        <w:rPr>
          <w:rFonts w:ascii="Calibri" w:hAnsi="Calibri"/>
          <w:sz w:val="22"/>
          <w:szCs w:val="22"/>
        </w:rPr>
        <w:t>Although t</w:t>
      </w:r>
      <w:r w:rsidR="00A7781A" w:rsidRPr="00BD0CF3">
        <w:rPr>
          <w:rFonts w:ascii="Calibri" w:hAnsi="Calibri"/>
          <w:sz w:val="22"/>
          <w:szCs w:val="22"/>
        </w:rPr>
        <w:t xml:space="preserve">hese studies were conducted </w:t>
      </w:r>
      <w:r w:rsidR="00AC7182" w:rsidRPr="00BD0CF3">
        <w:rPr>
          <w:rFonts w:ascii="Calibri" w:hAnsi="Calibri"/>
          <w:sz w:val="22"/>
          <w:szCs w:val="22"/>
        </w:rPr>
        <w:t xml:space="preserve">on </w:t>
      </w:r>
      <w:r w:rsidR="00E858E8">
        <w:rPr>
          <w:rFonts w:ascii="Calibri" w:hAnsi="Calibri"/>
          <w:sz w:val="22"/>
          <w:szCs w:val="22"/>
        </w:rPr>
        <w:t>sport horses</w:t>
      </w:r>
      <w:r w:rsidR="00A7781A" w:rsidRPr="00BD0CF3">
        <w:rPr>
          <w:rFonts w:ascii="Calibri" w:hAnsi="Calibri"/>
          <w:sz w:val="22"/>
          <w:szCs w:val="22"/>
        </w:rPr>
        <w:t xml:space="preserve">, </w:t>
      </w:r>
      <w:r w:rsidR="00E858E8">
        <w:rPr>
          <w:rFonts w:ascii="Calibri" w:hAnsi="Calibri"/>
          <w:sz w:val="22"/>
          <w:szCs w:val="22"/>
        </w:rPr>
        <w:t>r</w:t>
      </w:r>
      <w:r w:rsidR="0093117B">
        <w:rPr>
          <w:rFonts w:ascii="Calibri" w:hAnsi="Calibri"/>
          <w:sz w:val="22"/>
        </w:rPr>
        <w:t xml:space="preserve">acehorses have also been successfully treated using </w:t>
      </w:r>
      <w:r w:rsidR="003C3922">
        <w:rPr>
          <w:rFonts w:ascii="Calibri" w:hAnsi="Calibri"/>
          <w:sz w:val="22"/>
        </w:rPr>
        <w:t xml:space="preserve">2.5% </w:t>
      </w:r>
      <w:r w:rsidR="0093117B">
        <w:rPr>
          <w:rFonts w:ascii="Calibri" w:hAnsi="Calibri"/>
          <w:sz w:val="22"/>
        </w:rPr>
        <w:t xml:space="preserve">PAAG. </w:t>
      </w:r>
      <w:r w:rsidR="00E858E8">
        <w:rPr>
          <w:rFonts w:ascii="Calibri" w:hAnsi="Calibri"/>
          <w:sz w:val="22"/>
        </w:rPr>
        <w:t>Recently,</w:t>
      </w:r>
      <w:r w:rsidR="0076129A">
        <w:rPr>
          <w:rFonts w:ascii="Calibri" w:hAnsi="Calibri"/>
          <w:sz w:val="22"/>
        </w:rPr>
        <w:t xml:space="preserve"> </w:t>
      </w:r>
      <w:r w:rsidR="00E858E8">
        <w:rPr>
          <w:rFonts w:ascii="Calibri" w:hAnsi="Calibri"/>
          <w:sz w:val="22"/>
        </w:rPr>
        <w:t xml:space="preserve">out of </w:t>
      </w:r>
      <w:r w:rsidR="00A65B89">
        <w:rPr>
          <w:rFonts w:ascii="Calibri" w:hAnsi="Calibri"/>
          <w:sz w:val="22"/>
        </w:rPr>
        <w:t>49</w:t>
      </w:r>
      <w:r w:rsidR="0093117B">
        <w:rPr>
          <w:rFonts w:ascii="Calibri" w:hAnsi="Calibri"/>
          <w:sz w:val="22"/>
        </w:rPr>
        <w:t xml:space="preserve"> flat-racing Thoroughbreds </w:t>
      </w:r>
      <w:r w:rsidR="0076129A">
        <w:rPr>
          <w:rFonts w:ascii="Calibri" w:hAnsi="Calibri"/>
          <w:sz w:val="22"/>
        </w:rPr>
        <w:t xml:space="preserve">treated with </w:t>
      </w:r>
      <w:r w:rsidR="001F1DB1">
        <w:rPr>
          <w:rFonts w:ascii="Calibri" w:hAnsi="Calibri"/>
          <w:sz w:val="22"/>
        </w:rPr>
        <w:t xml:space="preserve">2.5% </w:t>
      </w:r>
      <w:r w:rsidR="0093117B">
        <w:rPr>
          <w:rFonts w:ascii="Calibri" w:hAnsi="Calibri"/>
          <w:sz w:val="22"/>
        </w:rPr>
        <w:t>PAAG in the</w:t>
      </w:r>
      <w:r w:rsidR="0076129A">
        <w:rPr>
          <w:rFonts w:ascii="Calibri" w:hAnsi="Calibri"/>
          <w:sz w:val="22"/>
        </w:rPr>
        <w:t xml:space="preserve"> </w:t>
      </w:r>
      <w:r w:rsidR="00596F1C">
        <w:rPr>
          <w:rFonts w:ascii="Calibri" w:hAnsi="Calibri"/>
          <w:sz w:val="22"/>
        </w:rPr>
        <w:t xml:space="preserve">middle </w:t>
      </w:r>
      <w:r w:rsidR="00466693">
        <w:rPr>
          <w:rFonts w:ascii="Calibri" w:hAnsi="Calibri"/>
          <w:sz w:val="22"/>
        </w:rPr>
        <w:t>c</w:t>
      </w:r>
      <w:r w:rsidR="0076129A">
        <w:rPr>
          <w:rFonts w:ascii="Calibri" w:hAnsi="Calibri"/>
          <w:sz w:val="22"/>
        </w:rPr>
        <w:t>arpal, radio-carpal and metacarpophalangeal joints</w:t>
      </w:r>
      <w:r w:rsidR="00E858E8">
        <w:rPr>
          <w:rFonts w:ascii="Calibri" w:hAnsi="Calibri"/>
          <w:sz w:val="22"/>
        </w:rPr>
        <w:t xml:space="preserve">, </w:t>
      </w:r>
      <w:r w:rsidR="0093117B">
        <w:rPr>
          <w:rFonts w:ascii="Calibri" w:hAnsi="Calibri"/>
          <w:sz w:val="22"/>
        </w:rPr>
        <w:t>6</w:t>
      </w:r>
      <w:r w:rsidR="00A65B89">
        <w:rPr>
          <w:rFonts w:ascii="Calibri" w:hAnsi="Calibri"/>
          <w:sz w:val="22"/>
        </w:rPr>
        <w:t>5.3</w:t>
      </w:r>
      <w:r w:rsidR="0093117B">
        <w:rPr>
          <w:rFonts w:ascii="Calibri" w:hAnsi="Calibri"/>
          <w:sz w:val="22"/>
        </w:rPr>
        <w:t>%</w:t>
      </w:r>
      <w:r w:rsidR="00E858E8">
        <w:rPr>
          <w:rFonts w:ascii="Calibri" w:hAnsi="Calibri"/>
          <w:sz w:val="22"/>
        </w:rPr>
        <w:t xml:space="preserve"> </w:t>
      </w:r>
      <w:r w:rsidR="0093117B">
        <w:rPr>
          <w:rFonts w:ascii="Calibri" w:hAnsi="Calibri"/>
          <w:sz w:val="22"/>
        </w:rPr>
        <w:t xml:space="preserve">were </w:t>
      </w:r>
      <w:r w:rsidR="00F711AD">
        <w:rPr>
          <w:rFonts w:ascii="Calibri" w:hAnsi="Calibri"/>
          <w:sz w:val="22"/>
        </w:rPr>
        <w:t>lame-free</w:t>
      </w:r>
      <w:r w:rsidR="0093117B">
        <w:rPr>
          <w:rFonts w:ascii="Calibri" w:hAnsi="Calibri"/>
          <w:sz w:val="22"/>
        </w:rPr>
        <w:t xml:space="preserve"> at 24 weeks’ post-treatment </w:t>
      </w:r>
      <w:r w:rsidR="0031572B">
        <w:rPr>
          <w:rFonts w:ascii="Calibri" w:hAnsi="Calibri"/>
          <w:sz w:val="22"/>
        </w:rPr>
        <w:t>[9</w:t>
      </w:r>
      <w:r w:rsidR="00F93F25">
        <w:rPr>
          <w:rFonts w:ascii="Calibri" w:hAnsi="Calibri"/>
          <w:sz w:val="22"/>
        </w:rPr>
        <w:t xml:space="preserve">]. </w:t>
      </w:r>
    </w:p>
    <w:p w14:paraId="6856BEC7" w14:textId="77777777" w:rsidR="00F435AD" w:rsidRDefault="00F435AD" w:rsidP="003232A4">
      <w:pPr>
        <w:spacing w:line="480" w:lineRule="auto"/>
        <w:rPr>
          <w:rFonts w:ascii="Calibri" w:hAnsi="Calibri"/>
          <w:sz w:val="22"/>
        </w:rPr>
      </w:pPr>
    </w:p>
    <w:p w14:paraId="167EF41B" w14:textId="62B0B021" w:rsidR="00660CF1" w:rsidRPr="003232A4" w:rsidRDefault="00F45D92" w:rsidP="00642F7A">
      <w:pPr>
        <w:spacing w:line="480" w:lineRule="auto"/>
        <w:rPr>
          <w:bCs/>
          <w:sz w:val="22"/>
          <w:szCs w:val="22"/>
        </w:rPr>
      </w:pPr>
      <w:r>
        <w:rPr>
          <w:rFonts w:ascii="Calibri" w:hAnsi="Calibri"/>
          <w:sz w:val="22"/>
        </w:rPr>
        <w:t>Despite th</w:t>
      </w:r>
      <w:r w:rsidR="004F00A3">
        <w:rPr>
          <w:rFonts w:ascii="Calibri" w:hAnsi="Calibri"/>
          <w:sz w:val="22"/>
        </w:rPr>
        <w:t>is</w:t>
      </w:r>
      <w:r w:rsidR="00A65B89">
        <w:rPr>
          <w:rFonts w:ascii="Calibri" w:hAnsi="Calibri"/>
          <w:sz w:val="22"/>
        </w:rPr>
        <w:t>,</w:t>
      </w:r>
      <w:r w:rsidR="00F435AD">
        <w:rPr>
          <w:rFonts w:ascii="Calibri" w:hAnsi="Calibri"/>
          <w:sz w:val="22"/>
        </w:rPr>
        <w:t xml:space="preserve"> </w:t>
      </w:r>
      <w:r w:rsidR="000642B3">
        <w:rPr>
          <w:rFonts w:ascii="Calibri" w:hAnsi="Calibri"/>
          <w:sz w:val="22"/>
        </w:rPr>
        <w:t>the</w:t>
      </w:r>
      <w:r w:rsidR="004F00A3">
        <w:rPr>
          <w:rFonts w:ascii="Calibri" w:hAnsi="Calibri"/>
          <w:sz w:val="22"/>
        </w:rPr>
        <w:t>se studies have</w:t>
      </w:r>
      <w:r w:rsidR="000642B3">
        <w:rPr>
          <w:rFonts w:ascii="Calibri" w:hAnsi="Calibri"/>
          <w:sz w:val="22"/>
        </w:rPr>
        <w:t xml:space="preserve"> seve</w:t>
      </w:r>
      <w:r w:rsidR="009C3506">
        <w:rPr>
          <w:rFonts w:ascii="Calibri" w:hAnsi="Calibri"/>
          <w:sz w:val="22"/>
        </w:rPr>
        <w:t xml:space="preserve">ral </w:t>
      </w:r>
      <w:r w:rsidR="00E63D69">
        <w:rPr>
          <w:rFonts w:ascii="Calibri" w:hAnsi="Calibri"/>
          <w:sz w:val="22"/>
        </w:rPr>
        <w:t>limitation</w:t>
      </w:r>
      <w:r w:rsidR="00F711AD">
        <w:rPr>
          <w:rFonts w:ascii="Calibri" w:hAnsi="Calibri"/>
          <w:sz w:val="22"/>
        </w:rPr>
        <w:t>s</w:t>
      </w:r>
      <w:r w:rsidR="009C3506">
        <w:rPr>
          <w:rFonts w:ascii="Calibri" w:hAnsi="Calibri"/>
          <w:sz w:val="22"/>
        </w:rPr>
        <w:t xml:space="preserve">, </w:t>
      </w:r>
      <w:r w:rsidR="00E63D69">
        <w:rPr>
          <w:rFonts w:ascii="Calibri" w:hAnsi="Calibri"/>
          <w:sz w:val="22"/>
        </w:rPr>
        <w:t>including</w:t>
      </w:r>
      <w:r w:rsidR="009C3506">
        <w:rPr>
          <w:rFonts w:ascii="Calibri" w:hAnsi="Calibri"/>
          <w:sz w:val="22"/>
        </w:rPr>
        <w:t xml:space="preserve"> not being</w:t>
      </w:r>
      <w:r w:rsidR="00F435AD">
        <w:rPr>
          <w:rFonts w:ascii="Calibri" w:hAnsi="Calibri"/>
          <w:sz w:val="22"/>
        </w:rPr>
        <w:t xml:space="preserve"> </w:t>
      </w:r>
      <w:r w:rsidR="004829F1">
        <w:rPr>
          <w:rFonts w:ascii="Calibri" w:hAnsi="Calibri"/>
          <w:sz w:val="22"/>
        </w:rPr>
        <w:t>randomised,</w:t>
      </w:r>
      <w:r w:rsidR="00F435AD">
        <w:rPr>
          <w:rFonts w:ascii="Calibri" w:hAnsi="Calibri"/>
          <w:sz w:val="22"/>
        </w:rPr>
        <w:t xml:space="preserve"> blinded</w:t>
      </w:r>
      <w:r>
        <w:rPr>
          <w:rFonts w:ascii="Calibri" w:hAnsi="Calibri"/>
          <w:sz w:val="22"/>
        </w:rPr>
        <w:t xml:space="preserve">, </w:t>
      </w:r>
      <w:r w:rsidR="00505A5D">
        <w:rPr>
          <w:rFonts w:ascii="Calibri" w:hAnsi="Calibri"/>
          <w:sz w:val="22"/>
        </w:rPr>
        <w:t xml:space="preserve">not </w:t>
      </w:r>
      <w:r w:rsidRPr="002C32CE">
        <w:rPr>
          <w:rFonts w:ascii="Calibri" w:hAnsi="Calibri"/>
          <w:sz w:val="22"/>
        </w:rPr>
        <w:t>being</w:t>
      </w:r>
      <w:r w:rsidR="000642B3" w:rsidRPr="002C32CE">
        <w:rPr>
          <w:rFonts w:ascii="Calibri" w:hAnsi="Calibri"/>
          <w:sz w:val="22"/>
        </w:rPr>
        <w:t xml:space="preserve"> </w:t>
      </w:r>
      <w:r w:rsidR="00F435AD" w:rsidRPr="002C32CE">
        <w:rPr>
          <w:rFonts w:ascii="Calibri" w:hAnsi="Calibri"/>
          <w:sz w:val="22"/>
        </w:rPr>
        <w:t>conducted in a controlled setting</w:t>
      </w:r>
      <w:r>
        <w:rPr>
          <w:rFonts w:ascii="Calibri" w:hAnsi="Calibri"/>
          <w:sz w:val="22"/>
        </w:rPr>
        <w:t xml:space="preserve"> or</w:t>
      </w:r>
      <w:r w:rsidR="00B32013">
        <w:rPr>
          <w:rFonts w:ascii="Calibri" w:hAnsi="Calibri"/>
          <w:sz w:val="22"/>
        </w:rPr>
        <w:t>,</w:t>
      </w:r>
      <w:r w:rsidR="004F00A3">
        <w:rPr>
          <w:rFonts w:ascii="Calibri" w:hAnsi="Calibri"/>
          <w:sz w:val="22"/>
        </w:rPr>
        <w:t xml:space="preserve"> </w:t>
      </w:r>
      <w:r w:rsidR="00505A5D">
        <w:rPr>
          <w:rFonts w:ascii="Calibri" w:hAnsi="Calibri"/>
          <w:sz w:val="22"/>
        </w:rPr>
        <w:t xml:space="preserve">not </w:t>
      </w:r>
      <w:r>
        <w:rPr>
          <w:rFonts w:ascii="Calibri" w:hAnsi="Calibri"/>
          <w:sz w:val="22"/>
        </w:rPr>
        <w:t>using controls</w:t>
      </w:r>
      <w:r w:rsidR="00E63D69">
        <w:rPr>
          <w:rFonts w:ascii="Calibri" w:hAnsi="Calibri"/>
          <w:sz w:val="22"/>
        </w:rPr>
        <w:t>.</w:t>
      </w:r>
      <w:r w:rsidR="00F435AD">
        <w:rPr>
          <w:rFonts w:ascii="Calibri" w:hAnsi="Calibri"/>
          <w:sz w:val="22"/>
        </w:rPr>
        <w:t xml:space="preserve"> </w:t>
      </w:r>
      <w:r w:rsidR="00DC55D5">
        <w:rPr>
          <w:rFonts w:ascii="Calibri" w:hAnsi="Calibri"/>
          <w:sz w:val="22"/>
        </w:rPr>
        <w:t>Furthermore</w:t>
      </w:r>
      <w:r w:rsidR="00E63D69">
        <w:rPr>
          <w:rFonts w:ascii="Calibri" w:hAnsi="Calibri"/>
          <w:sz w:val="22"/>
        </w:rPr>
        <w:t xml:space="preserve">, </w:t>
      </w:r>
      <w:r w:rsidR="000642B3">
        <w:rPr>
          <w:rFonts w:ascii="Calibri" w:hAnsi="Calibri"/>
          <w:sz w:val="22"/>
        </w:rPr>
        <w:t xml:space="preserve">individuals </w:t>
      </w:r>
      <w:r w:rsidR="00010FD6">
        <w:rPr>
          <w:rFonts w:ascii="Calibri" w:hAnsi="Calibri"/>
          <w:sz w:val="22"/>
        </w:rPr>
        <w:t xml:space="preserve">in some studies </w:t>
      </w:r>
      <w:r w:rsidR="004829F1">
        <w:rPr>
          <w:rFonts w:ascii="Calibri" w:hAnsi="Calibri"/>
          <w:sz w:val="22"/>
        </w:rPr>
        <w:t>were rested from ridden exercise</w:t>
      </w:r>
      <w:r w:rsidR="00010FD6">
        <w:rPr>
          <w:rFonts w:ascii="Calibri" w:hAnsi="Calibri"/>
          <w:sz w:val="22"/>
        </w:rPr>
        <w:t xml:space="preserve"> </w:t>
      </w:r>
      <w:r w:rsidR="004829F1">
        <w:rPr>
          <w:rFonts w:ascii="Calibri" w:hAnsi="Calibri"/>
          <w:sz w:val="22"/>
        </w:rPr>
        <w:t>for periods of up to one month, which could</w:t>
      </w:r>
      <w:r w:rsidR="00B1411E">
        <w:rPr>
          <w:rFonts w:ascii="Calibri" w:hAnsi="Calibri"/>
          <w:sz w:val="22"/>
        </w:rPr>
        <w:t xml:space="preserve"> in itself</w:t>
      </w:r>
      <w:r>
        <w:rPr>
          <w:rFonts w:ascii="Calibri" w:hAnsi="Calibri"/>
          <w:sz w:val="22"/>
        </w:rPr>
        <w:t xml:space="preserve"> </w:t>
      </w:r>
      <w:r w:rsidR="00E63D69">
        <w:rPr>
          <w:rFonts w:ascii="Calibri" w:hAnsi="Calibri"/>
          <w:sz w:val="22"/>
        </w:rPr>
        <w:t xml:space="preserve">have </w:t>
      </w:r>
      <w:r w:rsidR="004829F1">
        <w:rPr>
          <w:rFonts w:ascii="Calibri" w:hAnsi="Calibri"/>
          <w:sz w:val="22"/>
        </w:rPr>
        <w:t>result</w:t>
      </w:r>
      <w:r w:rsidR="00E63D69">
        <w:rPr>
          <w:rFonts w:ascii="Calibri" w:hAnsi="Calibri"/>
          <w:sz w:val="22"/>
        </w:rPr>
        <w:t>ed</w:t>
      </w:r>
      <w:r w:rsidR="004829F1">
        <w:rPr>
          <w:rFonts w:ascii="Calibri" w:hAnsi="Calibri"/>
          <w:sz w:val="22"/>
        </w:rPr>
        <w:t xml:space="preserve"> in resolution of lameness </w:t>
      </w:r>
      <w:r w:rsidR="00E63D69">
        <w:rPr>
          <w:rFonts w:ascii="Calibri" w:hAnsi="Calibri"/>
          <w:sz w:val="22"/>
        </w:rPr>
        <w:t>in some cases</w:t>
      </w:r>
      <w:r w:rsidR="004829F1">
        <w:rPr>
          <w:rFonts w:ascii="Calibri" w:hAnsi="Calibri"/>
          <w:sz w:val="22"/>
        </w:rPr>
        <w:t>.</w:t>
      </w:r>
      <w:r w:rsidR="00B1411E">
        <w:rPr>
          <w:sz w:val="22"/>
        </w:rPr>
        <w:t xml:space="preserve"> </w:t>
      </w:r>
      <w:r w:rsidR="00FB3486">
        <w:rPr>
          <w:sz w:val="22"/>
        </w:rPr>
        <w:t xml:space="preserve">This prospective double-blinded positive control study aimed to </w:t>
      </w:r>
      <w:r w:rsidR="00D678AE">
        <w:rPr>
          <w:sz w:val="22"/>
        </w:rPr>
        <w:t>investigate the</w:t>
      </w:r>
      <w:r w:rsidR="0074285E">
        <w:rPr>
          <w:sz w:val="22"/>
        </w:rPr>
        <w:t xml:space="preserve"> efficacy of</w:t>
      </w:r>
      <w:r w:rsidR="00F711AD">
        <w:rPr>
          <w:sz w:val="22"/>
        </w:rPr>
        <w:t xml:space="preserve"> 2.5% </w:t>
      </w:r>
      <w:r w:rsidR="005D557E">
        <w:rPr>
          <w:sz w:val="22"/>
        </w:rPr>
        <w:t>PAAG</w:t>
      </w:r>
      <w:r w:rsidR="00CF7E07">
        <w:rPr>
          <w:sz w:val="22"/>
        </w:rPr>
        <w:t xml:space="preserve"> </w:t>
      </w:r>
      <w:r w:rsidR="00D678AE">
        <w:rPr>
          <w:sz w:val="22"/>
        </w:rPr>
        <w:t>compared with triamcinolone acetonide</w:t>
      </w:r>
      <w:r w:rsidR="00A65B89">
        <w:rPr>
          <w:sz w:val="22"/>
        </w:rPr>
        <w:t xml:space="preserve"> </w:t>
      </w:r>
      <w:r w:rsidR="00F86C22">
        <w:rPr>
          <w:sz w:val="22"/>
        </w:rPr>
        <w:t>(TA)</w:t>
      </w:r>
      <w:r w:rsidR="00D678AE">
        <w:rPr>
          <w:sz w:val="22"/>
        </w:rPr>
        <w:t xml:space="preserve"> and </w:t>
      </w:r>
      <w:r w:rsidR="006F4D3C">
        <w:rPr>
          <w:sz w:val="22"/>
        </w:rPr>
        <w:t>sodium hyaluron</w:t>
      </w:r>
      <w:r w:rsidR="00F711AD">
        <w:rPr>
          <w:sz w:val="22"/>
        </w:rPr>
        <w:t>a</w:t>
      </w:r>
      <w:r w:rsidR="00727244">
        <w:rPr>
          <w:sz w:val="22"/>
        </w:rPr>
        <w:t>te</w:t>
      </w:r>
      <w:r w:rsidR="00A65B89">
        <w:rPr>
          <w:sz w:val="22"/>
        </w:rPr>
        <w:t xml:space="preserve"> </w:t>
      </w:r>
      <w:r w:rsidR="00F86C22">
        <w:rPr>
          <w:sz w:val="22"/>
        </w:rPr>
        <w:t>(HA)</w:t>
      </w:r>
      <w:r w:rsidR="00CF7E07">
        <w:rPr>
          <w:sz w:val="22"/>
        </w:rPr>
        <w:t xml:space="preserve"> </w:t>
      </w:r>
      <w:r w:rsidR="009C2B9D">
        <w:rPr>
          <w:sz w:val="22"/>
        </w:rPr>
        <w:t>in the m</w:t>
      </w:r>
      <w:r w:rsidR="00E76E50">
        <w:rPr>
          <w:sz w:val="22"/>
        </w:rPr>
        <w:t xml:space="preserve">anagement of </w:t>
      </w:r>
      <w:r w:rsidR="00A87637">
        <w:rPr>
          <w:sz w:val="22"/>
        </w:rPr>
        <w:t>naturally</w:t>
      </w:r>
      <w:r w:rsidR="00596F1C">
        <w:rPr>
          <w:sz w:val="22"/>
        </w:rPr>
        <w:t xml:space="preserve"> </w:t>
      </w:r>
      <w:r w:rsidR="00A87637">
        <w:rPr>
          <w:sz w:val="22"/>
        </w:rPr>
        <w:t xml:space="preserve">occurring </w:t>
      </w:r>
      <w:r w:rsidR="00596F1C">
        <w:rPr>
          <w:sz w:val="22"/>
        </w:rPr>
        <w:t xml:space="preserve">middle </w:t>
      </w:r>
      <w:r w:rsidR="00E76E50">
        <w:rPr>
          <w:sz w:val="22"/>
        </w:rPr>
        <w:t>carpal joint</w:t>
      </w:r>
      <w:r w:rsidR="009C2B9D">
        <w:rPr>
          <w:sz w:val="22"/>
        </w:rPr>
        <w:t xml:space="preserve"> lameness in flat-racing Thoroughbred</w:t>
      </w:r>
      <w:r w:rsidR="001735FB">
        <w:rPr>
          <w:sz w:val="22"/>
        </w:rPr>
        <w:t>s</w:t>
      </w:r>
      <w:r w:rsidR="00087849">
        <w:rPr>
          <w:sz w:val="22"/>
        </w:rPr>
        <w:t>.</w:t>
      </w:r>
      <w:r w:rsidR="00596F1C">
        <w:rPr>
          <w:sz w:val="22"/>
        </w:rPr>
        <w:t xml:space="preserve"> </w:t>
      </w:r>
      <w:r w:rsidR="00E76E50">
        <w:rPr>
          <w:sz w:val="22"/>
        </w:rPr>
        <w:t xml:space="preserve">The hypothesis </w:t>
      </w:r>
      <w:r w:rsidR="005D557E">
        <w:rPr>
          <w:sz w:val="22"/>
        </w:rPr>
        <w:t xml:space="preserve">was </w:t>
      </w:r>
      <w:r w:rsidR="00E76E50">
        <w:rPr>
          <w:sz w:val="22"/>
        </w:rPr>
        <w:t>that there would be a significant diff</w:t>
      </w:r>
      <w:r w:rsidR="00455C2A">
        <w:rPr>
          <w:sz w:val="22"/>
        </w:rPr>
        <w:t>erence between treatment</w:t>
      </w:r>
      <w:r>
        <w:rPr>
          <w:sz w:val="22"/>
        </w:rPr>
        <w:t>s</w:t>
      </w:r>
      <w:r w:rsidR="00455C2A">
        <w:rPr>
          <w:sz w:val="22"/>
        </w:rPr>
        <w:t xml:space="preserve"> during the study</w:t>
      </w:r>
      <w:r>
        <w:rPr>
          <w:b/>
          <w:sz w:val="28"/>
        </w:rPr>
        <w:t xml:space="preserve"> </w:t>
      </w:r>
      <w:r w:rsidRPr="00F45D92">
        <w:rPr>
          <w:bCs/>
          <w:sz w:val="22"/>
          <w:szCs w:val="22"/>
        </w:rPr>
        <w:t>period.</w:t>
      </w:r>
      <w:r w:rsidR="00D222D5">
        <w:rPr>
          <w:bCs/>
          <w:sz w:val="22"/>
          <w:szCs w:val="22"/>
        </w:rPr>
        <w:br w:type="page"/>
      </w:r>
    </w:p>
    <w:p w14:paraId="0C63BB83" w14:textId="3BFD2C72" w:rsidR="00AA2C85" w:rsidRPr="00CA0B95" w:rsidRDefault="00FF719C" w:rsidP="003232A4">
      <w:pPr>
        <w:spacing w:line="480" w:lineRule="auto"/>
        <w:outlineLvl w:val="0"/>
        <w:rPr>
          <w:b/>
          <w:sz w:val="28"/>
        </w:rPr>
      </w:pPr>
      <w:r>
        <w:rPr>
          <w:b/>
          <w:sz w:val="28"/>
        </w:rPr>
        <w:lastRenderedPageBreak/>
        <w:t xml:space="preserve">2. </w:t>
      </w:r>
      <w:r w:rsidR="00F45D92" w:rsidRPr="00CA0B95">
        <w:rPr>
          <w:b/>
          <w:sz w:val="28"/>
        </w:rPr>
        <w:t>Materials and methods</w:t>
      </w:r>
    </w:p>
    <w:p w14:paraId="691D45C9" w14:textId="10D0AE13" w:rsidR="001B3881" w:rsidRPr="00F01411" w:rsidRDefault="00FF719C" w:rsidP="003232A4">
      <w:pPr>
        <w:spacing w:line="480" w:lineRule="auto"/>
        <w:outlineLvl w:val="0"/>
        <w:rPr>
          <w:rFonts w:ascii="Calibri" w:hAnsi="Calibri" w:cs="Calibri"/>
          <w:b/>
          <w:sz w:val="22"/>
        </w:rPr>
      </w:pPr>
      <w:r w:rsidRPr="00F01411">
        <w:rPr>
          <w:rFonts w:ascii="Calibri" w:hAnsi="Calibri" w:cs="Calibri"/>
          <w:b/>
          <w:sz w:val="22"/>
        </w:rPr>
        <w:t xml:space="preserve">2.1 </w:t>
      </w:r>
      <w:r w:rsidR="00F45D92" w:rsidRPr="00F01411">
        <w:rPr>
          <w:rFonts w:ascii="Calibri" w:hAnsi="Calibri" w:cs="Calibri"/>
          <w:b/>
          <w:sz w:val="22"/>
        </w:rPr>
        <w:t>Case selection</w:t>
      </w:r>
    </w:p>
    <w:p w14:paraId="00BC30EB" w14:textId="3B58EB46" w:rsidR="0074435B" w:rsidRPr="00F01411" w:rsidRDefault="00F45D92" w:rsidP="003232A4">
      <w:pPr>
        <w:spacing w:line="480" w:lineRule="auto"/>
        <w:rPr>
          <w:rFonts w:ascii="Calibri" w:hAnsi="Calibri" w:cs="Calibri"/>
          <w:sz w:val="22"/>
        </w:rPr>
      </w:pPr>
      <w:r w:rsidRPr="00F01411">
        <w:rPr>
          <w:rFonts w:ascii="Calibri" w:hAnsi="Calibri" w:cs="Calibri"/>
          <w:sz w:val="22"/>
        </w:rPr>
        <w:t xml:space="preserve"> </w:t>
      </w:r>
      <w:r w:rsidR="001B3881" w:rsidRPr="00F01411">
        <w:rPr>
          <w:rFonts w:ascii="Calibri" w:hAnsi="Calibri" w:cs="Calibri"/>
          <w:sz w:val="22"/>
        </w:rPr>
        <w:t xml:space="preserve">All horses enrolled </w:t>
      </w:r>
      <w:r w:rsidR="00980EFF" w:rsidRPr="00F01411">
        <w:rPr>
          <w:rFonts w:ascii="Calibri" w:hAnsi="Calibri" w:cs="Calibri"/>
          <w:sz w:val="22"/>
        </w:rPr>
        <w:t xml:space="preserve">were </w:t>
      </w:r>
      <w:r w:rsidR="003F3D04" w:rsidRPr="00F01411">
        <w:rPr>
          <w:rFonts w:ascii="Calibri" w:hAnsi="Calibri" w:cs="Calibri"/>
          <w:sz w:val="22"/>
        </w:rPr>
        <w:t xml:space="preserve">flat-racing Thoroughbreds </w:t>
      </w:r>
      <w:r w:rsidR="006E4B39" w:rsidRPr="00F01411">
        <w:rPr>
          <w:rFonts w:ascii="Calibri" w:hAnsi="Calibri" w:cs="Calibri"/>
          <w:sz w:val="22"/>
        </w:rPr>
        <w:t>≥</w:t>
      </w:r>
      <w:r w:rsidR="005A18C4" w:rsidRPr="00F01411">
        <w:rPr>
          <w:rFonts w:ascii="Calibri" w:hAnsi="Calibri" w:cs="Calibri"/>
          <w:sz w:val="22"/>
        </w:rPr>
        <w:t xml:space="preserve"> 24 months of age</w:t>
      </w:r>
      <w:r w:rsidR="001D4008" w:rsidRPr="00F01411">
        <w:rPr>
          <w:rFonts w:ascii="Calibri" w:hAnsi="Calibri" w:cs="Calibri"/>
          <w:sz w:val="22"/>
        </w:rPr>
        <w:t>,</w:t>
      </w:r>
      <w:r w:rsidR="005A18C4" w:rsidRPr="00F01411">
        <w:rPr>
          <w:rFonts w:ascii="Calibri" w:hAnsi="Calibri" w:cs="Calibri"/>
          <w:sz w:val="22"/>
        </w:rPr>
        <w:t xml:space="preserve"> </w:t>
      </w:r>
      <w:r w:rsidR="003F3D04" w:rsidRPr="00F01411">
        <w:rPr>
          <w:rFonts w:ascii="Calibri" w:hAnsi="Calibri" w:cs="Calibri"/>
          <w:sz w:val="22"/>
        </w:rPr>
        <w:t xml:space="preserve">trained at a single </w:t>
      </w:r>
      <w:r w:rsidR="00FD3AF2" w:rsidRPr="00F01411">
        <w:rPr>
          <w:rFonts w:ascii="Calibri" w:hAnsi="Calibri" w:cs="Calibri"/>
          <w:sz w:val="22"/>
        </w:rPr>
        <w:t xml:space="preserve">commercial </w:t>
      </w:r>
      <w:r w:rsidR="003F3D04" w:rsidRPr="00F01411">
        <w:rPr>
          <w:rFonts w:ascii="Calibri" w:hAnsi="Calibri" w:cs="Calibri"/>
          <w:sz w:val="22"/>
        </w:rPr>
        <w:t xml:space="preserve">facility, and </w:t>
      </w:r>
      <w:r w:rsidR="001D4008" w:rsidRPr="00F01411">
        <w:rPr>
          <w:rFonts w:ascii="Calibri" w:hAnsi="Calibri" w:cs="Calibri"/>
          <w:sz w:val="22"/>
        </w:rPr>
        <w:t xml:space="preserve">that </w:t>
      </w:r>
      <w:r w:rsidR="003F3D04" w:rsidRPr="00F01411">
        <w:rPr>
          <w:rFonts w:ascii="Calibri" w:hAnsi="Calibri" w:cs="Calibri"/>
          <w:sz w:val="22"/>
        </w:rPr>
        <w:t>had been in training for at least 12 weeks before admission,</w:t>
      </w:r>
      <w:r w:rsidR="00E63D69" w:rsidRPr="00F01411">
        <w:rPr>
          <w:rFonts w:ascii="Calibri" w:hAnsi="Calibri" w:cs="Calibri"/>
          <w:sz w:val="22"/>
        </w:rPr>
        <w:t xml:space="preserve"> </w:t>
      </w:r>
      <w:r w:rsidR="00F711AD" w:rsidRPr="00F01411">
        <w:rPr>
          <w:rFonts w:ascii="Calibri" w:hAnsi="Calibri" w:cs="Calibri"/>
          <w:sz w:val="22"/>
        </w:rPr>
        <w:t>being</w:t>
      </w:r>
      <w:r w:rsidR="003F3D04" w:rsidRPr="00F01411">
        <w:rPr>
          <w:rFonts w:ascii="Calibri" w:hAnsi="Calibri" w:cs="Calibri"/>
          <w:sz w:val="22"/>
        </w:rPr>
        <w:t xml:space="preserve"> at a stage where they were galloping regularly. </w:t>
      </w:r>
      <w:r w:rsidR="00232ED3" w:rsidRPr="00F01411">
        <w:rPr>
          <w:rFonts w:ascii="Calibri" w:hAnsi="Calibri" w:cs="Calibri"/>
          <w:sz w:val="22"/>
        </w:rPr>
        <w:t xml:space="preserve">Enrolment examinations were scheduled once weekly, with all horses deemed to be underperforming </w:t>
      </w:r>
      <w:r w:rsidR="000F0974" w:rsidRPr="00F01411">
        <w:rPr>
          <w:rFonts w:ascii="Calibri" w:hAnsi="Calibri" w:cs="Calibri"/>
          <w:sz w:val="22"/>
        </w:rPr>
        <w:t>during</w:t>
      </w:r>
      <w:r w:rsidR="00596F1C" w:rsidRPr="00F01411">
        <w:rPr>
          <w:rFonts w:ascii="Calibri" w:hAnsi="Calibri" w:cs="Calibri"/>
          <w:sz w:val="22"/>
        </w:rPr>
        <w:t xml:space="preserve"> galloping exercise </w:t>
      </w:r>
      <w:r w:rsidR="00232ED3" w:rsidRPr="00F01411">
        <w:rPr>
          <w:rFonts w:ascii="Calibri" w:hAnsi="Calibri" w:cs="Calibri"/>
          <w:sz w:val="22"/>
        </w:rPr>
        <w:t>presented to the examining veterinarian for an assessment</w:t>
      </w:r>
      <w:r w:rsidR="00596F1C" w:rsidRPr="00F01411">
        <w:rPr>
          <w:rFonts w:ascii="Calibri" w:hAnsi="Calibri" w:cs="Calibri"/>
          <w:sz w:val="22"/>
        </w:rPr>
        <w:t xml:space="preserve"> 48 hours later</w:t>
      </w:r>
      <w:r w:rsidR="00232ED3" w:rsidRPr="00F01411">
        <w:rPr>
          <w:rFonts w:ascii="Calibri" w:hAnsi="Calibri" w:cs="Calibri"/>
          <w:sz w:val="22"/>
        </w:rPr>
        <w:t xml:space="preserve">. </w:t>
      </w:r>
      <w:r w:rsidR="00B81EDD" w:rsidRPr="00F01411">
        <w:rPr>
          <w:rFonts w:ascii="Calibri" w:hAnsi="Calibri" w:cs="Calibri"/>
          <w:sz w:val="22"/>
        </w:rPr>
        <w:t xml:space="preserve">Horses were </w:t>
      </w:r>
      <w:r w:rsidR="00BE7E8B" w:rsidRPr="00F01411">
        <w:rPr>
          <w:rFonts w:ascii="Calibri" w:hAnsi="Calibri" w:cs="Calibri"/>
          <w:sz w:val="22"/>
        </w:rPr>
        <w:t>assessed for lameness</w:t>
      </w:r>
      <w:r w:rsidR="00B81EDD" w:rsidRPr="00F01411">
        <w:rPr>
          <w:rFonts w:ascii="Calibri" w:hAnsi="Calibri" w:cs="Calibri"/>
          <w:sz w:val="22"/>
        </w:rPr>
        <w:t xml:space="preserve">, joint effusion and reaction to </w:t>
      </w:r>
      <w:r w:rsidR="00727244">
        <w:rPr>
          <w:rFonts w:ascii="Calibri" w:hAnsi="Calibri" w:cs="Calibri"/>
          <w:sz w:val="22"/>
        </w:rPr>
        <w:t>carpal</w:t>
      </w:r>
      <w:r w:rsidR="00727244" w:rsidRPr="00F01411">
        <w:rPr>
          <w:rFonts w:ascii="Calibri" w:hAnsi="Calibri" w:cs="Calibri"/>
          <w:sz w:val="22"/>
        </w:rPr>
        <w:t xml:space="preserve"> </w:t>
      </w:r>
      <w:r w:rsidR="00B81EDD" w:rsidRPr="00F01411">
        <w:rPr>
          <w:rFonts w:ascii="Calibri" w:hAnsi="Calibri" w:cs="Calibri"/>
          <w:sz w:val="22"/>
        </w:rPr>
        <w:t>flexion</w:t>
      </w:r>
      <w:r w:rsidR="00375C3D" w:rsidRPr="00F01411">
        <w:rPr>
          <w:rFonts w:ascii="Calibri" w:hAnsi="Calibri" w:cs="Calibri"/>
          <w:sz w:val="22"/>
        </w:rPr>
        <w:t xml:space="preserve"> </w:t>
      </w:r>
      <w:r w:rsidR="00B81EDD" w:rsidRPr="00F01411">
        <w:rPr>
          <w:rFonts w:ascii="Calibri" w:hAnsi="Calibri" w:cs="Calibri"/>
          <w:sz w:val="22"/>
        </w:rPr>
        <w:t xml:space="preserve">and were </w:t>
      </w:r>
      <w:r w:rsidR="00F711AD" w:rsidRPr="00F01411">
        <w:rPr>
          <w:rFonts w:ascii="Calibri" w:hAnsi="Calibri" w:cs="Calibri"/>
          <w:sz w:val="22"/>
        </w:rPr>
        <w:t>selected</w:t>
      </w:r>
      <w:r w:rsidR="00B81EDD" w:rsidRPr="00F01411">
        <w:rPr>
          <w:rFonts w:ascii="Calibri" w:hAnsi="Calibri" w:cs="Calibri"/>
          <w:sz w:val="22"/>
        </w:rPr>
        <w:t xml:space="preserve"> if the source of lameness was isolated to the </w:t>
      </w:r>
      <w:r w:rsidR="00375C3D" w:rsidRPr="00F01411">
        <w:rPr>
          <w:rFonts w:ascii="Calibri" w:hAnsi="Calibri" w:cs="Calibri"/>
          <w:sz w:val="22"/>
        </w:rPr>
        <w:t xml:space="preserve">middle </w:t>
      </w:r>
      <w:r w:rsidR="00B81EDD" w:rsidRPr="00F01411">
        <w:rPr>
          <w:rFonts w:ascii="Calibri" w:hAnsi="Calibri" w:cs="Calibri"/>
          <w:sz w:val="22"/>
        </w:rPr>
        <w:t>carpal joint</w:t>
      </w:r>
      <w:r w:rsidR="00727244">
        <w:rPr>
          <w:rFonts w:ascii="Calibri" w:hAnsi="Calibri" w:cs="Calibri"/>
          <w:sz w:val="22"/>
        </w:rPr>
        <w:t>. This</w:t>
      </w:r>
      <w:r w:rsidR="00072078" w:rsidRPr="00F01411">
        <w:rPr>
          <w:rFonts w:ascii="Calibri" w:hAnsi="Calibri" w:cs="Calibri"/>
          <w:sz w:val="22"/>
        </w:rPr>
        <w:t xml:space="preserve"> included performing intra-articular analgesia using </w:t>
      </w:r>
      <w:r w:rsidR="00AB235E" w:rsidRPr="00F01411">
        <w:rPr>
          <w:rFonts w:ascii="Calibri" w:hAnsi="Calibri" w:cs="Calibri"/>
          <w:sz w:val="22"/>
        </w:rPr>
        <w:t>10</w:t>
      </w:r>
      <w:r w:rsidR="00904C70" w:rsidRPr="00F01411">
        <w:rPr>
          <w:rFonts w:ascii="Calibri" w:hAnsi="Calibri" w:cs="Calibri"/>
          <w:sz w:val="22"/>
        </w:rPr>
        <w:t xml:space="preserve">0mg of </w:t>
      </w:r>
      <w:r w:rsidR="00072078" w:rsidRPr="00F01411">
        <w:rPr>
          <w:rFonts w:ascii="Calibri" w:hAnsi="Calibri" w:cs="Calibri"/>
          <w:sz w:val="22"/>
        </w:rPr>
        <w:t>mepivacaine hydrochloride</w:t>
      </w:r>
      <w:r w:rsidR="00A242D5" w:rsidRPr="00F01411">
        <w:rPr>
          <w:rFonts w:ascii="Calibri" w:hAnsi="Calibri" w:cs="Calibri"/>
          <w:sz w:val="22"/>
        </w:rPr>
        <w:t xml:space="preserve"> (</w:t>
      </w:r>
      <w:proofErr w:type="spellStart"/>
      <w:r w:rsidR="00B4084D" w:rsidRPr="00F01411">
        <w:rPr>
          <w:rFonts w:ascii="Calibri" w:hAnsi="Calibri" w:cs="Calibri"/>
          <w:sz w:val="22"/>
        </w:rPr>
        <w:t>Mepivicaine</w:t>
      </w:r>
      <w:proofErr w:type="spellEnd"/>
      <w:r w:rsidR="00A611D1" w:rsidRPr="00F01411">
        <w:rPr>
          <w:rFonts w:ascii="Calibri" w:hAnsi="Calibri" w:cs="Calibri"/>
          <w:sz w:val="22"/>
        </w:rPr>
        <w:t>®)</w:t>
      </w:r>
      <w:r w:rsidR="002B0C58" w:rsidRPr="00F01411">
        <w:rPr>
          <w:rFonts w:ascii="Calibri" w:hAnsi="Calibri" w:cs="Calibri"/>
          <w:sz w:val="22"/>
          <w:vertAlign w:val="superscript"/>
        </w:rPr>
        <w:t>1</w:t>
      </w:r>
      <w:r w:rsidR="00375C3D" w:rsidRPr="00F01411">
        <w:rPr>
          <w:rFonts w:ascii="Calibri" w:hAnsi="Calibri" w:cs="Calibri"/>
          <w:sz w:val="22"/>
        </w:rPr>
        <w:t xml:space="preserve"> </w:t>
      </w:r>
      <w:r w:rsidR="006738C4" w:rsidRPr="00F01411">
        <w:rPr>
          <w:rFonts w:ascii="Calibri" w:hAnsi="Calibri" w:cs="Calibri"/>
          <w:sz w:val="22"/>
        </w:rPr>
        <w:t xml:space="preserve">via a dorsolateral approach </w:t>
      </w:r>
      <w:r w:rsidR="00375C3D" w:rsidRPr="00F01411">
        <w:rPr>
          <w:rFonts w:ascii="Calibri" w:hAnsi="Calibri" w:cs="Calibri"/>
          <w:sz w:val="22"/>
        </w:rPr>
        <w:t xml:space="preserve">with re-examination after </w:t>
      </w:r>
      <w:r w:rsidR="00F351F1" w:rsidRPr="00F01411">
        <w:rPr>
          <w:rFonts w:ascii="Calibri" w:hAnsi="Calibri" w:cs="Calibri"/>
          <w:sz w:val="22"/>
        </w:rPr>
        <w:t>5-</w:t>
      </w:r>
      <w:r w:rsidR="00375C3D" w:rsidRPr="00F01411">
        <w:rPr>
          <w:rFonts w:ascii="Calibri" w:hAnsi="Calibri" w:cs="Calibri"/>
          <w:sz w:val="22"/>
        </w:rPr>
        <w:t xml:space="preserve">10 minutes. </w:t>
      </w:r>
      <w:r w:rsidR="00CF160E">
        <w:rPr>
          <w:rFonts w:ascii="Calibri" w:hAnsi="Calibri" w:cs="Calibri"/>
          <w:sz w:val="22"/>
        </w:rPr>
        <w:t xml:space="preserve">Unilateral or bilateral middle carpal joint lameness were included. </w:t>
      </w:r>
      <w:r w:rsidR="00CE3793" w:rsidRPr="00F01411">
        <w:rPr>
          <w:rFonts w:ascii="Calibri" w:hAnsi="Calibri" w:cs="Calibri"/>
          <w:sz w:val="22"/>
        </w:rPr>
        <w:t xml:space="preserve">Throughout the entire study, all lameness assessments </w:t>
      </w:r>
      <w:r w:rsidR="00375C3D" w:rsidRPr="00F01411">
        <w:rPr>
          <w:rFonts w:ascii="Calibri" w:hAnsi="Calibri" w:cs="Calibri"/>
          <w:sz w:val="22"/>
        </w:rPr>
        <w:t>were performed on the same f</w:t>
      </w:r>
      <w:r w:rsidR="00CE3793" w:rsidRPr="00F01411">
        <w:rPr>
          <w:rFonts w:ascii="Calibri" w:hAnsi="Calibri" w:cs="Calibri"/>
          <w:sz w:val="22"/>
        </w:rPr>
        <w:t>irm</w:t>
      </w:r>
      <w:r w:rsidR="00375C3D" w:rsidRPr="00F01411">
        <w:rPr>
          <w:rFonts w:ascii="Calibri" w:hAnsi="Calibri" w:cs="Calibri"/>
          <w:sz w:val="22"/>
        </w:rPr>
        <w:t xml:space="preserve"> bitumen surface</w:t>
      </w:r>
      <w:r w:rsidR="00F351F1" w:rsidRPr="00F01411">
        <w:rPr>
          <w:rFonts w:ascii="Calibri" w:hAnsi="Calibri" w:cs="Calibri"/>
          <w:sz w:val="22"/>
        </w:rPr>
        <w:t>, with the horses evaluated at the trot in a straight line</w:t>
      </w:r>
      <w:r w:rsidR="00375C3D" w:rsidRPr="00F01411">
        <w:rPr>
          <w:rFonts w:ascii="Calibri" w:hAnsi="Calibri" w:cs="Calibri"/>
          <w:sz w:val="22"/>
        </w:rPr>
        <w:t xml:space="preserve">. </w:t>
      </w:r>
      <w:r w:rsidRPr="00F01411">
        <w:rPr>
          <w:rFonts w:ascii="Calibri" w:hAnsi="Calibri" w:cs="Calibri"/>
          <w:sz w:val="22"/>
        </w:rPr>
        <w:t xml:space="preserve">Horses with bilateral lameness were included as long as </w:t>
      </w:r>
      <w:r w:rsidR="00583C96" w:rsidRPr="00F01411">
        <w:rPr>
          <w:rFonts w:ascii="Calibri" w:hAnsi="Calibri" w:cs="Calibri"/>
          <w:sz w:val="22"/>
        </w:rPr>
        <w:t xml:space="preserve">the </w:t>
      </w:r>
      <w:r w:rsidRPr="00F01411">
        <w:rPr>
          <w:rFonts w:ascii="Calibri" w:hAnsi="Calibri" w:cs="Calibri"/>
          <w:sz w:val="22"/>
        </w:rPr>
        <w:t xml:space="preserve">lameness was isolated to </w:t>
      </w:r>
      <w:r w:rsidR="00B80CE5" w:rsidRPr="00F01411">
        <w:rPr>
          <w:rFonts w:ascii="Calibri" w:hAnsi="Calibri" w:cs="Calibri"/>
          <w:sz w:val="22"/>
        </w:rPr>
        <w:t>both</w:t>
      </w:r>
      <w:r w:rsidRPr="00F01411">
        <w:rPr>
          <w:rFonts w:ascii="Calibri" w:hAnsi="Calibri" w:cs="Calibri"/>
          <w:sz w:val="22"/>
        </w:rPr>
        <w:t xml:space="preserve"> middle carpal joint</w:t>
      </w:r>
      <w:r w:rsidR="00B80CE5" w:rsidRPr="00F01411">
        <w:rPr>
          <w:rFonts w:ascii="Calibri" w:hAnsi="Calibri" w:cs="Calibri"/>
          <w:sz w:val="22"/>
        </w:rPr>
        <w:t>s</w:t>
      </w:r>
      <w:r w:rsidRPr="00F01411">
        <w:rPr>
          <w:rFonts w:ascii="Calibri" w:hAnsi="Calibri" w:cs="Calibri"/>
          <w:sz w:val="22"/>
        </w:rPr>
        <w:t xml:space="preserve"> </w:t>
      </w:r>
      <w:r w:rsidR="00CE3793" w:rsidRPr="00F01411">
        <w:rPr>
          <w:rFonts w:ascii="Calibri" w:hAnsi="Calibri" w:cs="Calibri"/>
          <w:sz w:val="22"/>
        </w:rPr>
        <w:t xml:space="preserve">using intra-articular analgesia </w:t>
      </w:r>
      <w:r w:rsidRPr="00F01411">
        <w:rPr>
          <w:rFonts w:ascii="Calibri" w:hAnsi="Calibri" w:cs="Calibri"/>
          <w:sz w:val="22"/>
        </w:rPr>
        <w:t xml:space="preserve">in all cases. </w:t>
      </w:r>
    </w:p>
    <w:p w14:paraId="494AA6FA" w14:textId="77777777" w:rsidR="0074435B" w:rsidRPr="00F01411" w:rsidRDefault="0074435B" w:rsidP="003232A4">
      <w:pPr>
        <w:spacing w:line="480" w:lineRule="auto"/>
        <w:rPr>
          <w:rFonts w:ascii="Calibri" w:hAnsi="Calibri" w:cs="Calibri"/>
          <w:sz w:val="22"/>
        </w:rPr>
      </w:pPr>
    </w:p>
    <w:p w14:paraId="230B2EE0" w14:textId="49D9F2F6" w:rsidR="00315638" w:rsidRPr="00F01411" w:rsidRDefault="00F45D92" w:rsidP="003232A4">
      <w:pPr>
        <w:spacing w:line="480" w:lineRule="auto"/>
        <w:rPr>
          <w:rFonts w:ascii="Calibri" w:hAnsi="Calibri" w:cs="Calibri"/>
          <w:sz w:val="22"/>
        </w:rPr>
      </w:pPr>
      <w:r w:rsidRPr="00F01411">
        <w:rPr>
          <w:rFonts w:ascii="Calibri" w:hAnsi="Calibri" w:cs="Calibri"/>
          <w:sz w:val="22"/>
        </w:rPr>
        <w:t xml:space="preserve">All </w:t>
      </w:r>
      <w:r w:rsidR="00B81EDD" w:rsidRPr="00F01411">
        <w:rPr>
          <w:rFonts w:ascii="Calibri" w:hAnsi="Calibri" w:cs="Calibri"/>
          <w:sz w:val="22"/>
        </w:rPr>
        <w:t>horse</w:t>
      </w:r>
      <w:r w:rsidR="00072078" w:rsidRPr="00F01411">
        <w:rPr>
          <w:rFonts w:ascii="Calibri" w:hAnsi="Calibri" w:cs="Calibri"/>
          <w:sz w:val="22"/>
        </w:rPr>
        <w:t>s</w:t>
      </w:r>
      <w:r w:rsidR="00B81EDD" w:rsidRPr="00F01411">
        <w:rPr>
          <w:rFonts w:ascii="Calibri" w:hAnsi="Calibri" w:cs="Calibri"/>
          <w:sz w:val="22"/>
        </w:rPr>
        <w:t xml:space="preserve"> </w:t>
      </w:r>
      <w:r w:rsidR="00F711AD" w:rsidRPr="00F01411">
        <w:rPr>
          <w:rFonts w:ascii="Calibri" w:hAnsi="Calibri" w:cs="Calibri"/>
          <w:sz w:val="22"/>
        </w:rPr>
        <w:t>selected for</w:t>
      </w:r>
      <w:r w:rsidR="00B81EDD" w:rsidRPr="00F01411">
        <w:rPr>
          <w:rFonts w:ascii="Calibri" w:hAnsi="Calibri" w:cs="Calibri"/>
          <w:sz w:val="22"/>
        </w:rPr>
        <w:t xml:space="preserve"> the study had a standard radiographic series of both carpi taken</w:t>
      </w:r>
      <w:r w:rsidR="004A57F5" w:rsidRPr="00F01411">
        <w:rPr>
          <w:rFonts w:ascii="Calibri" w:hAnsi="Calibri" w:cs="Calibri"/>
          <w:sz w:val="22"/>
        </w:rPr>
        <w:t xml:space="preserve">, </w:t>
      </w:r>
      <w:r w:rsidR="009B3CAC" w:rsidRPr="00F01411">
        <w:rPr>
          <w:rFonts w:ascii="Calibri" w:hAnsi="Calibri" w:cs="Calibri"/>
          <w:sz w:val="22"/>
        </w:rPr>
        <w:t xml:space="preserve">including </w:t>
      </w:r>
      <w:proofErr w:type="spellStart"/>
      <w:r w:rsidR="009B3CAC" w:rsidRPr="00F01411">
        <w:rPr>
          <w:rFonts w:ascii="Calibri" w:hAnsi="Calibri" w:cs="Calibri"/>
          <w:sz w:val="22"/>
        </w:rPr>
        <w:t>dorso</w:t>
      </w:r>
      <w:proofErr w:type="spellEnd"/>
      <w:r w:rsidR="001D4008" w:rsidRPr="00F01411">
        <w:rPr>
          <w:rFonts w:ascii="Calibri" w:hAnsi="Calibri" w:cs="Calibri"/>
          <w:sz w:val="22"/>
        </w:rPr>
        <w:t>-</w:t>
      </w:r>
      <w:r w:rsidR="009B3CAC" w:rsidRPr="00F01411">
        <w:rPr>
          <w:rFonts w:ascii="Calibri" w:hAnsi="Calibri" w:cs="Calibri"/>
          <w:sz w:val="22"/>
        </w:rPr>
        <w:t xml:space="preserve">palmar, </w:t>
      </w:r>
      <w:r w:rsidR="0038106B" w:rsidRPr="00F01411">
        <w:rPr>
          <w:rFonts w:ascii="Calibri" w:hAnsi="Calibri" w:cs="Calibri"/>
          <w:sz w:val="22"/>
        </w:rPr>
        <w:t>dorsolateral-</w:t>
      </w:r>
      <w:proofErr w:type="spellStart"/>
      <w:r w:rsidR="0038106B" w:rsidRPr="00F01411">
        <w:rPr>
          <w:rFonts w:ascii="Calibri" w:hAnsi="Calibri" w:cs="Calibri"/>
          <w:sz w:val="22"/>
        </w:rPr>
        <w:t>palmaromedial</w:t>
      </w:r>
      <w:proofErr w:type="spellEnd"/>
      <w:r w:rsidR="001D4008" w:rsidRPr="00F01411">
        <w:rPr>
          <w:rFonts w:ascii="Calibri" w:hAnsi="Calibri" w:cs="Calibri"/>
          <w:sz w:val="22"/>
        </w:rPr>
        <w:t xml:space="preserve">, </w:t>
      </w:r>
      <w:r w:rsidR="0038106B" w:rsidRPr="00F01411">
        <w:rPr>
          <w:rFonts w:ascii="Calibri" w:hAnsi="Calibri" w:cs="Calibri"/>
          <w:sz w:val="22"/>
        </w:rPr>
        <w:t>dorsomedial-</w:t>
      </w:r>
      <w:proofErr w:type="spellStart"/>
      <w:r w:rsidR="0038106B" w:rsidRPr="00F01411">
        <w:rPr>
          <w:rFonts w:ascii="Calibri" w:hAnsi="Calibri" w:cs="Calibri"/>
          <w:sz w:val="22"/>
        </w:rPr>
        <w:t>palmarolateral</w:t>
      </w:r>
      <w:proofErr w:type="spellEnd"/>
      <w:r w:rsidR="0038106B" w:rsidRPr="00F01411">
        <w:rPr>
          <w:rFonts w:ascii="Calibri" w:hAnsi="Calibri" w:cs="Calibri"/>
          <w:sz w:val="22"/>
        </w:rPr>
        <w:t>, flexed latero</w:t>
      </w:r>
      <w:r w:rsidR="001D4008" w:rsidRPr="00F01411">
        <w:rPr>
          <w:rFonts w:ascii="Calibri" w:hAnsi="Calibri" w:cs="Calibri"/>
          <w:sz w:val="22"/>
        </w:rPr>
        <w:t>-</w:t>
      </w:r>
      <w:r w:rsidR="0038106B" w:rsidRPr="00F01411">
        <w:rPr>
          <w:rFonts w:ascii="Calibri" w:hAnsi="Calibri" w:cs="Calibri"/>
          <w:sz w:val="22"/>
        </w:rPr>
        <w:t>medial, dorso-30°-proximal-</w:t>
      </w:r>
      <w:proofErr w:type="spellStart"/>
      <w:r w:rsidR="0038106B" w:rsidRPr="00F01411">
        <w:rPr>
          <w:rFonts w:ascii="Calibri" w:hAnsi="Calibri" w:cs="Calibri"/>
          <w:sz w:val="22"/>
        </w:rPr>
        <w:t>dorsodistal</w:t>
      </w:r>
      <w:proofErr w:type="spellEnd"/>
      <w:r w:rsidR="0038106B" w:rsidRPr="00F01411">
        <w:rPr>
          <w:rFonts w:ascii="Calibri" w:hAnsi="Calibri" w:cs="Calibri"/>
          <w:sz w:val="22"/>
        </w:rPr>
        <w:t xml:space="preserve"> and dorso-70°-proximal-</w:t>
      </w:r>
      <w:proofErr w:type="spellStart"/>
      <w:r w:rsidR="0038106B" w:rsidRPr="00F01411">
        <w:rPr>
          <w:rFonts w:ascii="Calibri" w:hAnsi="Calibri" w:cs="Calibri"/>
          <w:sz w:val="22"/>
        </w:rPr>
        <w:t>dorsodistal</w:t>
      </w:r>
      <w:proofErr w:type="spellEnd"/>
      <w:r w:rsidR="0038106B" w:rsidRPr="00F01411">
        <w:rPr>
          <w:rFonts w:ascii="Calibri" w:hAnsi="Calibri" w:cs="Calibri"/>
          <w:sz w:val="22"/>
        </w:rPr>
        <w:t xml:space="preserve"> projections</w:t>
      </w:r>
      <w:r w:rsidR="00F711AD" w:rsidRPr="00F01411">
        <w:rPr>
          <w:rFonts w:ascii="Calibri" w:hAnsi="Calibri" w:cs="Calibri"/>
          <w:sz w:val="22"/>
        </w:rPr>
        <w:t>. The radiographs were</w:t>
      </w:r>
      <w:r w:rsidR="004A57F5" w:rsidRPr="00F01411">
        <w:rPr>
          <w:rFonts w:ascii="Calibri" w:hAnsi="Calibri" w:cs="Calibri"/>
          <w:sz w:val="22"/>
        </w:rPr>
        <w:t xml:space="preserve"> assessed, </w:t>
      </w:r>
      <w:r w:rsidR="00660CF1" w:rsidRPr="00F01411">
        <w:rPr>
          <w:rFonts w:ascii="Calibri" w:hAnsi="Calibri" w:cs="Calibri"/>
          <w:sz w:val="22"/>
        </w:rPr>
        <w:t>and h</w:t>
      </w:r>
      <w:r w:rsidR="00F711AD" w:rsidRPr="00F01411">
        <w:rPr>
          <w:rFonts w:ascii="Calibri" w:hAnsi="Calibri" w:cs="Calibri"/>
          <w:sz w:val="22"/>
        </w:rPr>
        <w:t>orses enrolled in the study if the absence of osteochondral fragments</w:t>
      </w:r>
      <w:r w:rsidR="00486DB8" w:rsidRPr="00F01411">
        <w:rPr>
          <w:rFonts w:ascii="Calibri" w:hAnsi="Calibri" w:cs="Calibri"/>
          <w:sz w:val="22"/>
        </w:rPr>
        <w:t xml:space="preserve"> or </w:t>
      </w:r>
      <w:r w:rsidR="00F711AD" w:rsidRPr="00F01411">
        <w:rPr>
          <w:rFonts w:ascii="Calibri" w:hAnsi="Calibri" w:cs="Calibri"/>
          <w:sz w:val="22"/>
        </w:rPr>
        <w:t>fractures</w:t>
      </w:r>
      <w:r w:rsidR="00486DB8" w:rsidRPr="00F01411">
        <w:rPr>
          <w:rFonts w:ascii="Calibri" w:hAnsi="Calibri" w:cs="Calibri"/>
          <w:sz w:val="22"/>
        </w:rPr>
        <w:t xml:space="preserve"> </w:t>
      </w:r>
      <w:r w:rsidR="00F711AD" w:rsidRPr="00F01411">
        <w:rPr>
          <w:rFonts w:ascii="Calibri" w:hAnsi="Calibri" w:cs="Calibri"/>
          <w:sz w:val="22"/>
        </w:rPr>
        <w:t xml:space="preserve">was confirmed. </w:t>
      </w:r>
    </w:p>
    <w:p w14:paraId="7F120EB4" w14:textId="77777777" w:rsidR="007263A0" w:rsidRPr="00F01411" w:rsidRDefault="007263A0" w:rsidP="003232A4">
      <w:pPr>
        <w:spacing w:line="480" w:lineRule="auto"/>
        <w:rPr>
          <w:rFonts w:ascii="Calibri" w:hAnsi="Calibri" w:cs="Calibri"/>
          <w:sz w:val="22"/>
        </w:rPr>
      </w:pPr>
    </w:p>
    <w:p w14:paraId="41315789" w14:textId="133441A1" w:rsidR="00AD70B9" w:rsidRDefault="00F45D92" w:rsidP="003232A4">
      <w:pPr>
        <w:spacing w:line="480" w:lineRule="auto"/>
        <w:rPr>
          <w:rFonts w:ascii="Calibri" w:hAnsi="Calibri" w:cs="Calibri"/>
          <w:sz w:val="22"/>
        </w:rPr>
      </w:pPr>
      <w:r w:rsidRPr="00F01411">
        <w:rPr>
          <w:rFonts w:ascii="Calibri" w:hAnsi="Calibri" w:cs="Calibri"/>
          <w:sz w:val="22"/>
        </w:rPr>
        <w:t xml:space="preserve">Horses were excluded from the study if osteoarthritis was secondary to a joint infection, if the horse had surgery of the affected joint within 12 </w:t>
      </w:r>
      <w:r w:rsidR="009C5BA1" w:rsidRPr="00F01411">
        <w:rPr>
          <w:rFonts w:ascii="Calibri" w:hAnsi="Calibri" w:cs="Calibri"/>
          <w:sz w:val="22"/>
        </w:rPr>
        <w:t xml:space="preserve">weeks </w:t>
      </w:r>
      <w:r w:rsidR="00823CFD" w:rsidRPr="00F01411">
        <w:rPr>
          <w:rFonts w:ascii="Calibri" w:hAnsi="Calibri" w:cs="Calibri"/>
          <w:sz w:val="22"/>
        </w:rPr>
        <w:t>of</w:t>
      </w:r>
      <w:r w:rsidR="009C5BA1" w:rsidRPr="00F01411">
        <w:rPr>
          <w:rFonts w:ascii="Calibri" w:hAnsi="Calibri" w:cs="Calibri"/>
          <w:sz w:val="22"/>
        </w:rPr>
        <w:t xml:space="preserve"> the enrolment date,</w:t>
      </w:r>
      <w:r w:rsidRPr="00F01411">
        <w:rPr>
          <w:rFonts w:ascii="Calibri" w:hAnsi="Calibri" w:cs="Calibri"/>
          <w:sz w:val="22"/>
        </w:rPr>
        <w:t xml:space="preserve"> </w:t>
      </w:r>
      <w:r w:rsidR="005A18C4" w:rsidRPr="00F01411">
        <w:rPr>
          <w:rFonts w:ascii="Calibri" w:hAnsi="Calibri" w:cs="Calibri"/>
          <w:sz w:val="22"/>
        </w:rPr>
        <w:t>or</w:t>
      </w:r>
      <w:r w:rsidR="00980EFF" w:rsidRPr="00F01411">
        <w:rPr>
          <w:rFonts w:ascii="Calibri" w:hAnsi="Calibri" w:cs="Calibri"/>
          <w:sz w:val="22"/>
        </w:rPr>
        <w:t xml:space="preserve"> </w:t>
      </w:r>
      <w:r w:rsidRPr="00F01411">
        <w:rPr>
          <w:rFonts w:ascii="Calibri" w:hAnsi="Calibri" w:cs="Calibri"/>
          <w:sz w:val="22"/>
        </w:rPr>
        <w:t>if the horse had intra-articular medication into any joint within 4</w:t>
      </w:r>
      <w:r w:rsidR="009C5BA1" w:rsidRPr="00F01411">
        <w:rPr>
          <w:rFonts w:ascii="Calibri" w:hAnsi="Calibri" w:cs="Calibri"/>
          <w:sz w:val="22"/>
        </w:rPr>
        <w:t xml:space="preserve"> weeks </w:t>
      </w:r>
      <w:r w:rsidR="00823CFD" w:rsidRPr="00F01411">
        <w:rPr>
          <w:rFonts w:ascii="Calibri" w:hAnsi="Calibri" w:cs="Calibri"/>
          <w:sz w:val="22"/>
        </w:rPr>
        <w:t>of</w:t>
      </w:r>
      <w:r w:rsidR="009C5BA1" w:rsidRPr="00F01411">
        <w:rPr>
          <w:rFonts w:ascii="Calibri" w:hAnsi="Calibri" w:cs="Calibri"/>
          <w:sz w:val="22"/>
        </w:rPr>
        <w:t xml:space="preserve"> the enrolment date. </w:t>
      </w:r>
      <w:r w:rsidRPr="00F01411">
        <w:rPr>
          <w:rFonts w:ascii="Calibri" w:hAnsi="Calibri" w:cs="Calibri"/>
          <w:sz w:val="22"/>
        </w:rPr>
        <w:t>Throughout the study period, horses were not administered any form of medication</w:t>
      </w:r>
      <w:r w:rsidR="00CA4110" w:rsidRPr="00F01411">
        <w:rPr>
          <w:rFonts w:ascii="Calibri" w:hAnsi="Calibri" w:cs="Calibri"/>
          <w:sz w:val="22"/>
        </w:rPr>
        <w:t xml:space="preserve"> that could interfere </w:t>
      </w:r>
      <w:r w:rsidR="00CA4110" w:rsidRPr="00F01411">
        <w:rPr>
          <w:rFonts w:ascii="Calibri" w:hAnsi="Calibri" w:cs="Calibri"/>
          <w:sz w:val="22"/>
        </w:rPr>
        <w:lastRenderedPageBreak/>
        <w:t>with the assessment of lameness</w:t>
      </w:r>
      <w:r w:rsidRPr="00F01411">
        <w:rPr>
          <w:rFonts w:ascii="Calibri" w:hAnsi="Calibri" w:cs="Calibri"/>
          <w:sz w:val="22"/>
        </w:rPr>
        <w:t xml:space="preserve">. </w:t>
      </w:r>
      <w:r w:rsidR="00930776" w:rsidRPr="00F01411">
        <w:rPr>
          <w:rFonts w:ascii="Calibri" w:hAnsi="Calibri" w:cs="Calibri"/>
          <w:sz w:val="22"/>
        </w:rPr>
        <w:t>All horses enrolled in the study were rested for 48 hours</w:t>
      </w:r>
      <w:r w:rsidR="001577AD" w:rsidRPr="00F01411">
        <w:rPr>
          <w:rFonts w:ascii="Calibri" w:hAnsi="Calibri" w:cs="Calibri"/>
          <w:sz w:val="22"/>
        </w:rPr>
        <w:t>’</w:t>
      </w:r>
      <w:r w:rsidR="00930776" w:rsidRPr="00F01411">
        <w:rPr>
          <w:rFonts w:ascii="Calibri" w:hAnsi="Calibri" w:cs="Calibri"/>
          <w:sz w:val="22"/>
        </w:rPr>
        <w:t xml:space="preserve"> post-treatment, before continuing with </w:t>
      </w:r>
      <w:r w:rsidR="00727244">
        <w:rPr>
          <w:rFonts w:ascii="Calibri" w:hAnsi="Calibri" w:cs="Calibri"/>
          <w:sz w:val="22"/>
        </w:rPr>
        <w:t>their</w:t>
      </w:r>
      <w:r w:rsidR="00727244" w:rsidRPr="00F01411">
        <w:rPr>
          <w:rFonts w:ascii="Calibri" w:hAnsi="Calibri" w:cs="Calibri"/>
          <w:sz w:val="22"/>
        </w:rPr>
        <w:t xml:space="preserve"> </w:t>
      </w:r>
      <w:r w:rsidR="00930776" w:rsidRPr="00F01411">
        <w:rPr>
          <w:rFonts w:ascii="Calibri" w:hAnsi="Calibri" w:cs="Calibri"/>
          <w:sz w:val="22"/>
        </w:rPr>
        <w:t>training regime</w:t>
      </w:r>
      <w:r w:rsidR="00F32FE4" w:rsidRPr="00F01411">
        <w:rPr>
          <w:rFonts w:ascii="Calibri" w:hAnsi="Calibri" w:cs="Calibri"/>
          <w:sz w:val="22"/>
        </w:rPr>
        <w:t xml:space="preserve"> </w:t>
      </w:r>
      <w:r w:rsidR="00727244">
        <w:rPr>
          <w:rFonts w:ascii="Calibri" w:hAnsi="Calibri" w:cs="Calibri"/>
          <w:sz w:val="22"/>
        </w:rPr>
        <w:t xml:space="preserve">commiserate with their response to treatment. A normal training regimen </w:t>
      </w:r>
      <w:r w:rsidR="00F32FE4" w:rsidRPr="00F01411">
        <w:rPr>
          <w:rFonts w:ascii="Calibri" w:hAnsi="Calibri" w:cs="Calibri"/>
          <w:sz w:val="22"/>
        </w:rPr>
        <w:t>included galloping exercise every third day, with light canter and trot work on intervening days and swimming exercise at least once a week. Horses rested on Sundays of each week</w:t>
      </w:r>
      <w:r w:rsidR="00B0108E" w:rsidRPr="00F01411">
        <w:rPr>
          <w:rFonts w:ascii="Calibri" w:hAnsi="Calibri" w:cs="Calibri"/>
          <w:sz w:val="22"/>
        </w:rPr>
        <w:t>,</w:t>
      </w:r>
      <w:r w:rsidR="00F32FE4" w:rsidRPr="00F01411">
        <w:rPr>
          <w:rFonts w:ascii="Calibri" w:hAnsi="Calibri" w:cs="Calibri"/>
          <w:sz w:val="22"/>
        </w:rPr>
        <w:t xml:space="preserve"> which was consistent with standard training practices. </w:t>
      </w:r>
      <w:r w:rsidR="00727244">
        <w:rPr>
          <w:rFonts w:ascii="Calibri" w:hAnsi="Calibri" w:cs="Calibri"/>
          <w:sz w:val="22"/>
        </w:rPr>
        <w:t>The trainer was blinded to treatment with a</w:t>
      </w:r>
      <w:r w:rsidRPr="00F01411">
        <w:rPr>
          <w:rFonts w:ascii="Calibri" w:hAnsi="Calibri" w:cs="Calibri"/>
          <w:sz w:val="22"/>
        </w:rPr>
        <w:t>gent’s/owner’s g</w:t>
      </w:r>
      <w:r w:rsidR="00727244">
        <w:rPr>
          <w:rFonts w:ascii="Calibri" w:hAnsi="Calibri" w:cs="Calibri"/>
          <w:sz w:val="22"/>
        </w:rPr>
        <w:t>iving</w:t>
      </w:r>
      <w:r w:rsidRPr="00F01411">
        <w:rPr>
          <w:rFonts w:ascii="Calibri" w:hAnsi="Calibri" w:cs="Calibri"/>
          <w:sz w:val="22"/>
        </w:rPr>
        <w:t xml:space="preserve"> informed written consent for </w:t>
      </w:r>
      <w:r w:rsidR="003B4A6B" w:rsidRPr="00F01411">
        <w:rPr>
          <w:rFonts w:ascii="Calibri" w:hAnsi="Calibri" w:cs="Calibri"/>
          <w:sz w:val="22"/>
        </w:rPr>
        <w:t xml:space="preserve">enrolment </w:t>
      </w:r>
      <w:r w:rsidR="00F55A8A" w:rsidRPr="00F01411">
        <w:rPr>
          <w:rFonts w:ascii="Calibri" w:hAnsi="Calibri" w:cs="Calibri"/>
          <w:sz w:val="22"/>
        </w:rPr>
        <w:t xml:space="preserve">in </w:t>
      </w:r>
      <w:r w:rsidRPr="00F01411">
        <w:rPr>
          <w:rFonts w:ascii="Calibri" w:hAnsi="Calibri" w:cs="Calibri"/>
          <w:sz w:val="22"/>
        </w:rPr>
        <w:t xml:space="preserve">the study. </w:t>
      </w:r>
    </w:p>
    <w:p w14:paraId="1CF80B4C" w14:textId="77777777" w:rsidR="00D1635B" w:rsidRPr="00F01411" w:rsidRDefault="00D1635B" w:rsidP="003232A4">
      <w:pPr>
        <w:spacing w:line="480" w:lineRule="auto"/>
        <w:outlineLvl w:val="0"/>
        <w:rPr>
          <w:rFonts w:ascii="Calibri" w:hAnsi="Calibri" w:cs="Calibri"/>
          <w:b/>
          <w:sz w:val="22"/>
        </w:rPr>
      </w:pPr>
    </w:p>
    <w:p w14:paraId="72D624FE" w14:textId="05EFF9CB" w:rsidR="00BE7E8B" w:rsidRPr="00F01411" w:rsidRDefault="00FF719C" w:rsidP="003232A4">
      <w:pPr>
        <w:spacing w:line="480" w:lineRule="auto"/>
        <w:outlineLvl w:val="0"/>
        <w:rPr>
          <w:rFonts w:ascii="Calibri" w:hAnsi="Calibri" w:cs="Calibri"/>
          <w:b/>
          <w:sz w:val="22"/>
        </w:rPr>
      </w:pPr>
      <w:r w:rsidRPr="00F01411">
        <w:rPr>
          <w:rFonts w:ascii="Calibri" w:hAnsi="Calibri" w:cs="Calibri"/>
          <w:b/>
          <w:sz w:val="22"/>
        </w:rPr>
        <w:t xml:space="preserve">2.2 </w:t>
      </w:r>
      <w:r w:rsidR="00F45D92" w:rsidRPr="00F01411">
        <w:rPr>
          <w:rFonts w:ascii="Calibri" w:hAnsi="Calibri" w:cs="Calibri"/>
          <w:b/>
          <w:sz w:val="22"/>
        </w:rPr>
        <w:t>Variables assessed</w:t>
      </w:r>
    </w:p>
    <w:p w14:paraId="1C5621EE" w14:textId="3CE44D0A" w:rsidR="00BE7E8B" w:rsidRPr="00F01411" w:rsidRDefault="00727244" w:rsidP="003232A4">
      <w:pPr>
        <w:spacing w:line="480" w:lineRule="auto"/>
        <w:rPr>
          <w:rFonts w:ascii="Calibri" w:hAnsi="Calibri" w:cs="Calibri"/>
          <w:sz w:val="22"/>
        </w:rPr>
      </w:pPr>
      <w:r>
        <w:rPr>
          <w:rFonts w:ascii="Calibri" w:hAnsi="Calibri" w:cs="Calibri"/>
          <w:sz w:val="22"/>
          <w:szCs w:val="22"/>
        </w:rPr>
        <w:t>Three different parameters were assessed</w:t>
      </w:r>
      <w:r w:rsidRPr="00F01411">
        <w:rPr>
          <w:rFonts w:ascii="Calibri" w:hAnsi="Calibri" w:cs="Calibri"/>
          <w:sz w:val="22"/>
          <w:szCs w:val="22"/>
        </w:rPr>
        <w:t xml:space="preserve">: </w:t>
      </w:r>
      <w:r w:rsidR="00F45D92" w:rsidRPr="00F01411">
        <w:rPr>
          <w:rFonts w:ascii="Calibri" w:hAnsi="Calibri" w:cs="Calibri"/>
          <w:sz w:val="22"/>
          <w:szCs w:val="22"/>
        </w:rPr>
        <w:t xml:space="preserve">lameness, joint effusion and reaction to </w:t>
      </w:r>
      <w:r>
        <w:rPr>
          <w:rFonts w:ascii="Calibri" w:hAnsi="Calibri" w:cs="Calibri"/>
          <w:sz w:val="22"/>
          <w:szCs w:val="22"/>
        </w:rPr>
        <w:t xml:space="preserve">carpal </w:t>
      </w:r>
      <w:r w:rsidR="00F45D92" w:rsidRPr="00F01411">
        <w:rPr>
          <w:rFonts w:ascii="Calibri" w:hAnsi="Calibri" w:cs="Calibri"/>
          <w:sz w:val="22"/>
          <w:szCs w:val="22"/>
        </w:rPr>
        <w:t xml:space="preserve">flexion. </w:t>
      </w:r>
      <w:r w:rsidR="00EC689B" w:rsidRPr="00F01411">
        <w:rPr>
          <w:rFonts w:ascii="Calibri" w:hAnsi="Calibri" w:cs="Calibri"/>
          <w:sz w:val="22"/>
          <w:szCs w:val="22"/>
        </w:rPr>
        <w:t xml:space="preserve">Lameness was considered the principal clinical parameter and resolution of lameness would be the main </w:t>
      </w:r>
      <w:r w:rsidR="006F671B" w:rsidRPr="00F01411">
        <w:rPr>
          <w:rFonts w:ascii="Calibri" w:hAnsi="Calibri" w:cs="Calibri"/>
          <w:sz w:val="22"/>
          <w:szCs w:val="22"/>
        </w:rPr>
        <w:t xml:space="preserve">treatment </w:t>
      </w:r>
      <w:r w:rsidR="00EC689B" w:rsidRPr="00F01411">
        <w:rPr>
          <w:rFonts w:ascii="Calibri" w:hAnsi="Calibri" w:cs="Calibri"/>
          <w:sz w:val="22"/>
          <w:szCs w:val="22"/>
        </w:rPr>
        <w:t>objective.</w:t>
      </w:r>
      <w:r w:rsidR="00CF160E">
        <w:rPr>
          <w:rFonts w:ascii="Calibri" w:hAnsi="Calibri" w:cs="Calibri"/>
        </w:rPr>
        <w:t xml:space="preserve"> </w:t>
      </w:r>
      <w:r w:rsidR="00553B21" w:rsidRPr="00F01411">
        <w:rPr>
          <w:rFonts w:ascii="Calibri" w:hAnsi="Calibri" w:cs="Calibri"/>
          <w:sz w:val="22"/>
        </w:rPr>
        <w:t>Lameness was graded as per the American Association of Equine Practitioner’</w:t>
      </w:r>
      <w:r w:rsidR="00DA5DF8" w:rsidRPr="00F01411">
        <w:rPr>
          <w:rFonts w:ascii="Calibri" w:hAnsi="Calibri" w:cs="Calibri"/>
          <w:sz w:val="22"/>
        </w:rPr>
        <w:t>s guidelines, on a scale of 0</w:t>
      </w:r>
      <w:r w:rsidR="00553B21" w:rsidRPr="00F01411">
        <w:rPr>
          <w:rFonts w:ascii="Calibri" w:hAnsi="Calibri" w:cs="Calibri"/>
          <w:sz w:val="22"/>
        </w:rPr>
        <w:t xml:space="preserve"> to 5</w:t>
      </w:r>
      <w:r w:rsidR="00C40790" w:rsidRPr="00F01411">
        <w:rPr>
          <w:rFonts w:ascii="Calibri" w:hAnsi="Calibri" w:cs="Calibri"/>
          <w:sz w:val="22"/>
        </w:rPr>
        <w:t xml:space="preserve"> [</w:t>
      </w:r>
      <w:r w:rsidR="00D1635B" w:rsidRPr="00F01411">
        <w:rPr>
          <w:rFonts w:ascii="Calibri" w:hAnsi="Calibri" w:cs="Calibri"/>
          <w:sz w:val="22"/>
        </w:rPr>
        <w:t>10</w:t>
      </w:r>
      <w:r w:rsidR="00C40790" w:rsidRPr="00F01411">
        <w:rPr>
          <w:rFonts w:ascii="Calibri" w:hAnsi="Calibri" w:cs="Calibri"/>
          <w:sz w:val="22"/>
        </w:rPr>
        <w:t>]</w:t>
      </w:r>
      <w:r w:rsidR="00553B21" w:rsidRPr="00F01411">
        <w:rPr>
          <w:rFonts w:ascii="Calibri" w:hAnsi="Calibri" w:cs="Calibri"/>
          <w:sz w:val="22"/>
        </w:rPr>
        <w:t xml:space="preserve">. </w:t>
      </w:r>
      <w:r w:rsidR="00635172" w:rsidRPr="00F01411">
        <w:rPr>
          <w:rFonts w:ascii="Calibri" w:hAnsi="Calibri" w:cs="Calibri"/>
          <w:sz w:val="22"/>
        </w:rPr>
        <w:t xml:space="preserve">Joint effusion </w:t>
      </w:r>
      <w:r w:rsidR="00375C3D" w:rsidRPr="00F01411">
        <w:rPr>
          <w:rFonts w:ascii="Calibri" w:hAnsi="Calibri" w:cs="Calibri"/>
          <w:sz w:val="22"/>
        </w:rPr>
        <w:t>of the middle carpal joint was graded subjectively from 0 to 3 (0</w:t>
      </w:r>
      <w:r w:rsidR="00337875" w:rsidRPr="00F01411">
        <w:rPr>
          <w:rFonts w:ascii="Calibri" w:hAnsi="Calibri" w:cs="Calibri"/>
          <w:sz w:val="22"/>
        </w:rPr>
        <w:t xml:space="preserve"> </w:t>
      </w:r>
      <w:r w:rsidR="00375C3D" w:rsidRPr="00F01411">
        <w:rPr>
          <w:rFonts w:ascii="Calibri" w:hAnsi="Calibri" w:cs="Calibri"/>
          <w:sz w:val="22"/>
        </w:rPr>
        <w:t>= none, 1</w:t>
      </w:r>
      <w:r w:rsidR="00337875" w:rsidRPr="00F01411">
        <w:rPr>
          <w:rFonts w:ascii="Calibri" w:hAnsi="Calibri" w:cs="Calibri"/>
          <w:sz w:val="22"/>
        </w:rPr>
        <w:t xml:space="preserve"> </w:t>
      </w:r>
      <w:r w:rsidR="00375C3D" w:rsidRPr="00F01411">
        <w:rPr>
          <w:rFonts w:ascii="Calibri" w:hAnsi="Calibri" w:cs="Calibri"/>
          <w:sz w:val="22"/>
        </w:rPr>
        <w:t>=</w:t>
      </w:r>
      <w:r w:rsidR="00337875" w:rsidRPr="00F01411">
        <w:rPr>
          <w:rFonts w:ascii="Calibri" w:hAnsi="Calibri" w:cs="Calibri"/>
          <w:sz w:val="22"/>
        </w:rPr>
        <w:t xml:space="preserve"> </w:t>
      </w:r>
      <w:r w:rsidR="00375C3D" w:rsidRPr="00F01411">
        <w:rPr>
          <w:rFonts w:ascii="Calibri" w:hAnsi="Calibri" w:cs="Calibri"/>
          <w:sz w:val="22"/>
        </w:rPr>
        <w:t>mild, 2</w:t>
      </w:r>
      <w:r w:rsidR="00337875" w:rsidRPr="00F01411">
        <w:rPr>
          <w:rFonts w:ascii="Calibri" w:hAnsi="Calibri" w:cs="Calibri"/>
          <w:sz w:val="22"/>
        </w:rPr>
        <w:t xml:space="preserve"> </w:t>
      </w:r>
      <w:r w:rsidR="00375C3D" w:rsidRPr="00F01411">
        <w:rPr>
          <w:rFonts w:ascii="Calibri" w:hAnsi="Calibri" w:cs="Calibri"/>
          <w:sz w:val="22"/>
        </w:rPr>
        <w:t>= moderate, 3</w:t>
      </w:r>
      <w:r w:rsidR="00337875" w:rsidRPr="00F01411">
        <w:rPr>
          <w:rFonts w:ascii="Calibri" w:hAnsi="Calibri" w:cs="Calibri"/>
          <w:sz w:val="22"/>
        </w:rPr>
        <w:t xml:space="preserve"> </w:t>
      </w:r>
      <w:r w:rsidR="00375C3D" w:rsidRPr="00F01411">
        <w:rPr>
          <w:rFonts w:ascii="Calibri" w:hAnsi="Calibri" w:cs="Calibri"/>
          <w:sz w:val="22"/>
        </w:rPr>
        <w:t>= severe</w:t>
      </w:r>
      <w:r w:rsidR="00F32FE4" w:rsidRPr="00F01411">
        <w:rPr>
          <w:rFonts w:ascii="Calibri" w:hAnsi="Calibri" w:cs="Calibri"/>
          <w:sz w:val="22"/>
        </w:rPr>
        <w:t>) with the limb weightbearing</w:t>
      </w:r>
      <w:r w:rsidR="000F0974" w:rsidRPr="00F01411">
        <w:rPr>
          <w:rFonts w:ascii="Calibri" w:hAnsi="Calibri" w:cs="Calibri"/>
          <w:sz w:val="22"/>
        </w:rPr>
        <w:t xml:space="preserve">. </w:t>
      </w:r>
      <w:r w:rsidR="00F32FE4" w:rsidRPr="00F01411">
        <w:rPr>
          <w:rFonts w:ascii="Calibri" w:hAnsi="Calibri" w:cs="Calibri"/>
          <w:sz w:val="22"/>
        </w:rPr>
        <w:t>The</w:t>
      </w:r>
      <w:r w:rsidR="000F0974" w:rsidRPr="00F01411">
        <w:rPr>
          <w:rFonts w:ascii="Calibri" w:hAnsi="Calibri" w:cs="Calibri"/>
          <w:sz w:val="22"/>
        </w:rPr>
        <w:t xml:space="preserve"> </w:t>
      </w:r>
      <w:r w:rsidR="00F32FE4" w:rsidRPr="00F01411">
        <w:rPr>
          <w:rFonts w:ascii="Calibri" w:hAnsi="Calibri" w:cs="Calibri"/>
          <w:sz w:val="22"/>
        </w:rPr>
        <w:t xml:space="preserve">single experienced </w:t>
      </w:r>
      <w:r w:rsidR="000F0974" w:rsidRPr="00F01411">
        <w:rPr>
          <w:rFonts w:ascii="Calibri" w:hAnsi="Calibri" w:cs="Calibri"/>
          <w:sz w:val="22"/>
        </w:rPr>
        <w:t xml:space="preserve">examining veterinarian performed a reaction to passive </w:t>
      </w:r>
      <w:r>
        <w:rPr>
          <w:rFonts w:ascii="Calibri" w:hAnsi="Calibri" w:cs="Calibri"/>
          <w:sz w:val="22"/>
        </w:rPr>
        <w:t xml:space="preserve">carpal </w:t>
      </w:r>
      <w:r w:rsidR="000F0974" w:rsidRPr="00F01411">
        <w:rPr>
          <w:rFonts w:ascii="Calibri" w:hAnsi="Calibri" w:cs="Calibri"/>
          <w:sz w:val="22"/>
        </w:rPr>
        <w:t xml:space="preserve">flexion by positioning MC3 lateral </w:t>
      </w:r>
      <w:r w:rsidR="00F32FE4" w:rsidRPr="00F01411">
        <w:rPr>
          <w:rFonts w:ascii="Calibri" w:hAnsi="Calibri" w:cs="Calibri"/>
          <w:sz w:val="22"/>
        </w:rPr>
        <w:t xml:space="preserve">to </w:t>
      </w:r>
      <w:r w:rsidR="000F0974" w:rsidRPr="00F01411">
        <w:rPr>
          <w:rFonts w:ascii="Calibri" w:hAnsi="Calibri" w:cs="Calibri"/>
          <w:sz w:val="22"/>
        </w:rPr>
        <w:t>the radius and parallel to the ground and applying force</w:t>
      </w:r>
      <w:r w:rsidR="00457DBD" w:rsidRPr="00F01411">
        <w:rPr>
          <w:rFonts w:ascii="Calibri" w:hAnsi="Calibri" w:cs="Calibri"/>
          <w:sz w:val="22"/>
        </w:rPr>
        <w:t xml:space="preserve"> for 30 seconds</w:t>
      </w:r>
      <w:r w:rsidR="000F0974" w:rsidRPr="00F01411">
        <w:rPr>
          <w:rFonts w:ascii="Calibri" w:hAnsi="Calibri" w:cs="Calibri"/>
          <w:sz w:val="22"/>
        </w:rPr>
        <w:t>. A subjective grading was then given from 0 to 3 (0</w:t>
      </w:r>
      <w:r w:rsidR="00337875" w:rsidRPr="00F01411">
        <w:rPr>
          <w:rFonts w:ascii="Calibri" w:hAnsi="Calibri" w:cs="Calibri"/>
          <w:sz w:val="22"/>
        </w:rPr>
        <w:t xml:space="preserve"> </w:t>
      </w:r>
      <w:r w:rsidR="000F0974" w:rsidRPr="00F01411">
        <w:rPr>
          <w:rFonts w:ascii="Calibri" w:hAnsi="Calibri" w:cs="Calibri"/>
          <w:sz w:val="22"/>
        </w:rPr>
        <w:t>=</w:t>
      </w:r>
      <w:r w:rsidR="00337875" w:rsidRPr="00F01411">
        <w:rPr>
          <w:rFonts w:ascii="Calibri" w:hAnsi="Calibri" w:cs="Calibri"/>
          <w:sz w:val="22"/>
        </w:rPr>
        <w:t xml:space="preserve"> </w:t>
      </w:r>
      <w:r w:rsidR="000F0974" w:rsidRPr="00F01411">
        <w:rPr>
          <w:rFonts w:ascii="Calibri" w:hAnsi="Calibri" w:cs="Calibri"/>
          <w:sz w:val="22"/>
        </w:rPr>
        <w:t>none, 1</w:t>
      </w:r>
      <w:r w:rsidR="00337875" w:rsidRPr="00F01411">
        <w:rPr>
          <w:rFonts w:ascii="Calibri" w:hAnsi="Calibri" w:cs="Calibri"/>
          <w:sz w:val="22"/>
        </w:rPr>
        <w:t xml:space="preserve"> </w:t>
      </w:r>
      <w:r w:rsidR="000F0974" w:rsidRPr="00F01411">
        <w:rPr>
          <w:rFonts w:ascii="Calibri" w:hAnsi="Calibri" w:cs="Calibri"/>
          <w:sz w:val="22"/>
        </w:rPr>
        <w:t>=</w:t>
      </w:r>
      <w:r w:rsidR="00337875" w:rsidRPr="00F01411">
        <w:rPr>
          <w:rFonts w:ascii="Calibri" w:hAnsi="Calibri" w:cs="Calibri"/>
          <w:sz w:val="22"/>
        </w:rPr>
        <w:t xml:space="preserve"> </w:t>
      </w:r>
      <w:r w:rsidR="000F0974" w:rsidRPr="00F01411">
        <w:rPr>
          <w:rFonts w:ascii="Calibri" w:hAnsi="Calibri" w:cs="Calibri"/>
          <w:sz w:val="22"/>
        </w:rPr>
        <w:t>mild, 2</w:t>
      </w:r>
      <w:r w:rsidR="00337875" w:rsidRPr="00F01411">
        <w:rPr>
          <w:rFonts w:ascii="Calibri" w:hAnsi="Calibri" w:cs="Calibri"/>
          <w:sz w:val="22"/>
        </w:rPr>
        <w:t xml:space="preserve"> </w:t>
      </w:r>
      <w:r w:rsidR="000F0974" w:rsidRPr="00F01411">
        <w:rPr>
          <w:rFonts w:ascii="Calibri" w:hAnsi="Calibri" w:cs="Calibri"/>
          <w:sz w:val="22"/>
        </w:rPr>
        <w:t>=</w:t>
      </w:r>
      <w:r w:rsidR="00337875" w:rsidRPr="00F01411">
        <w:rPr>
          <w:rFonts w:ascii="Calibri" w:hAnsi="Calibri" w:cs="Calibri"/>
          <w:sz w:val="22"/>
        </w:rPr>
        <w:t xml:space="preserve"> </w:t>
      </w:r>
      <w:r w:rsidR="000F0974" w:rsidRPr="00F01411">
        <w:rPr>
          <w:rFonts w:ascii="Calibri" w:hAnsi="Calibri" w:cs="Calibri"/>
          <w:sz w:val="22"/>
        </w:rPr>
        <w:t>moderate, 3</w:t>
      </w:r>
      <w:r w:rsidR="00337875" w:rsidRPr="00F01411">
        <w:rPr>
          <w:rFonts w:ascii="Calibri" w:hAnsi="Calibri" w:cs="Calibri"/>
          <w:sz w:val="22"/>
        </w:rPr>
        <w:t xml:space="preserve"> </w:t>
      </w:r>
      <w:r w:rsidR="000F0974" w:rsidRPr="00F01411">
        <w:rPr>
          <w:rFonts w:ascii="Calibri" w:hAnsi="Calibri" w:cs="Calibri"/>
          <w:sz w:val="22"/>
        </w:rPr>
        <w:t>=</w:t>
      </w:r>
      <w:r w:rsidR="00337875" w:rsidRPr="00F01411">
        <w:rPr>
          <w:rFonts w:ascii="Calibri" w:hAnsi="Calibri" w:cs="Calibri"/>
          <w:sz w:val="22"/>
        </w:rPr>
        <w:t xml:space="preserve"> </w:t>
      </w:r>
      <w:r w:rsidR="000F0974" w:rsidRPr="00F01411">
        <w:rPr>
          <w:rFonts w:ascii="Calibri" w:hAnsi="Calibri" w:cs="Calibri"/>
          <w:sz w:val="22"/>
        </w:rPr>
        <w:t xml:space="preserve">severe) based on the degree of reaction elicited by the horse and the resistance to </w:t>
      </w:r>
      <w:r>
        <w:rPr>
          <w:rFonts w:ascii="Calibri" w:hAnsi="Calibri" w:cs="Calibri"/>
          <w:sz w:val="22"/>
        </w:rPr>
        <w:t xml:space="preserve">carpal </w:t>
      </w:r>
      <w:r w:rsidR="000F0974" w:rsidRPr="00F01411">
        <w:rPr>
          <w:rFonts w:ascii="Calibri" w:hAnsi="Calibri" w:cs="Calibri"/>
          <w:sz w:val="22"/>
        </w:rPr>
        <w:t>flexion.</w:t>
      </w:r>
      <w:r>
        <w:rPr>
          <w:rFonts w:ascii="Calibri" w:hAnsi="Calibri" w:cs="Calibri"/>
          <w:sz w:val="22"/>
        </w:rPr>
        <w:t xml:space="preserve"> No objective lameness evaluation was performed on any of the horses in this study. </w:t>
      </w:r>
    </w:p>
    <w:p w14:paraId="2F607277" w14:textId="77777777" w:rsidR="00793FC5" w:rsidRPr="00F01411" w:rsidRDefault="00793FC5" w:rsidP="003232A4">
      <w:pPr>
        <w:spacing w:line="480" w:lineRule="auto"/>
        <w:rPr>
          <w:rFonts w:ascii="Calibri" w:hAnsi="Calibri" w:cs="Calibri"/>
          <w:sz w:val="22"/>
        </w:rPr>
      </w:pPr>
    </w:p>
    <w:p w14:paraId="770D04FA" w14:textId="37AB9136" w:rsidR="0092219F" w:rsidRPr="00F01411" w:rsidRDefault="00F45D92" w:rsidP="003232A4">
      <w:pPr>
        <w:pStyle w:val="NormalWeb"/>
        <w:spacing w:line="480" w:lineRule="auto"/>
        <w:rPr>
          <w:rFonts w:ascii="Calibri" w:hAnsi="Calibri" w:cs="Calibri"/>
          <w:sz w:val="22"/>
          <w:szCs w:val="22"/>
          <w:lang w:val="en-GB"/>
        </w:rPr>
      </w:pPr>
      <w:r w:rsidRPr="00F01411">
        <w:rPr>
          <w:rFonts w:ascii="Calibri" w:hAnsi="Calibri" w:cs="Calibri"/>
          <w:sz w:val="22"/>
          <w:szCs w:val="22"/>
        </w:rPr>
        <w:t>Radiographs were assessed by a registered sp</w:t>
      </w:r>
      <w:r w:rsidR="00F57288" w:rsidRPr="00F01411">
        <w:rPr>
          <w:rFonts w:ascii="Calibri" w:hAnsi="Calibri" w:cs="Calibri"/>
          <w:sz w:val="22"/>
          <w:szCs w:val="22"/>
        </w:rPr>
        <w:t xml:space="preserve">ecialist in equine surgery </w:t>
      </w:r>
      <w:r w:rsidR="00823CFD" w:rsidRPr="00F01411">
        <w:rPr>
          <w:rFonts w:ascii="Calibri" w:hAnsi="Calibri" w:cs="Calibri"/>
          <w:sz w:val="22"/>
          <w:szCs w:val="22"/>
        </w:rPr>
        <w:t xml:space="preserve">blinded to the study. </w:t>
      </w:r>
      <w:r w:rsidR="00756617" w:rsidRPr="00F01411">
        <w:rPr>
          <w:rFonts w:ascii="Calibri" w:hAnsi="Calibri" w:cs="Calibri"/>
          <w:sz w:val="22"/>
          <w:szCs w:val="22"/>
        </w:rPr>
        <w:t xml:space="preserve">Since fractures or osteochondral fragmentation cases were excluded from the study, the radiographs were scrutinized to mainly detect radiographic signs associated with repetitive trauma to the articular cartilage and subchondral bone plate </w:t>
      </w:r>
      <w:r w:rsidR="00677B91" w:rsidRPr="00F01411">
        <w:rPr>
          <w:rFonts w:ascii="Calibri" w:hAnsi="Calibri" w:cs="Calibri"/>
          <w:sz w:val="22"/>
          <w:szCs w:val="22"/>
        </w:rPr>
        <w:t xml:space="preserve">resulting in middle </w:t>
      </w:r>
      <w:r w:rsidR="00756617" w:rsidRPr="00F01411">
        <w:rPr>
          <w:rFonts w:ascii="Calibri" w:hAnsi="Calibri" w:cs="Calibri"/>
          <w:sz w:val="22"/>
          <w:szCs w:val="22"/>
        </w:rPr>
        <w:t>carpal joint osteoarthriti</w:t>
      </w:r>
      <w:r w:rsidR="00677B91" w:rsidRPr="00F01411">
        <w:rPr>
          <w:rFonts w:ascii="Calibri" w:hAnsi="Calibri" w:cs="Calibri"/>
          <w:sz w:val="22"/>
          <w:szCs w:val="22"/>
        </w:rPr>
        <w:t>s</w:t>
      </w:r>
      <w:r w:rsidR="00756617" w:rsidRPr="00F01411">
        <w:rPr>
          <w:rFonts w:ascii="Calibri" w:hAnsi="Calibri" w:cs="Calibri"/>
          <w:sz w:val="22"/>
          <w:szCs w:val="22"/>
        </w:rPr>
        <w:t xml:space="preserve">. Therefore </w:t>
      </w:r>
      <w:r w:rsidR="00756617" w:rsidRPr="00F01411">
        <w:rPr>
          <w:rFonts w:ascii="Calibri" w:hAnsi="Calibri" w:cs="Calibri"/>
          <w:sz w:val="22"/>
          <w:szCs w:val="22"/>
          <w:lang w:val="en-GB"/>
        </w:rPr>
        <w:t>s</w:t>
      </w:r>
      <w:r w:rsidR="00F42558" w:rsidRPr="00F01411">
        <w:rPr>
          <w:rFonts w:ascii="Calibri" w:hAnsi="Calibri" w:cs="Calibri"/>
          <w:sz w:val="22"/>
          <w:szCs w:val="22"/>
          <w:lang w:val="en-GB"/>
        </w:rPr>
        <w:t xml:space="preserve">clerosis or lysis, </w:t>
      </w:r>
      <w:proofErr w:type="spellStart"/>
      <w:r w:rsidR="00F42558" w:rsidRPr="00F01411">
        <w:rPr>
          <w:rFonts w:ascii="Calibri" w:hAnsi="Calibri" w:cs="Calibri"/>
          <w:sz w:val="22"/>
          <w:szCs w:val="22"/>
          <w:lang w:val="en-GB"/>
        </w:rPr>
        <w:t>enthesiopathy</w:t>
      </w:r>
      <w:proofErr w:type="spellEnd"/>
      <w:r w:rsidR="00F42558" w:rsidRPr="00F01411">
        <w:rPr>
          <w:rFonts w:ascii="Calibri" w:hAnsi="Calibri" w:cs="Calibri"/>
          <w:sz w:val="22"/>
          <w:szCs w:val="22"/>
          <w:lang w:val="en-GB"/>
        </w:rPr>
        <w:t xml:space="preserve">, and osteophytosis of the carpal </w:t>
      </w:r>
      <w:r w:rsidR="00F42558" w:rsidRPr="00F01411">
        <w:rPr>
          <w:rFonts w:ascii="Calibri" w:hAnsi="Calibri" w:cs="Calibri"/>
          <w:sz w:val="22"/>
          <w:szCs w:val="22"/>
          <w:lang w:val="en-GB"/>
        </w:rPr>
        <w:lastRenderedPageBreak/>
        <w:t xml:space="preserve">bones </w:t>
      </w:r>
      <w:r w:rsidR="00DE559C" w:rsidRPr="00F01411">
        <w:rPr>
          <w:rFonts w:ascii="Calibri" w:hAnsi="Calibri" w:cs="Calibri"/>
          <w:sz w:val="22"/>
          <w:szCs w:val="22"/>
          <w:lang w:val="en-GB"/>
        </w:rPr>
        <w:t xml:space="preserve">forming the middle carpal joint </w:t>
      </w:r>
      <w:r w:rsidR="00F42558" w:rsidRPr="00F01411">
        <w:rPr>
          <w:rFonts w:ascii="Calibri" w:hAnsi="Calibri" w:cs="Calibri"/>
          <w:sz w:val="22"/>
          <w:szCs w:val="22"/>
          <w:lang w:val="en-GB"/>
        </w:rPr>
        <w:t>w</w:t>
      </w:r>
      <w:r w:rsidR="00DE559C" w:rsidRPr="00F01411">
        <w:rPr>
          <w:rFonts w:ascii="Calibri" w:hAnsi="Calibri" w:cs="Calibri"/>
          <w:sz w:val="22"/>
          <w:szCs w:val="22"/>
          <w:lang w:val="en-GB"/>
        </w:rPr>
        <w:t>ere</w:t>
      </w:r>
      <w:r w:rsidR="00F42558" w:rsidRPr="00F01411">
        <w:rPr>
          <w:rFonts w:ascii="Calibri" w:hAnsi="Calibri" w:cs="Calibri"/>
          <w:sz w:val="22"/>
          <w:szCs w:val="22"/>
          <w:lang w:val="en-GB"/>
        </w:rPr>
        <w:t xml:space="preserve"> graded </w:t>
      </w:r>
      <w:r w:rsidR="000375B3" w:rsidRPr="00F01411">
        <w:rPr>
          <w:rFonts w:ascii="Calibri" w:hAnsi="Calibri" w:cs="Calibri"/>
          <w:sz w:val="22"/>
          <w:szCs w:val="22"/>
          <w:lang w:val="en-GB"/>
        </w:rPr>
        <w:t>using</w:t>
      </w:r>
      <w:r w:rsidR="00F51C9C" w:rsidRPr="00F01411">
        <w:rPr>
          <w:rFonts w:ascii="Calibri" w:hAnsi="Calibri" w:cs="Calibri"/>
          <w:sz w:val="22"/>
          <w:szCs w:val="22"/>
          <w:lang w:val="en-GB"/>
        </w:rPr>
        <w:t xml:space="preserve"> a </w:t>
      </w:r>
      <w:r w:rsidR="00DE559C" w:rsidRPr="00F01411">
        <w:rPr>
          <w:rFonts w:ascii="Calibri" w:hAnsi="Calibri" w:cs="Calibri"/>
          <w:sz w:val="22"/>
          <w:szCs w:val="22"/>
          <w:lang w:val="en-GB"/>
        </w:rPr>
        <w:t xml:space="preserve">subjective </w:t>
      </w:r>
      <w:r w:rsidR="00F51C9C" w:rsidRPr="00F01411">
        <w:rPr>
          <w:rFonts w:ascii="Calibri" w:hAnsi="Calibri" w:cs="Calibri"/>
          <w:sz w:val="22"/>
          <w:szCs w:val="22"/>
          <w:lang w:val="en-GB"/>
        </w:rPr>
        <w:t>grading system</w:t>
      </w:r>
      <w:r w:rsidR="00DE559C" w:rsidRPr="00F01411">
        <w:rPr>
          <w:rFonts w:ascii="Calibri" w:hAnsi="Calibri" w:cs="Calibri"/>
          <w:sz w:val="22"/>
          <w:szCs w:val="22"/>
          <w:lang w:val="en-GB"/>
        </w:rPr>
        <w:t xml:space="preserve"> </w:t>
      </w:r>
      <w:r w:rsidR="00527B86" w:rsidRPr="00F01411">
        <w:rPr>
          <w:rFonts w:ascii="Calibri" w:hAnsi="Calibri" w:cs="Calibri"/>
          <w:sz w:val="22"/>
          <w:szCs w:val="22"/>
          <w:lang w:val="en-GB"/>
        </w:rPr>
        <w:t>(</w:t>
      </w:r>
      <w:r w:rsidR="00DE559C" w:rsidRPr="00F01411">
        <w:rPr>
          <w:rFonts w:ascii="Calibri" w:hAnsi="Calibri" w:cs="Calibri"/>
          <w:b/>
          <w:sz w:val="22"/>
          <w:szCs w:val="22"/>
          <w:u w:val="single"/>
          <w:lang w:val="en-GB"/>
        </w:rPr>
        <w:t>Table 1</w:t>
      </w:r>
      <w:r w:rsidR="00527B86" w:rsidRPr="00F01411">
        <w:rPr>
          <w:rFonts w:ascii="Calibri" w:hAnsi="Calibri" w:cs="Calibri"/>
          <w:sz w:val="22"/>
          <w:szCs w:val="22"/>
          <w:lang w:val="en-GB"/>
        </w:rPr>
        <w:t>)</w:t>
      </w:r>
      <w:r w:rsidR="00F42558" w:rsidRPr="00F01411">
        <w:rPr>
          <w:rFonts w:ascii="Calibri" w:hAnsi="Calibri" w:cs="Calibri"/>
          <w:sz w:val="22"/>
          <w:szCs w:val="22"/>
          <w:lang w:val="en-GB"/>
        </w:rPr>
        <w:t xml:space="preserve">. </w:t>
      </w:r>
      <w:r w:rsidR="00F51C9C" w:rsidRPr="00F01411">
        <w:rPr>
          <w:rFonts w:ascii="Calibri" w:hAnsi="Calibri" w:cs="Calibri"/>
          <w:sz w:val="22"/>
          <w:szCs w:val="22"/>
          <w:lang w:val="en-GB"/>
        </w:rPr>
        <w:t xml:space="preserve"> </w:t>
      </w:r>
      <w:r w:rsidR="00F42558" w:rsidRPr="00F01411">
        <w:rPr>
          <w:rFonts w:ascii="Calibri" w:hAnsi="Calibri" w:cs="Calibri"/>
          <w:sz w:val="22"/>
          <w:szCs w:val="22"/>
          <w:lang w:val="en-GB"/>
        </w:rPr>
        <w:t xml:space="preserve">As these findings may represent different aspects or phases of carpal joint disease, it was decided to select </w:t>
      </w:r>
      <w:r w:rsidR="00F51C9C" w:rsidRPr="00F01411">
        <w:rPr>
          <w:rFonts w:ascii="Calibri" w:hAnsi="Calibri" w:cs="Calibri"/>
          <w:sz w:val="22"/>
          <w:szCs w:val="22"/>
          <w:lang w:val="en-GB"/>
        </w:rPr>
        <w:t>the highes</w:t>
      </w:r>
      <w:r w:rsidR="000375B3" w:rsidRPr="00F01411">
        <w:rPr>
          <w:rFonts w:ascii="Calibri" w:hAnsi="Calibri" w:cs="Calibri"/>
          <w:sz w:val="22"/>
          <w:szCs w:val="22"/>
          <w:lang w:val="en-GB"/>
        </w:rPr>
        <w:t xml:space="preserve">t </w:t>
      </w:r>
      <w:r w:rsidR="00122977" w:rsidRPr="00F01411">
        <w:rPr>
          <w:rFonts w:ascii="Calibri" w:hAnsi="Calibri" w:cs="Calibri"/>
          <w:sz w:val="22"/>
          <w:szCs w:val="22"/>
          <w:lang w:val="en-GB"/>
        </w:rPr>
        <w:t>grade</w:t>
      </w:r>
      <w:r w:rsidR="000375B3" w:rsidRPr="00F01411">
        <w:rPr>
          <w:rFonts w:ascii="Calibri" w:hAnsi="Calibri" w:cs="Calibri"/>
          <w:sz w:val="22"/>
          <w:szCs w:val="22"/>
          <w:lang w:val="en-GB"/>
        </w:rPr>
        <w:t xml:space="preserve"> </w:t>
      </w:r>
      <w:r w:rsidR="00F42558" w:rsidRPr="00F01411">
        <w:rPr>
          <w:rFonts w:ascii="Calibri" w:hAnsi="Calibri" w:cs="Calibri"/>
          <w:sz w:val="22"/>
          <w:szCs w:val="22"/>
          <w:lang w:val="en-GB"/>
        </w:rPr>
        <w:t>of any category as</w:t>
      </w:r>
      <w:r w:rsidR="00F32FE4" w:rsidRPr="00F01411">
        <w:rPr>
          <w:rFonts w:ascii="Calibri" w:hAnsi="Calibri" w:cs="Calibri"/>
          <w:sz w:val="22"/>
          <w:szCs w:val="22"/>
          <w:lang w:val="en-GB"/>
        </w:rPr>
        <w:t xml:space="preserve"> </w:t>
      </w:r>
      <w:r w:rsidR="00F51C9C" w:rsidRPr="00F01411">
        <w:rPr>
          <w:rFonts w:ascii="Calibri" w:hAnsi="Calibri" w:cs="Calibri"/>
          <w:sz w:val="22"/>
          <w:szCs w:val="22"/>
          <w:lang w:val="en-GB"/>
        </w:rPr>
        <w:t>the horse's overall grading</w:t>
      </w:r>
      <w:r w:rsidR="000375B3" w:rsidRPr="00F01411">
        <w:rPr>
          <w:rFonts w:ascii="Calibri" w:hAnsi="Calibri" w:cs="Calibri"/>
          <w:sz w:val="22"/>
          <w:szCs w:val="22"/>
          <w:lang w:val="en-GB"/>
        </w:rPr>
        <w:t>.</w:t>
      </w:r>
      <w:r w:rsidR="00F51C9C" w:rsidRPr="00F01411">
        <w:rPr>
          <w:rFonts w:ascii="Calibri" w:hAnsi="Calibri" w:cs="Calibri"/>
          <w:sz w:val="22"/>
          <w:szCs w:val="22"/>
          <w:lang w:val="en-GB"/>
        </w:rPr>
        <w:t xml:space="preserve"> </w:t>
      </w:r>
      <w:r w:rsidR="00DE559C" w:rsidRPr="00F01411">
        <w:rPr>
          <w:rFonts w:ascii="Calibri" w:hAnsi="Calibri" w:cs="Calibri"/>
          <w:sz w:val="22"/>
          <w:szCs w:val="22"/>
          <w:lang w:val="en-GB"/>
        </w:rPr>
        <w:t xml:space="preserve">Sclerosis </w:t>
      </w:r>
      <w:r w:rsidR="004813C2" w:rsidRPr="00F01411">
        <w:rPr>
          <w:rFonts w:ascii="Calibri" w:hAnsi="Calibri" w:cs="Calibri"/>
          <w:sz w:val="22"/>
          <w:szCs w:val="22"/>
          <w:lang w:val="en-GB"/>
        </w:rPr>
        <w:t>and</w:t>
      </w:r>
      <w:r w:rsidR="00DE559C" w:rsidRPr="00F01411">
        <w:rPr>
          <w:rFonts w:ascii="Calibri" w:hAnsi="Calibri" w:cs="Calibri"/>
          <w:sz w:val="22"/>
          <w:szCs w:val="22"/>
          <w:lang w:val="en-GB"/>
        </w:rPr>
        <w:t xml:space="preserve"> lysis </w:t>
      </w:r>
      <w:r w:rsidR="004813C2" w:rsidRPr="00F01411">
        <w:rPr>
          <w:rFonts w:ascii="Calibri" w:hAnsi="Calibri" w:cs="Calibri"/>
          <w:sz w:val="22"/>
          <w:szCs w:val="22"/>
          <w:lang w:val="en-GB"/>
        </w:rPr>
        <w:t>were</w:t>
      </w:r>
      <w:r w:rsidR="00DE559C" w:rsidRPr="00F01411">
        <w:rPr>
          <w:rFonts w:ascii="Calibri" w:hAnsi="Calibri" w:cs="Calibri"/>
          <w:sz w:val="22"/>
          <w:szCs w:val="22"/>
          <w:lang w:val="en-GB"/>
        </w:rPr>
        <w:t xml:space="preserve"> graded as follows: </w:t>
      </w:r>
      <w:r w:rsidR="00ED4891" w:rsidRPr="00F01411">
        <w:rPr>
          <w:rFonts w:ascii="Calibri" w:hAnsi="Calibri" w:cs="Calibri"/>
          <w:sz w:val="22"/>
          <w:szCs w:val="22"/>
          <w:lang w:val="en-GB"/>
        </w:rPr>
        <w:t>None or m</w:t>
      </w:r>
      <w:r w:rsidR="000375B3" w:rsidRPr="00F01411">
        <w:rPr>
          <w:rFonts w:ascii="Calibri" w:hAnsi="Calibri" w:cs="Calibri"/>
          <w:sz w:val="22"/>
          <w:szCs w:val="22"/>
          <w:lang w:val="en-GB"/>
        </w:rPr>
        <w:t>ild sclerosis</w:t>
      </w:r>
      <w:r w:rsidR="00F42558" w:rsidRPr="00F01411">
        <w:rPr>
          <w:rFonts w:ascii="Calibri" w:hAnsi="Calibri" w:cs="Calibri"/>
          <w:sz w:val="22"/>
          <w:szCs w:val="22"/>
          <w:lang w:val="en-GB"/>
        </w:rPr>
        <w:t xml:space="preserve"> and no lysis</w:t>
      </w:r>
      <w:r w:rsidR="000375B3" w:rsidRPr="00F01411">
        <w:rPr>
          <w:rFonts w:ascii="Calibri" w:hAnsi="Calibri" w:cs="Calibri"/>
          <w:sz w:val="22"/>
          <w:szCs w:val="22"/>
          <w:lang w:val="en-GB"/>
        </w:rPr>
        <w:t xml:space="preserve"> = 0, moderate </w:t>
      </w:r>
      <w:r w:rsidR="00F42558" w:rsidRPr="00F01411">
        <w:rPr>
          <w:rFonts w:ascii="Calibri" w:hAnsi="Calibri" w:cs="Calibri"/>
          <w:sz w:val="22"/>
          <w:szCs w:val="22"/>
          <w:lang w:val="en-GB"/>
        </w:rPr>
        <w:t xml:space="preserve">sclerosis and/or mild lysis </w:t>
      </w:r>
      <w:r w:rsidR="000375B3" w:rsidRPr="00F01411">
        <w:rPr>
          <w:rFonts w:ascii="Calibri" w:hAnsi="Calibri" w:cs="Calibri"/>
          <w:sz w:val="22"/>
          <w:szCs w:val="22"/>
          <w:lang w:val="en-GB"/>
        </w:rPr>
        <w:t xml:space="preserve">= 1, severe </w:t>
      </w:r>
      <w:r w:rsidR="00F42558" w:rsidRPr="00F01411">
        <w:rPr>
          <w:rFonts w:ascii="Calibri" w:hAnsi="Calibri" w:cs="Calibri"/>
          <w:sz w:val="22"/>
          <w:szCs w:val="22"/>
          <w:lang w:val="en-GB"/>
        </w:rPr>
        <w:t xml:space="preserve">sclerosis and/or moderate lysis </w:t>
      </w:r>
      <w:r w:rsidR="000375B3" w:rsidRPr="00F01411">
        <w:rPr>
          <w:rFonts w:ascii="Calibri" w:hAnsi="Calibri" w:cs="Calibri"/>
          <w:sz w:val="22"/>
          <w:szCs w:val="22"/>
          <w:lang w:val="en-GB"/>
        </w:rPr>
        <w:t>= 2</w:t>
      </w:r>
      <w:r w:rsidR="00F42558" w:rsidRPr="00F01411">
        <w:rPr>
          <w:rFonts w:ascii="Calibri" w:hAnsi="Calibri" w:cs="Calibri"/>
          <w:sz w:val="22"/>
          <w:szCs w:val="22"/>
          <w:lang w:val="en-GB"/>
        </w:rPr>
        <w:t xml:space="preserve">, </w:t>
      </w:r>
      <w:r w:rsidR="00DE559C" w:rsidRPr="00F01411">
        <w:rPr>
          <w:rFonts w:ascii="Calibri" w:hAnsi="Calibri" w:cs="Calibri"/>
          <w:sz w:val="22"/>
          <w:szCs w:val="22"/>
          <w:lang w:val="en-GB"/>
        </w:rPr>
        <w:t xml:space="preserve">any degree of sclerosis and </w:t>
      </w:r>
      <w:r w:rsidR="000375B3" w:rsidRPr="00F01411">
        <w:rPr>
          <w:rFonts w:ascii="Calibri" w:hAnsi="Calibri" w:cs="Calibri"/>
          <w:sz w:val="22"/>
          <w:szCs w:val="22"/>
          <w:lang w:val="en-GB"/>
        </w:rPr>
        <w:t>severe</w:t>
      </w:r>
      <w:r w:rsidR="00DE559C" w:rsidRPr="00F01411">
        <w:rPr>
          <w:rFonts w:ascii="Calibri" w:hAnsi="Calibri" w:cs="Calibri"/>
          <w:sz w:val="22"/>
          <w:szCs w:val="22"/>
          <w:lang w:val="en-GB"/>
        </w:rPr>
        <w:t xml:space="preserve"> lysis </w:t>
      </w:r>
      <w:r w:rsidR="000375B3" w:rsidRPr="00F01411">
        <w:rPr>
          <w:rFonts w:ascii="Calibri" w:hAnsi="Calibri" w:cs="Calibri"/>
          <w:sz w:val="22"/>
          <w:szCs w:val="22"/>
          <w:lang w:val="en-GB"/>
        </w:rPr>
        <w:t>=</w:t>
      </w:r>
      <w:r w:rsidR="00F42558" w:rsidRPr="00F01411">
        <w:rPr>
          <w:rFonts w:ascii="Calibri" w:hAnsi="Calibri" w:cs="Calibri"/>
          <w:sz w:val="22"/>
          <w:szCs w:val="22"/>
          <w:lang w:val="en-GB"/>
        </w:rPr>
        <w:t xml:space="preserve"> </w:t>
      </w:r>
      <w:r w:rsidR="000375B3" w:rsidRPr="00F01411">
        <w:rPr>
          <w:rFonts w:ascii="Calibri" w:hAnsi="Calibri" w:cs="Calibri"/>
          <w:sz w:val="22"/>
          <w:szCs w:val="22"/>
          <w:lang w:val="en-GB"/>
        </w:rPr>
        <w:t>3</w:t>
      </w:r>
      <w:r w:rsidR="00DE559C" w:rsidRPr="00F01411">
        <w:rPr>
          <w:rFonts w:ascii="Calibri" w:hAnsi="Calibri" w:cs="Calibri"/>
          <w:sz w:val="22"/>
          <w:szCs w:val="22"/>
          <w:lang w:val="en-GB"/>
        </w:rPr>
        <w:t xml:space="preserve">. </w:t>
      </w:r>
      <w:proofErr w:type="spellStart"/>
      <w:r w:rsidR="000375B3" w:rsidRPr="00F01411">
        <w:rPr>
          <w:rFonts w:ascii="Calibri" w:hAnsi="Calibri" w:cs="Calibri"/>
          <w:sz w:val="22"/>
          <w:szCs w:val="22"/>
          <w:lang w:val="en-GB"/>
        </w:rPr>
        <w:t>Enthesiopathy</w:t>
      </w:r>
      <w:proofErr w:type="spellEnd"/>
      <w:r w:rsidR="000375B3" w:rsidRPr="00F01411">
        <w:rPr>
          <w:rFonts w:ascii="Calibri" w:hAnsi="Calibri" w:cs="Calibri"/>
          <w:sz w:val="22"/>
          <w:szCs w:val="22"/>
          <w:lang w:val="en-GB"/>
        </w:rPr>
        <w:t xml:space="preserve"> </w:t>
      </w:r>
      <w:r w:rsidR="00DE559C" w:rsidRPr="00F01411">
        <w:rPr>
          <w:rFonts w:ascii="Calibri" w:hAnsi="Calibri" w:cs="Calibri"/>
          <w:sz w:val="22"/>
          <w:szCs w:val="22"/>
          <w:lang w:val="en-GB"/>
        </w:rPr>
        <w:t>was graded as follows: None = 0, m</w:t>
      </w:r>
      <w:r w:rsidR="000375B3" w:rsidRPr="00F01411">
        <w:rPr>
          <w:rFonts w:ascii="Calibri" w:hAnsi="Calibri" w:cs="Calibri"/>
          <w:sz w:val="22"/>
          <w:szCs w:val="22"/>
          <w:lang w:val="en-GB"/>
        </w:rPr>
        <w:t>ild =</w:t>
      </w:r>
      <w:r w:rsidR="00DE559C" w:rsidRPr="00F01411">
        <w:rPr>
          <w:rFonts w:ascii="Calibri" w:hAnsi="Calibri" w:cs="Calibri"/>
          <w:sz w:val="22"/>
          <w:szCs w:val="22"/>
          <w:lang w:val="en-GB"/>
        </w:rPr>
        <w:t xml:space="preserve"> 1</w:t>
      </w:r>
      <w:r w:rsidR="000375B3" w:rsidRPr="00F01411">
        <w:rPr>
          <w:rFonts w:ascii="Calibri" w:hAnsi="Calibri" w:cs="Calibri"/>
          <w:sz w:val="22"/>
          <w:szCs w:val="22"/>
          <w:lang w:val="en-GB"/>
        </w:rPr>
        <w:t>, moderate =</w:t>
      </w:r>
      <w:r w:rsidR="00F42558" w:rsidRPr="00F01411">
        <w:rPr>
          <w:rFonts w:ascii="Calibri" w:hAnsi="Calibri" w:cs="Calibri"/>
          <w:sz w:val="22"/>
          <w:szCs w:val="22"/>
          <w:lang w:val="en-GB"/>
        </w:rPr>
        <w:t xml:space="preserve"> </w:t>
      </w:r>
      <w:r w:rsidR="00DE559C" w:rsidRPr="00F01411">
        <w:rPr>
          <w:rFonts w:ascii="Calibri" w:hAnsi="Calibri" w:cs="Calibri"/>
          <w:sz w:val="22"/>
          <w:szCs w:val="22"/>
          <w:lang w:val="en-GB"/>
        </w:rPr>
        <w:t>2</w:t>
      </w:r>
      <w:r w:rsidR="000375B3" w:rsidRPr="00F01411">
        <w:rPr>
          <w:rFonts w:ascii="Calibri" w:hAnsi="Calibri" w:cs="Calibri"/>
          <w:sz w:val="22"/>
          <w:szCs w:val="22"/>
          <w:lang w:val="en-GB"/>
        </w:rPr>
        <w:t>, severe =</w:t>
      </w:r>
      <w:r w:rsidR="00F42558" w:rsidRPr="00F01411">
        <w:rPr>
          <w:rFonts w:ascii="Calibri" w:hAnsi="Calibri" w:cs="Calibri"/>
          <w:sz w:val="22"/>
          <w:szCs w:val="22"/>
          <w:lang w:val="en-GB"/>
        </w:rPr>
        <w:t xml:space="preserve"> </w:t>
      </w:r>
      <w:r w:rsidR="00DE559C" w:rsidRPr="00F01411">
        <w:rPr>
          <w:rFonts w:ascii="Calibri" w:hAnsi="Calibri" w:cs="Calibri"/>
          <w:sz w:val="22"/>
          <w:szCs w:val="22"/>
          <w:lang w:val="en-GB"/>
        </w:rPr>
        <w:t xml:space="preserve">3. </w:t>
      </w:r>
      <w:r w:rsidR="00F42558" w:rsidRPr="00F01411">
        <w:rPr>
          <w:rFonts w:ascii="Calibri" w:hAnsi="Calibri" w:cs="Calibri"/>
          <w:sz w:val="22"/>
          <w:szCs w:val="22"/>
          <w:lang w:val="en-GB"/>
        </w:rPr>
        <w:t>Osteophytosis</w:t>
      </w:r>
      <w:r w:rsidR="00DE559C" w:rsidRPr="00F01411">
        <w:rPr>
          <w:rFonts w:ascii="Calibri" w:hAnsi="Calibri" w:cs="Calibri"/>
          <w:sz w:val="22"/>
          <w:szCs w:val="22"/>
          <w:lang w:val="en-GB"/>
        </w:rPr>
        <w:t xml:space="preserve"> was graded as follows:</w:t>
      </w:r>
      <w:r w:rsidR="00CA4110" w:rsidRPr="00F01411">
        <w:rPr>
          <w:rFonts w:ascii="Calibri" w:hAnsi="Calibri" w:cs="Calibri"/>
          <w:sz w:val="22"/>
          <w:szCs w:val="22"/>
          <w:lang w:val="en-GB"/>
        </w:rPr>
        <w:t xml:space="preserve"> </w:t>
      </w:r>
      <w:r w:rsidR="00DE559C" w:rsidRPr="00F01411">
        <w:rPr>
          <w:rFonts w:ascii="Calibri" w:hAnsi="Calibri" w:cs="Calibri"/>
          <w:sz w:val="22"/>
          <w:szCs w:val="22"/>
          <w:lang w:val="en-GB"/>
        </w:rPr>
        <w:t>None = 0, m</w:t>
      </w:r>
      <w:r w:rsidR="000375B3" w:rsidRPr="00F01411">
        <w:rPr>
          <w:rFonts w:ascii="Calibri" w:hAnsi="Calibri" w:cs="Calibri"/>
          <w:sz w:val="22"/>
          <w:szCs w:val="22"/>
          <w:lang w:val="en-GB"/>
        </w:rPr>
        <w:t xml:space="preserve">ild = 1, </w:t>
      </w:r>
      <w:r w:rsidR="00F42558" w:rsidRPr="00F01411">
        <w:rPr>
          <w:rFonts w:ascii="Calibri" w:hAnsi="Calibri" w:cs="Calibri"/>
          <w:sz w:val="22"/>
          <w:szCs w:val="22"/>
          <w:lang w:val="en-GB"/>
        </w:rPr>
        <w:t>moderate</w:t>
      </w:r>
      <w:r w:rsidR="000375B3" w:rsidRPr="00F01411">
        <w:rPr>
          <w:rFonts w:ascii="Calibri" w:hAnsi="Calibri" w:cs="Calibri"/>
          <w:sz w:val="22"/>
          <w:szCs w:val="22"/>
          <w:lang w:val="en-GB"/>
        </w:rPr>
        <w:t xml:space="preserve"> = 2, severe = 3.</w:t>
      </w:r>
      <w:r w:rsidR="00F51C9C" w:rsidRPr="00F01411">
        <w:rPr>
          <w:rFonts w:ascii="Calibri" w:hAnsi="Calibri" w:cs="Calibri"/>
          <w:sz w:val="22"/>
          <w:szCs w:val="22"/>
          <w:lang w:val="en-GB"/>
        </w:rPr>
        <w:t xml:space="preserve"> </w:t>
      </w:r>
      <w:r w:rsidR="00DE559C" w:rsidRPr="00F01411">
        <w:rPr>
          <w:rFonts w:ascii="Calibri" w:hAnsi="Calibri" w:cs="Calibri"/>
          <w:sz w:val="22"/>
          <w:szCs w:val="22"/>
          <w:lang w:val="en-GB"/>
        </w:rPr>
        <w:t xml:space="preserve"> </w:t>
      </w:r>
      <w:r w:rsidR="00F51C9C" w:rsidRPr="00F01411">
        <w:rPr>
          <w:rFonts w:ascii="Calibri" w:hAnsi="Calibri" w:cs="Calibri"/>
          <w:sz w:val="22"/>
          <w:szCs w:val="22"/>
          <w:lang w:val="en-GB"/>
        </w:rPr>
        <w:t xml:space="preserve">All carpal structures were assessed </w:t>
      </w:r>
      <w:r w:rsidR="00DE559C" w:rsidRPr="00F01411">
        <w:rPr>
          <w:rFonts w:ascii="Calibri" w:hAnsi="Calibri" w:cs="Calibri"/>
          <w:sz w:val="22"/>
          <w:szCs w:val="22"/>
          <w:lang w:val="en-GB"/>
        </w:rPr>
        <w:t xml:space="preserve">for completeness and to </w:t>
      </w:r>
      <w:r w:rsidR="00F51C9C" w:rsidRPr="00F01411">
        <w:rPr>
          <w:rFonts w:ascii="Calibri" w:hAnsi="Calibri" w:cs="Calibri"/>
          <w:sz w:val="22"/>
          <w:szCs w:val="22"/>
          <w:lang w:val="en-GB"/>
        </w:rPr>
        <w:t xml:space="preserve">ensure there was no confounding </w:t>
      </w:r>
      <w:r w:rsidR="00DE559C" w:rsidRPr="00F01411">
        <w:rPr>
          <w:rFonts w:ascii="Calibri" w:hAnsi="Calibri" w:cs="Calibri"/>
          <w:sz w:val="22"/>
          <w:szCs w:val="22"/>
          <w:lang w:val="en-GB"/>
        </w:rPr>
        <w:t xml:space="preserve">findings </w:t>
      </w:r>
      <w:r w:rsidR="00F51C9C" w:rsidRPr="00F01411">
        <w:rPr>
          <w:rFonts w:ascii="Calibri" w:hAnsi="Calibri" w:cs="Calibri"/>
          <w:sz w:val="22"/>
          <w:szCs w:val="22"/>
          <w:lang w:val="en-GB"/>
        </w:rPr>
        <w:t xml:space="preserve">from clinically significant radiological abnormalities in areas other than the middle carpal joint. </w:t>
      </w:r>
    </w:p>
    <w:p w14:paraId="4E04065E" w14:textId="77777777" w:rsidR="00B80CE5" w:rsidRPr="00F01411" w:rsidRDefault="00B80CE5" w:rsidP="003232A4">
      <w:pPr>
        <w:pStyle w:val="NormalWeb"/>
        <w:spacing w:line="480" w:lineRule="auto"/>
        <w:rPr>
          <w:rFonts w:ascii="Calibri" w:hAnsi="Calibri" w:cs="Calibri"/>
        </w:rPr>
      </w:pPr>
    </w:p>
    <w:p w14:paraId="4984E1F5" w14:textId="5814FFB1" w:rsidR="00315638" w:rsidRPr="00F01411" w:rsidRDefault="00FF719C" w:rsidP="003232A4">
      <w:pPr>
        <w:spacing w:line="480" w:lineRule="auto"/>
        <w:rPr>
          <w:rFonts w:ascii="Calibri" w:hAnsi="Calibri" w:cs="Calibri"/>
          <w:b/>
          <w:sz w:val="22"/>
        </w:rPr>
      </w:pPr>
      <w:r w:rsidRPr="00F01411">
        <w:rPr>
          <w:rFonts w:ascii="Calibri" w:hAnsi="Calibri" w:cs="Calibri"/>
          <w:b/>
          <w:sz w:val="22"/>
        </w:rPr>
        <w:t xml:space="preserve">2.3 </w:t>
      </w:r>
      <w:r w:rsidR="00F45D92" w:rsidRPr="00F01411">
        <w:rPr>
          <w:rFonts w:ascii="Calibri" w:hAnsi="Calibri" w:cs="Calibri"/>
          <w:b/>
          <w:sz w:val="22"/>
        </w:rPr>
        <w:t>Group allocation and blinding</w:t>
      </w:r>
    </w:p>
    <w:p w14:paraId="09DD46A7" w14:textId="4DC74CEB" w:rsidR="005C2082" w:rsidRPr="00F01411" w:rsidRDefault="00F45D92" w:rsidP="003232A4">
      <w:pPr>
        <w:spacing w:line="480" w:lineRule="auto"/>
        <w:rPr>
          <w:rFonts w:ascii="Calibri" w:hAnsi="Calibri" w:cs="Calibri"/>
          <w:sz w:val="22"/>
        </w:rPr>
      </w:pPr>
      <w:r w:rsidRPr="00F01411">
        <w:rPr>
          <w:rFonts w:ascii="Calibri" w:hAnsi="Calibri" w:cs="Calibri"/>
          <w:sz w:val="22"/>
        </w:rPr>
        <w:t xml:space="preserve">Horses were allocated </w:t>
      </w:r>
      <w:r w:rsidR="00375909" w:rsidRPr="00F01411">
        <w:rPr>
          <w:rFonts w:ascii="Calibri" w:hAnsi="Calibri" w:cs="Calibri"/>
          <w:sz w:val="22"/>
        </w:rPr>
        <w:t xml:space="preserve">into </w:t>
      </w:r>
      <w:r w:rsidR="00727244">
        <w:rPr>
          <w:rFonts w:ascii="Calibri" w:hAnsi="Calibri" w:cs="Calibri"/>
          <w:sz w:val="22"/>
        </w:rPr>
        <w:t xml:space="preserve">the </w:t>
      </w:r>
      <w:r w:rsidR="00375909" w:rsidRPr="00F01411">
        <w:rPr>
          <w:rFonts w:ascii="Calibri" w:hAnsi="Calibri" w:cs="Calibri"/>
          <w:sz w:val="22"/>
        </w:rPr>
        <w:t xml:space="preserve">three </w:t>
      </w:r>
      <w:r w:rsidR="00980EFF" w:rsidRPr="00F01411">
        <w:rPr>
          <w:rFonts w:ascii="Calibri" w:hAnsi="Calibri" w:cs="Calibri"/>
          <w:sz w:val="22"/>
        </w:rPr>
        <w:t>treatment</w:t>
      </w:r>
      <w:r w:rsidR="0064165F" w:rsidRPr="00F01411">
        <w:rPr>
          <w:rFonts w:ascii="Calibri" w:hAnsi="Calibri" w:cs="Calibri"/>
          <w:sz w:val="22"/>
        </w:rPr>
        <w:t xml:space="preserve"> </w:t>
      </w:r>
      <w:r w:rsidR="00375909" w:rsidRPr="00F01411">
        <w:rPr>
          <w:rFonts w:ascii="Calibri" w:hAnsi="Calibri" w:cs="Calibri"/>
          <w:sz w:val="22"/>
        </w:rPr>
        <w:t xml:space="preserve">groups </w:t>
      </w:r>
      <w:r w:rsidR="00727244">
        <w:rPr>
          <w:rFonts w:ascii="Calibri" w:hAnsi="Calibri" w:cs="Calibri"/>
          <w:sz w:val="22"/>
        </w:rPr>
        <w:t>in</w:t>
      </w:r>
      <w:r w:rsidR="00727244" w:rsidRPr="00F01411">
        <w:rPr>
          <w:rFonts w:ascii="Calibri" w:hAnsi="Calibri" w:cs="Calibri"/>
          <w:sz w:val="22"/>
        </w:rPr>
        <w:t xml:space="preserve"> </w:t>
      </w:r>
      <w:r w:rsidR="00727244">
        <w:rPr>
          <w:rFonts w:ascii="Calibri" w:hAnsi="Calibri" w:cs="Calibri"/>
          <w:sz w:val="22"/>
        </w:rPr>
        <w:t xml:space="preserve">sequence of </w:t>
      </w:r>
      <w:r w:rsidRPr="00F01411">
        <w:rPr>
          <w:rFonts w:ascii="Calibri" w:hAnsi="Calibri" w:cs="Calibri"/>
          <w:sz w:val="22"/>
        </w:rPr>
        <w:t xml:space="preserve">enrolment by </w:t>
      </w:r>
      <w:r w:rsidR="002714AF" w:rsidRPr="00F01411">
        <w:rPr>
          <w:rFonts w:ascii="Calibri" w:hAnsi="Calibri" w:cs="Calibri"/>
          <w:sz w:val="22"/>
        </w:rPr>
        <w:t>a</w:t>
      </w:r>
      <w:r w:rsidRPr="00F01411">
        <w:rPr>
          <w:rFonts w:ascii="Calibri" w:hAnsi="Calibri" w:cs="Calibri"/>
          <w:sz w:val="22"/>
        </w:rPr>
        <w:t xml:space="preserve"> </w:t>
      </w:r>
      <w:r w:rsidR="00AD56B1" w:rsidRPr="00F01411">
        <w:rPr>
          <w:rFonts w:ascii="Calibri" w:hAnsi="Calibri" w:cs="Calibri"/>
          <w:sz w:val="22"/>
        </w:rPr>
        <w:t>computer-generated</w:t>
      </w:r>
      <w:r w:rsidR="00040E54" w:rsidRPr="00F01411">
        <w:rPr>
          <w:rFonts w:ascii="Calibri" w:hAnsi="Calibri" w:cs="Calibri"/>
          <w:sz w:val="22"/>
        </w:rPr>
        <w:t xml:space="preserve"> random sequenc</w:t>
      </w:r>
      <w:r w:rsidR="00375909" w:rsidRPr="00F01411">
        <w:rPr>
          <w:rFonts w:ascii="Calibri" w:hAnsi="Calibri" w:cs="Calibri"/>
          <w:sz w:val="22"/>
        </w:rPr>
        <w:t>e table</w:t>
      </w:r>
      <w:r w:rsidR="00727244">
        <w:rPr>
          <w:rFonts w:ascii="Calibri" w:hAnsi="Calibri" w:cs="Calibri"/>
          <w:sz w:val="22"/>
        </w:rPr>
        <w:t xml:space="preserve">. </w:t>
      </w:r>
      <w:r w:rsidR="00B80CE5" w:rsidRPr="00F01411">
        <w:rPr>
          <w:rFonts w:ascii="Calibri" w:hAnsi="Calibri" w:cs="Calibri"/>
          <w:sz w:val="22"/>
          <w:szCs w:val="22"/>
          <w:lang w:eastAsia="fr-FR"/>
        </w:rPr>
        <w:t xml:space="preserve">The trainer was blinded to the treatment groups. </w:t>
      </w:r>
      <w:r w:rsidR="00040E54" w:rsidRPr="00F01411">
        <w:rPr>
          <w:rFonts w:ascii="Calibri" w:hAnsi="Calibri" w:cs="Calibri"/>
          <w:sz w:val="22"/>
        </w:rPr>
        <w:t xml:space="preserve">The examining veterinarian performed the initial assessment and all repeat examinations </w:t>
      </w:r>
      <w:r w:rsidR="00727244">
        <w:rPr>
          <w:rFonts w:ascii="Calibri" w:hAnsi="Calibri" w:cs="Calibri"/>
          <w:sz w:val="22"/>
        </w:rPr>
        <w:t>and was</w:t>
      </w:r>
      <w:r w:rsidR="00727244" w:rsidRPr="00F01411">
        <w:rPr>
          <w:rFonts w:ascii="Calibri" w:hAnsi="Calibri" w:cs="Calibri"/>
          <w:sz w:val="22"/>
        </w:rPr>
        <w:t xml:space="preserve"> </w:t>
      </w:r>
      <w:r w:rsidR="00375909" w:rsidRPr="00F01411">
        <w:rPr>
          <w:rFonts w:ascii="Calibri" w:hAnsi="Calibri" w:cs="Calibri"/>
          <w:sz w:val="22"/>
        </w:rPr>
        <w:t>un</w:t>
      </w:r>
      <w:r w:rsidR="00040E54" w:rsidRPr="00F01411">
        <w:rPr>
          <w:rFonts w:ascii="Calibri" w:hAnsi="Calibri" w:cs="Calibri"/>
          <w:sz w:val="22"/>
        </w:rPr>
        <w:t>aware of</w:t>
      </w:r>
      <w:r w:rsidR="00482FDB" w:rsidRPr="00F01411">
        <w:rPr>
          <w:rFonts w:ascii="Calibri" w:hAnsi="Calibri" w:cs="Calibri"/>
          <w:sz w:val="22"/>
        </w:rPr>
        <w:t xml:space="preserve"> </w:t>
      </w:r>
      <w:r w:rsidR="00CF7E07" w:rsidRPr="00F01411">
        <w:rPr>
          <w:rFonts w:ascii="Calibri" w:hAnsi="Calibri" w:cs="Calibri"/>
          <w:sz w:val="22"/>
        </w:rPr>
        <w:t xml:space="preserve">horse’s name, </w:t>
      </w:r>
      <w:r w:rsidR="00040E54" w:rsidRPr="00F01411">
        <w:rPr>
          <w:rFonts w:ascii="Calibri" w:hAnsi="Calibri" w:cs="Calibri"/>
          <w:sz w:val="22"/>
        </w:rPr>
        <w:t>trea</w:t>
      </w:r>
      <w:r w:rsidR="00F43AF1" w:rsidRPr="00F01411">
        <w:rPr>
          <w:rFonts w:ascii="Calibri" w:hAnsi="Calibri" w:cs="Calibri"/>
          <w:sz w:val="22"/>
        </w:rPr>
        <w:t>tment,</w:t>
      </w:r>
      <w:r w:rsidR="00040E54" w:rsidRPr="00F01411">
        <w:rPr>
          <w:rFonts w:ascii="Calibri" w:hAnsi="Calibri" w:cs="Calibri"/>
          <w:sz w:val="22"/>
        </w:rPr>
        <w:t xml:space="preserve"> </w:t>
      </w:r>
      <w:r w:rsidR="00F43AF1" w:rsidRPr="00F01411">
        <w:rPr>
          <w:rFonts w:ascii="Calibri" w:hAnsi="Calibri" w:cs="Calibri"/>
          <w:sz w:val="22"/>
        </w:rPr>
        <w:t>or previous findings</w:t>
      </w:r>
      <w:r w:rsidR="00040E54" w:rsidRPr="00F01411">
        <w:rPr>
          <w:rFonts w:ascii="Calibri" w:hAnsi="Calibri" w:cs="Calibri"/>
          <w:sz w:val="22"/>
        </w:rPr>
        <w:t xml:space="preserve">. </w:t>
      </w:r>
      <w:r w:rsidR="00BE7E8B" w:rsidRPr="00F01411">
        <w:rPr>
          <w:rFonts w:ascii="Calibri" w:hAnsi="Calibri" w:cs="Calibri"/>
          <w:sz w:val="22"/>
        </w:rPr>
        <w:t>The treating</w:t>
      </w:r>
      <w:r w:rsidR="00375909" w:rsidRPr="00F01411">
        <w:rPr>
          <w:rFonts w:ascii="Calibri" w:hAnsi="Calibri" w:cs="Calibri"/>
          <w:sz w:val="22"/>
        </w:rPr>
        <w:t xml:space="preserve"> veterinarian</w:t>
      </w:r>
      <w:r w:rsidR="007C6533" w:rsidRPr="00F01411">
        <w:rPr>
          <w:rFonts w:ascii="Calibri" w:hAnsi="Calibri" w:cs="Calibri"/>
          <w:sz w:val="22"/>
        </w:rPr>
        <w:t>, different from the examining veterinarian,</w:t>
      </w:r>
      <w:r w:rsidR="00F43AF1" w:rsidRPr="00F01411">
        <w:rPr>
          <w:rFonts w:ascii="Calibri" w:hAnsi="Calibri" w:cs="Calibri"/>
          <w:sz w:val="22"/>
        </w:rPr>
        <w:t xml:space="preserve"> </w:t>
      </w:r>
      <w:r w:rsidR="00C261C1" w:rsidRPr="00F01411">
        <w:rPr>
          <w:rFonts w:ascii="Calibri" w:hAnsi="Calibri" w:cs="Calibri"/>
          <w:sz w:val="22"/>
        </w:rPr>
        <w:t>was presented the horse on the day</w:t>
      </w:r>
      <w:r w:rsidR="00F43AF1" w:rsidRPr="00F01411">
        <w:rPr>
          <w:rFonts w:ascii="Calibri" w:hAnsi="Calibri" w:cs="Calibri"/>
          <w:sz w:val="22"/>
        </w:rPr>
        <w:t xml:space="preserve"> after initial assessment for</w:t>
      </w:r>
      <w:r w:rsidR="00FF2978" w:rsidRPr="00F01411">
        <w:rPr>
          <w:rFonts w:ascii="Calibri" w:hAnsi="Calibri" w:cs="Calibri"/>
          <w:sz w:val="22"/>
        </w:rPr>
        <w:t xml:space="preserve"> treatment</w:t>
      </w:r>
      <w:r w:rsidR="00F43AF1" w:rsidRPr="00F01411">
        <w:rPr>
          <w:rFonts w:ascii="Calibri" w:hAnsi="Calibri" w:cs="Calibri"/>
          <w:sz w:val="22"/>
        </w:rPr>
        <w:t>.</w:t>
      </w:r>
      <w:r w:rsidR="00140574" w:rsidRPr="00F01411">
        <w:rPr>
          <w:rFonts w:ascii="Calibri" w:hAnsi="Calibri" w:cs="Calibri"/>
          <w:sz w:val="22"/>
        </w:rPr>
        <w:t xml:space="preserve"> A</w:t>
      </w:r>
      <w:r w:rsidR="00375909" w:rsidRPr="00F01411">
        <w:rPr>
          <w:rFonts w:ascii="Calibri" w:hAnsi="Calibri" w:cs="Calibri"/>
          <w:sz w:val="22"/>
        </w:rPr>
        <w:t>n independent third party</w:t>
      </w:r>
      <w:r w:rsidR="00140574" w:rsidRPr="00F01411">
        <w:rPr>
          <w:rFonts w:ascii="Calibri" w:hAnsi="Calibri" w:cs="Calibri"/>
          <w:sz w:val="22"/>
        </w:rPr>
        <w:t xml:space="preserve"> performed all statistics in a blinded fashion</w:t>
      </w:r>
      <w:r w:rsidR="00727244">
        <w:rPr>
          <w:rFonts w:ascii="Calibri" w:hAnsi="Calibri" w:cs="Calibri"/>
          <w:sz w:val="22"/>
        </w:rPr>
        <w:t xml:space="preserve"> and the study endpoint would be determined when statistical significance was shown to exist. </w:t>
      </w:r>
    </w:p>
    <w:p w14:paraId="08EC358F" w14:textId="551ECCBA" w:rsidR="00BE7E8B" w:rsidRPr="00F01411" w:rsidRDefault="00BE7E8B" w:rsidP="003232A4">
      <w:pPr>
        <w:spacing w:line="480" w:lineRule="auto"/>
        <w:rPr>
          <w:rFonts w:ascii="Calibri" w:hAnsi="Calibri" w:cs="Calibri"/>
          <w:sz w:val="22"/>
        </w:rPr>
      </w:pPr>
    </w:p>
    <w:p w14:paraId="68CF6DF6" w14:textId="6398C8FE" w:rsidR="00315638" w:rsidRPr="00F01411" w:rsidRDefault="00FF719C" w:rsidP="003232A4">
      <w:pPr>
        <w:spacing w:line="480" w:lineRule="auto"/>
        <w:outlineLvl w:val="0"/>
        <w:rPr>
          <w:rFonts w:ascii="Calibri" w:hAnsi="Calibri" w:cs="Calibri"/>
          <w:b/>
          <w:sz w:val="22"/>
        </w:rPr>
      </w:pPr>
      <w:r w:rsidRPr="00F01411">
        <w:rPr>
          <w:rFonts w:ascii="Calibri" w:hAnsi="Calibri" w:cs="Calibri"/>
          <w:b/>
          <w:sz w:val="22"/>
        </w:rPr>
        <w:t xml:space="preserve">2.4 </w:t>
      </w:r>
      <w:r w:rsidR="00F45D92" w:rsidRPr="00F01411">
        <w:rPr>
          <w:rFonts w:ascii="Calibri" w:hAnsi="Calibri" w:cs="Calibri"/>
          <w:b/>
          <w:sz w:val="22"/>
        </w:rPr>
        <w:t>Treatment</w:t>
      </w:r>
    </w:p>
    <w:p w14:paraId="78BA6D5A" w14:textId="6A8F8444" w:rsidR="0084719F" w:rsidRPr="00F01411" w:rsidRDefault="00F45D92" w:rsidP="003232A4">
      <w:pPr>
        <w:spacing w:line="480" w:lineRule="auto"/>
        <w:rPr>
          <w:rFonts w:ascii="Calibri" w:hAnsi="Calibri" w:cs="Calibri"/>
          <w:sz w:val="22"/>
        </w:rPr>
      </w:pPr>
      <w:r w:rsidRPr="00F01411">
        <w:rPr>
          <w:rFonts w:ascii="Calibri" w:hAnsi="Calibri" w:cs="Calibri"/>
          <w:sz w:val="22"/>
        </w:rPr>
        <w:t>The treating veterinarian administered one of three</w:t>
      </w:r>
      <w:r w:rsidR="00C261C1" w:rsidRPr="00F01411">
        <w:rPr>
          <w:rFonts w:ascii="Calibri" w:hAnsi="Calibri" w:cs="Calibri"/>
          <w:sz w:val="22"/>
        </w:rPr>
        <w:t xml:space="preserve"> treat</w:t>
      </w:r>
      <w:r w:rsidR="002714AF" w:rsidRPr="00F01411">
        <w:rPr>
          <w:rFonts w:ascii="Calibri" w:hAnsi="Calibri" w:cs="Calibri"/>
          <w:sz w:val="22"/>
        </w:rPr>
        <w:t xml:space="preserve">ments in the </w:t>
      </w:r>
      <w:r w:rsidR="002C7285" w:rsidRPr="00F01411">
        <w:rPr>
          <w:rFonts w:ascii="Calibri" w:hAnsi="Calibri" w:cs="Calibri"/>
          <w:sz w:val="22"/>
        </w:rPr>
        <w:t xml:space="preserve">middle </w:t>
      </w:r>
      <w:r w:rsidR="002714AF" w:rsidRPr="00F01411">
        <w:rPr>
          <w:rFonts w:ascii="Calibri" w:hAnsi="Calibri" w:cs="Calibri"/>
          <w:sz w:val="22"/>
        </w:rPr>
        <w:t>carpal joint</w:t>
      </w:r>
      <w:r w:rsidR="00C261C1" w:rsidRPr="00F01411">
        <w:rPr>
          <w:rFonts w:ascii="Calibri" w:hAnsi="Calibri" w:cs="Calibri"/>
          <w:sz w:val="22"/>
        </w:rPr>
        <w:t xml:space="preserve">; </w:t>
      </w:r>
      <w:r w:rsidR="004122D4" w:rsidRPr="00F01411">
        <w:rPr>
          <w:rFonts w:ascii="Calibri" w:hAnsi="Calibri" w:cs="Calibri"/>
          <w:sz w:val="22"/>
        </w:rPr>
        <w:t>50mg</w:t>
      </w:r>
      <w:r w:rsidR="00EB4CC6" w:rsidRPr="00F01411">
        <w:rPr>
          <w:rFonts w:ascii="Calibri" w:hAnsi="Calibri" w:cs="Calibri"/>
          <w:sz w:val="22"/>
        </w:rPr>
        <w:t xml:space="preserve"> (2mls)</w:t>
      </w:r>
      <w:r w:rsidR="004122D4" w:rsidRPr="00F01411">
        <w:rPr>
          <w:rFonts w:ascii="Calibri" w:hAnsi="Calibri" w:cs="Calibri"/>
          <w:sz w:val="22"/>
        </w:rPr>
        <w:t xml:space="preserve"> </w:t>
      </w:r>
      <w:r w:rsidR="00C261C1" w:rsidRPr="00F01411">
        <w:rPr>
          <w:rFonts w:ascii="Calibri" w:hAnsi="Calibri" w:cs="Calibri"/>
          <w:sz w:val="22"/>
        </w:rPr>
        <w:t xml:space="preserve">of </w:t>
      </w:r>
      <w:r w:rsidR="00A65B89" w:rsidRPr="00F01411">
        <w:rPr>
          <w:rFonts w:ascii="Calibri" w:hAnsi="Calibri" w:cs="Calibri"/>
          <w:sz w:val="22"/>
        </w:rPr>
        <w:t xml:space="preserve">2.5% </w:t>
      </w:r>
      <w:r w:rsidRPr="00F01411">
        <w:rPr>
          <w:rFonts w:ascii="Calibri" w:hAnsi="Calibri" w:cs="Calibri"/>
          <w:sz w:val="22"/>
        </w:rPr>
        <w:t>PAAG</w:t>
      </w:r>
      <w:r w:rsidR="0086222E" w:rsidRPr="00F01411">
        <w:rPr>
          <w:rFonts w:ascii="Calibri" w:hAnsi="Calibri" w:cs="Calibri"/>
          <w:sz w:val="22"/>
        </w:rPr>
        <w:t xml:space="preserve"> </w:t>
      </w:r>
      <w:r w:rsidR="00DB26C2" w:rsidRPr="00F01411">
        <w:rPr>
          <w:rFonts w:ascii="Calibri" w:hAnsi="Calibri" w:cs="Calibri"/>
          <w:sz w:val="22"/>
        </w:rPr>
        <w:t>(Arthramid® Vet)</w:t>
      </w:r>
      <w:r w:rsidR="00F20769" w:rsidRPr="00F01411">
        <w:rPr>
          <w:rFonts w:ascii="Calibri" w:hAnsi="Calibri" w:cs="Calibri"/>
          <w:sz w:val="22"/>
          <w:vertAlign w:val="superscript"/>
        </w:rPr>
        <w:t>2</w:t>
      </w:r>
      <w:r w:rsidRPr="00F01411">
        <w:rPr>
          <w:rFonts w:ascii="Calibri" w:hAnsi="Calibri" w:cs="Calibri"/>
          <w:sz w:val="22"/>
        </w:rPr>
        <w:t xml:space="preserve">, 12mg </w:t>
      </w:r>
      <w:r w:rsidR="00EB4CC6" w:rsidRPr="00F01411">
        <w:rPr>
          <w:rFonts w:ascii="Calibri" w:hAnsi="Calibri" w:cs="Calibri"/>
          <w:sz w:val="22"/>
        </w:rPr>
        <w:t xml:space="preserve">(2mls) </w:t>
      </w:r>
      <w:r w:rsidRPr="00F01411">
        <w:rPr>
          <w:rFonts w:ascii="Calibri" w:hAnsi="Calibri" w:cs="Calibri"/>
          <w:sz w:val="22"/>
        </w:rPr>
        <w:t>of triamcinolone acetonide (TA)</w:t>
      </w:r>
      <w:r w:rsidR="00DB26C2" w:rsidRPr="00F01411">
        <w:rPr>
          <w:rFonts w:ascii="Calibri" w:hAnsi="Calibri" w:cs="Calibri"/>
          <w:sz w:val="22"/>
        </w:rPr>
        <w:t xml:space="preserve"> (</w:t>
      </w:r>
      <w:proofErr w:type="spellStart"/>
      <w:r w:rsidR="00DB26C2" w:rsidRPr="00F01411">
        <w:rPr>
          <w:rFonts w:ascii="Calibri" w:hAnsi="Calibri" w:cs="Calibri"/>
          <w:sz w:val="22"/>
        </w:rPr>
        <w:t>Triamolone</w:t>
      </w:r>
      <w:proofErr w:type="spellEnd"/>
      <w:r w:rsidR="00DB26C2" w:rsidRPr="00F01411">
        <w:rPr>
          <w:rFonts w:ascii="Calibri" w:hAnsi="Calibri" w:cs="Calibri"/>
          <w:sz w:val="22"/>
        </w:rPr>
        <w:t>-Forte</w:t>
      </w:r>
      <w:r w:rsidR="00DB26C2" w:rsidRPr="00F01411">
        <w:rPr>
          <w:rFonts w:ascii="Calibri" w:hAnsi="Calibri" w:cs="Calibri"/>
          <w:sz w:val="22"/>
        </w:rPr>
        <w:sym w:font="Symbol" w:char="F0E2"/>
      </w:r>
      <w:r w:rsidR="00DB26C2" w:rsidRPr="00F01411">
        <w:rPr>
          <w:rFonts w:ascii="Calibri" w:hAnsi="Calibri" w:cs="Calibri"/>
          <w:sz w:val="22"/>
        </w:rPr>
        <w:t>)</w:t>
      </w:r>
      <w:r w:rsidR="00F20769" w:rsidRPr="00F01411">
        <w:rPr>
          <w:rFonts w:ascii="Calibri" w:hAnsi="Calibri" w:cs="Calibri"/>
          <w:sz w:val="22"/>
          <w:vertAlign w:val="superscript"/>
        </w:rPr>
        <w:t xml:space="preserve">3 </w:t>
      </w:r>
      <w:r w:rsidRPr="00F01411">
        <w:rPr>
          <w:rFonts w:ascii="Calibri" w:hAnsi="Calibri" w:cs="Calibri"/>
          <w:sz w:val="22"/>
        </w:rPr>
        <w:t>or 20mg</w:t>
      </w:r>
      <w:r w:rsidR="00EB4CC6" w:rsidRPr="00F01411">
        <w:rPr>
          <w:rFonts w:ascii="Calibri" w:hAnsi="Calibri" w:cs="Calibri"/>
          <w:sz w:val="22"/>
        </w:rPr>
        <w:t xml:space="preserve"> (2mls)</w:t>
      </w:r>
      <w:r w:rsidRPr="00F01411">
        <w:rPr>
          <w:rFonts w:ascii="Calibri" w:hAnsi="Calibri" w:cs="Calibri"/>
          <w:sz w:val="22"/>
        </w:rPr>
        <w:t xml:space="preserve"> of sodium hyalurona</w:t>
      </w:r>
      <w:r w:rsidR="00727244">
        <w:rPr>
          <w:rFonts w:ascii="Calibri" w:hAnsi="Calibri" w:cs="Calibri"/>
          <w:sz w:val="22"/>
        </w:rPr>
        <w:t>te</w:t>
      </w:r>
      <w:r w:rsidRPr="00F01411">
        <w:rPr>
          <w:rFonts w:ascii="Calibri" w:hAnsi="Calibri" w:cs="Calibri"/>
          <w:sz w:val="22"/>
        </w:rPr>
        <w:t xml:space="preserve"> (HA)</w:t>
      </w:r>
      <w:r w:rsidR="00DB26C2" w:rsidRPr="00F01411">
        <w:rPr>
          <w:rFonts w:ascii="Calibri" w:hAnsi="Calibri" w:cs="Calibri"/>
          <w:sz w:val="22"/>
        </w:rPr>
        <w:t xml:space="preserve"> (</w:t>
      </w:r>
      <w:proofErr w:type="spellStart"/>
      <w:r w:rsidR="00DB26C2" w:rsidRPr="00F01411">
        <w:rPr>
          <w:rFonts w:ascii="Calibri" w:hAnsi="Calibri" w:cs="Calibri"/>
          <w:sz w:val="22"/>
        </w:rPr>
        <w:t>Hyonate</w:t>
      </w:r>
      <w:proofErr w:type="spellEnd"/>
      <w:r w:rsidR="00DB26C2" w:rsidRPr="00F01411">
        <w:rPr>
          <w:rFonts w:ascii="Calibri" w:hAnsi="Calibri" w:cs="Calibri"/>
          <w:sz w:val="22"/>
        </w:rPr>
        <w:sym w:font="Symbol" w:char="F0E2"/>
      </w:r>
      <w:r w:rsidR="00DB26C2" w:rsidRPr="00F01411">
        <w:rPr>
          <w:rFonts w:ascii="Calibri" w:hAnsi="Calibri" w:cs="Calibri"/>
          <w:sz w:val="22"/>
        </w:rPr>
        <w:t>)</w:t>
      </w:r>
      <w:r w:rsidR="00F20769" w:rsidRPr="00F01411">
        <w:rPr>
          <w:rFonts w:ascii="Calibri" w:hAnsi="Calibri" w:cs="Calibri"/>
          <w:sz w:val="22"/>
          <w:vertAlign w:val="superscript"/>
        </w:rPr>
        <w:t>4</w:t>
      </w:r>
      <w:r w:rsidR="00A65B89" w:rsidRPr="00F01411">
        <w:rPr>
          <w:rFonts w:ascii="Calibri" w:hAnsi="Calibri" w:cs="Calibri"/>
          <w:sz w:val="22"/>
        </w:rPr>
        <w:t xml:space="preserve"> (</w:t>
      </w:r>
      <w:r w:rsidRPr="00F01411">
        <w:rPr>
          <w:rFonts w:ascii="Calibri" w:hAnsi="Calibri" w:cs="Calibri"/>
          <w:sz w:val="22"/>
        </w:rPr>
        <w:t>with two fur</w:t>
      </w:r>
      <w:r w:rsidR="00396758" w:rsidRPr="00F01411">
        <w:rPr>
          <w:rFonts w:ascii="Calibri" w:hAnsi="Calibri" w:cs="Calibri"/>
          <w:sz w:val="22"/>
        </w:rPr>
        <w:t>ther intravenous injections of 4</w:t>
      </w:r>
      <w:r w:rsidRPr="00F01411">
        <w:rPr>
          <w:rFonts w:ascii="Calibri" w:hAnsi="Calibri" w:cs="Calibri"/>
          <w:sz w:val="22"/>
        </w:rPr>
        <w:t xml:space="preserve">0mg </w:t>
      </w:r>
      <w:r w:rsidR="00A25150" w:rsidRPr="00F01411">
        <w:rPr>
          <w:rFonts w:ascii="Calibri" w:hAnsi="Calibri" w:cs="Calibri"/>
          <w:sz w:val="22"/>
        </w:rPr>
        <w:t xml:space="preserve">(4mls) </w:t>
      </w:r>
      <w:r w:rsidRPr="00F01411">
        <w:rPr>
          <w:rFonts w:ascii="Calibri" w:hAnsi="Calibri" w:cs="Calibri"/>
          <w:sz w:val="22"/>
        </w:rPr>
        <w:t xml:space="preserve">at </w:t>
      </w:r>
      <w:r w:rsidR="00FA2018" w:rsidRPr="00F01411">
        <w:rPr>
          <w:rFonts w:ascii="Calibri" w:hAnsi="Calibri" w:cs="Calibri"/>
          <w:sz w:val="22"/>
        </w:rPr>
        <w:t>weekly</w:t>
      </w:r>
      <w:r w:rsidRPr="00F01411">
        <w:rPr>
          <w:rFonts w:ascii="Calibri" w:hAnsi="Calibri" w:cs="Calibri"/>
          <w:sz w:val="22"/>
        </w:rPr>
        <w:t xml:space="preserve"> interval</w:t>
      </w:r>
      <w:r w:rsidR="00A65B89" w:rsidRPr="00F01411">
        <w:rPr>
          <w:rFonts w:ascii="Calibri" w:hAnsi="Calibri" w:cs="Calibri"/>
          <w:sz w:val="22"/>
        </w:rPr>
        <w:t>s</w:t>
      </w:r>
      <w:r w:rsidR="00727244">
        <w:rPr>
          <w:rFonts w:ascii="Calibri" w:hAnsi="Calibri" w:cs="Calibri"/>
          <w:sz w:val="22"/>
        </w:rPr>
        <w:t xml:space="preserve"> in the HA group only</w:t>
      </w:r>
      <w:r w:rsidR="00A65B89" w:rsidRPr="00F01411">
        <w:rPr>
          <w:rFonts w:ascii="Calibri" w:hAnsi="Calibri" w:cs="Calibri"/>
          <w:sz w:val="22"/>
        </w:rPr>
        <w:t>).</w:t>
      </w:r>
      <w:r w:rsidR="006915BF" w:rsidRPr="00F01411">
        <w:rPr>
          <w:rFonts w:ascii="Calibri" w:hAnsi="Calibri" w:cs="Calibri"/>
          <w:sz w:val="22"/>
        </w:rPr>
        <w:t xml:space="preserve"> </w:t>
      </w:r>
    </w:p>
    <w:p w14:paraId="2302009F" w14:textId="77777777" w:rsidR="00900674" w:rsidRPr="00F01411" w:rsidRDefault="00900674" w:rsidP="003232A4">
      <w:pPr>
        <w:spacing w:line="480" w:lineRule="auto"/>
        <w:rPr>
          <w:rFonts w:ascii="Calibri" w:hAnsi="Calibri" w:cs="Calibri"/>
          <w:b/>
          <w:sz w:val="22"/>
        </w:rPr>
      </w:pPr>
    </w:p>
    <w:p w14:paraId="1EDE8F08" w14:textId="413867CC" w:rsidR="00315638" w:rsidRPr="00F01411" w:rsidRDefault="00FF719C" w:rsidP="003232A4">
      <w:pPr>
        <w:spacing w:line="480" w:lineRule="auto"/>
        <w:outlineLvl w:val="0"/>
        <w:rPr>
          <w:rFonts w:ascii="Calibri" w:hAnsi="Calibri" w:cs="Calibri"/>
          <w:b/>
          <w:sz w:val="22"/>
        </w:rPr>
      </w:pPr>
      <w:r w:rsidRPr="00F01411">
        <w:rPr>
          <w:rFonts w:ascii="Calibri" w:hAnsi="Calibri" w:cs="Calibri"/>
          <w:b/>
          <w:sz w:val="22"/>
        </w:rPr>
        <w:t xml:space="preserve">2.5 </w:t>
      </w:r>
      <w:r w:rsidR="00F45D92" w:rsidRPr="00F01411">
        <w:rPr>
          <w:rFonts w:ascii="Calibri" w:hAnsi="Calibri" w:cs="Calibri"/>
          <w:b/>
          <w:sz w:val="22"/>
        </w:rPr>
        <w:t>Repeat examinations</w:t>
      </w:r>
    </w:p>
    <w:p w14:paraId="5B21F361" w14:textId="540827F4" w:rsidR="003B5574" w:rsidRPr="00F01411" w:rsidRDefault="00F45D92" w:rsidP="003232A4">
      <w:pPr>
        <w:spacing w:line="480" w:lineRule="auto"/>
        <w:rPr>
          <w:rFonts w:ascii="Calibri" w:hAnsi="Calibri" w:cs="Calibri"/>
          <w:sz w:val="22"/>
          <w:szCs w:val="22"/>
        </w:rPr>
      </w:pPr>
      <w:r w:rsidRPr="00F01411">
        <w:rPr>
          <w:rFonts w:ascii="Calibri" w:hAnsi="Calibri" w:cs="Calibri"/>
          <w:sz w:val="22"/>
          <w:szCs w:val="22"/>
        </w:rPr>
        <w:t>Repeat examinations</w:t>
      </w:r>
      <w:r w:rsidR="00900674" w:rsidRPr="00F01411">
        <w:rPr>
          <w:rFonts w:ascii="Calibri" w:hAnsi="Calibri" w:cs="Calibri"/>
          <w:sz w:val="22"/>
          <w:szCs w:val="22"/>
        </w:rPr>
        <w:t xml:space="preserve"> were performed </w:t>
      </w:r>
      <w:r w:rsidR="00F32FE4" w:rsidRPr="00F01411">
        <w:rPr>
          <w:rFonts w:ascii="Calibri" w:hAnsi="Calibri" w:cs="Calibri"/>
          <w:sz w:val="22"/>
          <w:szCs w:val="22"/>
        </w:rPr>
        <w:t>on</w:t>
      </w:r>
      <w:r w:rsidR="005A63EB" w:rsidRPr="00F01411">
        <w:rPr>
          <w:rFonts w:ascii="Calibri" w:hAnsi="Calibri" w:cs="Calibri"/>
          <w:sz w:val="22"/>
          <w:szCs w:val="22"/>
        </w:rPr>
        <w:t xml:space="preserve"> weeks 2, 4 and 6</w:t>
      </w:r>
      <w:r w:rsidR="000A04BA" w:rsidRPr="00F01411">
        <w:rPr>
          <w:rFonts w:ascii="Calibri" w:hAnsi="Calibri" w:cs="Calibri"/>
          <w:sz w:val="22"/>
          <w:szCs w:val="22"/>
        </w:rPr>
        <w:t xml:space="preserve"> by the </w:t>
      </w:r>
      <w:r w:rsidR="00E45D35" w:rsidRPr="00F01411">
        <w:rPr>
          <w:rFonts w:ascii="Calibri" w:hAnsi="Calibri" w:cs="Calibri"/>
          <w:sz w:val="22"/>
          <w:szCs w:val="22"/>
        </w:rPr>
        <w:t xml:space="preserve">same </w:t>
      </w:r>
      <w:r w:rsidR="000A04BA" w:rsidRPr="00F01411">
        <w:rPr>
          <w:rFonts w:ascii="Calibri" w:hAnsi="Calibri" w:cs="Calibri"/>
          <w:sz w:val="22"/>
          <w:szCs w:val="22"/>
        </w:rPr>
        <w:t>blinded examining veterinarian</w:t>
      </w:r>
      <w:r w:rsidR="005D557E" w:rsidRPr="00F01411">
        <w:rPr>
          <w:rFonts w:ascii="Calibri" w:hAnsi="Calibri" w:cs="Calibri"/>
          <w:sz w:val="22"/>
          <w:szCs w:val="22"/>
        </w:rPr>
        <w:t xml:space="preserve"> </w:t>
      </w:r>
      <w:r w:rsidR="00E45D35" w:rsidRPr="00F01411">
        <w:rPr>
          <w:rFonts w:ascii="Calibri" w:hAnsi="Calibri" w:cs="Calibri"/>
          <w:sz w:val="22"/>
          <w:szCs w:val="22"/>
        </w:rPr>
        <w:t>at the same location</w:t>
      </w:r>
      <w:r w:rsidR="00D81660" w:rsidRPr="00F01411">
        <w:rPr>
          <w:rFonts w:ascii="Calibri" w:hAnsi="Calibri" w:cs="Calibri"/>
          <w:sz w:val="22"/>
          <w:szCs w:val="22"/>
        </w:rPr>
        <w:t>,</w:t>
      </w:r>
      <w:r w:rsidR="00E45D35" w:rsidRPr="00F01411">
        <w:rPr>
          <w:rFonts w:ascii="Calibri" w:hAnsi="Calibri" w:cs="Calibri"/>
          <w:sz w:val="22"/>
          <w:szCs w:val="22"/>
        </w:rPr>
        <w:t xml:space="preserve"> on the same surface </w:t>
      </w:r>
      <w:r w:rsidR="00D81660" w:rsidRPr="00F01411">
        <w:rPr>
          <w:rFonts w:ascii="Calibri" w:hAnsi="Calibri" w:cs="Calibri"/>
          <w:sz w:val="22"/>
          <w:szCs w:val="22"/>
        </w:rPr>
        <w:t xml:space="preserve">and assessing the </w:t>
      </w:r>
      <w:r w:rsidR="00E45D35" w:rsidRPr="00F01411">
        <w:rPr>
          <w:rFonts w:ascii="Calibri" w:hAnsi="Calibri" w:cs="Calibri"/>
          <w:sz w:val="22"/>
          <w:szCs w:val="22"/>
        </w:rPr>
        <w:t xml:space="preserve">same </w:t>
      </w:r>
      <w:r w:rsidR="00D81660" w:rsidRPr="00F01411">
        <w:rPr>
          <w:rFonts w:ascii="Calibri" w:hAnsi="Calibri" w:cs="Calibri"/>
          <w:sz w:val="22"/>
          <w:szCs w:val="22"/>
        </w:rPr>
        <w:t xml:space="preserve">study </w:t>
      </w:r>
      <w:r w:rsidR="00E45D35" w:rsidRPr="00F01411">
        <w:rPr>
          <w:rFonts w:ascii="Calibri" w:hAnsi="Calibri" w:cs="Calibri"/>
          <w:sz w:val="22"/>
          <w:szCs w:val="22"/>
        </w:rPr>
        <w:t>parameters</w:t>
      </w:r>
      <w:r w:rsidR="00D81660" w:rsidRPr="00F01411">
        <w:rPr>
          <w:rFonts w:ascii="Calibri" w:hAnsi="Calibri" w:cs="Calibri"/>
          <w:sz w:val="22"/>
          <w:szCs w:val="22"/>
        </w:rPr>
        <w:t xml:space="preserve"> (lameness, joint effusion and reaction to flexion) </w:t>
      </w:r>
      <w:r w:rsidRPr="00F01411">
        <w:rPr>
          <w:rFonts w:ascii="Calibri" w:hAnsi="Calibri" w:cs="Calibri"/>
          <w:sz w:val="22"/>
          <w:szCs w:val="22"/>
        </w:rPr>
        <w:t xml:space="preserve">for all groups </w:t>
      </w:r>
      <w:r w:rsidR="005D557E" w:rsidRPr="00F01411">
        <w:rPr>
          <w:rFonts w:ascii="Calibri" w:hAnsi="Calibri" w:cs="Calibri"/>
          <w:sz w:val="22"/>
          <w:szCs w:val="22"/>
        </w:rPr>
        <w:t>and</w:t>
      </w:r>
      <w:r w:rsidR="00E45D35" w:rsidRPr="00F01411">
        <w:rPr>
          <w:rFonts w:ascii="Calibri" w:hAnsi="Calibri" w:cs="Calibri"/>
          <w:sz w:val="22"/>
          <w:szCs w:val="22"/>
        </w:rPr>
        <w:t>,</w:t>
      </w:r>
      <w:r w:rsidR="005D557E" w:rsidRPr="00F01411">
        <w:rPr>
          <w:rFonts w:ascii="Calibri" w:hAnsi="Calibri" w:cs="Calibri"/>
          <w:sz w:val="22"/>
          <w:szCs w:val="22"/>
        </w:rPr>
        <w:t xml:space="preserve"> again at 12 weeks </w:t>
      </w:r>
      <w:r w:rsidR="00A4581C" w:rsidRPr="00F01411">
        <w:rPr>
          <w:rFonts w:ascii="Calibri" w:hAnsi="Calibri" w:cs="Calibri"/>
          <w:sz w:val="22"/>
          <w:szCs w:val="22"/>
        </w:rPr>
        <w:t>f</w:t>
      </w:r>
      <w:r w:rsidR="005D557E" w:rsidRPr="00F01411">
        <w:rPr>
          <w:rFonts w:ascii="Calibri" w:hAnsi="Calibri" w:cs="Calibri"/>
          <w:sz w:val="22"/>
          <w:szCs w:val="22"/>
        </w:rPr>
        <w:t xml:space="preserve">or the </w:t>
      </w:r>
      <w:r w:rsidR="00A65B89" w:rsidRPr="00F01411">
        <w:rPr>
          <w:rFonts w:ascii="Calibri" w:hAnsi="Calibri" w:cs="Calibri"/>
          <w:sz w:val="22"/>
          <w:szCs w:val="22"/>
        </w:rPr>
        <w:t xml:space="preserve">2.5% </w:t>
      </w:r>
      <w:r w:rsidR="00670943" w:rsidRPr="00F01411">
        <w:rPr>
          <w:rFonts w:ascii="Calibri" w:hAnsi="Calibri" w:cs="Calibri"/>
          <w:sz w:val="22"/>
          <w:szCs w:val="22"/>
        </w:rPr>
        <w:t>PAAG</w:t>
      </w:r>
      <w:r w:rsidR="00333E41" w:rsidRPr="00F01411">
        <w:rPr>
          <w:rFonts w:ascii="Calibri" w:hAnsi="Calibri" w:cs="Calibri"/>
          <w:sz w:val="22"/>
          <w:szCs w:val="22"/>
        </w:rPr>
        <w:t xml:space="preserve"> </w:t>
      </w:r>
      <w:r w:rsidR="005D557E" w:rsidRPr="00F01411">
        <w:rPr>
          <w:rFonts w:ascii="Calibri" w:hAnsi="Calibri" w:cs="Calibri"/>
          <w:sz w:val="22"/>
          <w:szCs w:val="22"/>
        </w:rPr>
        <w:t>treated group</w:t>
      </w:r>
      <w:r w:rsidRPr="00F01411">
        <w:rPr>
          <w:rFonts w:ascii="Calibri" w:hAnsi="Calibri" w:cs="Calibri"/>
          <w:sz w:val="22"/>
          <w:szCs w:val="22"/>
        </w:rPr>
        <w:t xml:space="preserve"> only</w:t>
      </w:r>
      <w:r w:rsidR="00333E41" w:rsidRPr="00F01411">
        <w:rPr>
          <w:rFonts w:ascii="Calibri" w:hAnsi="Calibri" w:cs="Calibri"/>
          <w:sz w:val="22"/>
          <w:szCs w:val="22"/>
        </w:rPr>
        <w:t>.</w:t>
      </w:r>
      <w:r w:rsidR="00B51C1B" w:rsidRPr="00F01411">
        <w:rPr>
          <w:rFonts w:ascii="Calibri" w:hAnsi="Calibri" w:cs="Calibri"/>
          <w:sz w:val="22"/>
          <w:szCs w:val="22"/>
        </w:rPr>
        <w:t xml:space="preserve"> </w:t>
      </w:r>
      <w:r w:rsidR="00D81660" w:rsidRPr="00F01411">
        <w:rPr>
          <w:rFonts w:ascii="Calibri" w:hAnsi="Calibri" w:cs="Calibri"/>
          <w:sz w:val="22"/>
          <w:szCs w:val="22"/>
        </w:rPr>
        <w:t xml:space="preserve">A maximum of 2 days separated the last fast work of a given horse and a repeat examination. </w:t>
      </w:r>
      <w:r w:rsidR="00B51C1B" w:rsidRPr="00F01411">
        <w:rPr>
          <w:rFonts w:ascii="Calibri" w:hAnsi="Calibri" w:cs="Calibri"/>
          <w:sz w:val="22"/>
          <w:szCs w:val="22"/>
        </w:rPr>
        <w:t>A summary of the experimental design is available in Figure 1.</w:t>
      </w:r>
      <w:r w:rsidR="000F0974" w:rsidRPr="00F01411">
        <w:rPr>
          <w:rFonts w:ascii="Calibri" w:hAnsi="Calibri" w:cs="Calibri"/>
          <w:sz w:val="22"/>
          <w:szCs w:val="22"/>
        </w:rPr>
        <w:t xml:space="preserve"> </w:t>
      </w:r>
    </w:p>
    <w:p w14:paraId="4082C966" w14:textId="77777777" w:rsidR="00900674" w:rsidRPr="00F01411" w:rsidRDefault="00900674" w:rsidP="003232A4">
      <w:pPr>
        <w:spacing w:line="480" w:lineRule="auto"/>
        <w:rPr>
          <w:rFonts w:ascii="Calibri" w:hAnsi="Calibri" w:cs="Calibri"/>
          <w:sz w:val="22"/>
        </w:rPr>
      </w:pPr>
    </w:p>
    <w:p w14:paraId="74751CE0" w14:textId="274ACEA9" w:rsidR="00AA2C85" w:rsidRPr="00F01411" w:rsidRDefault="00FF719C" w:rsidP="003232A4">
      <w:pPr>
        <w:spacing w:line="480" w:lineRule="auto"/>
        <w:outlineLvl w:val="0"/>
        <w:rPr>
          <w:rFonts w:ascii="Calibri" w:hAnsi="Calibri" w:cs="Calibri"/>
          <w:b/>
          <w:sz w:val="22"/>
          <w:szCs w:val="22"/>
        </w:rPr>
      </w:pPr>
      <w:r w:rsidRPr="00F01411">
        <w:rPr>
          <w:rFonts w:ascii="Calibri" w:hAnsi="Calibri" w:cs="Calibri"/>
          <w:b/>
          <w:sz w:val="22"/>
          <w:szCs w:val="22"/>
        </w:rPr>
        <w:t xml:space="preserve">2.6 </w:t>
      </w:r>
      <w:r w:rsidR="00F45D92" w:rsidRPr="00F01411">
        <w:rPr>
          <w:rFonts w:ascii="Calibri" w:hAnsi="Calibri" w:cs="Calibri"/>
          <w:b/>
          <w:sz w:val="22"/>
          <w:szCs w:val="22"/>
        </w:rPr>
        <w:t>Data analysis</w:t>
      </w:r>
    </w:p>
    <w:p w14:paraId="4BE1C0E0" w14:textId="7B686213" w:rsidR="00813BE6" w:rsidRPr="00F01411" w:rsidRDefault="00727244" w:rsidP="003232A4">
      <w:pPr>
        <w:autoSpaceDE w:val="0"/>
        <w:autoSpaceDN w:val="0"/>
        <w:adjustRightInd w:val="0"/>
        <w:spacing w:line="480" w:lineRule="auto"/>
        <w:rPr>
          <w:rFonts w:ascii="Calibri" w:hAnsi="Calibri" w:cs="Calibri"/>
          <w:sz w:val="22"/>
          <w:szCs w:val="22"/>
          <w:lang w:val="en-NZ"/>
        </w:rPr>
      </w:pPr>
      <w:r w:rsidRPr="008C05C0">
        <w:rPr>
          <w:rFonts w:ascii="Calibri" w:hAnsi="Calibri" w:cs="Calibri"/>
          <w:sz w:val="22"/>
          <w:szCs w:val="22"/>
        </w:rPr>
        <w:t>No pre-study power calculations were used, and the study was designed to compare the relative efficacy of the test product to standard joint treatments</w:t>
      </w:r>
      <w:r>
        <w:rPr>
          <w:rFonts w:ascii="Calibri" w:hAnsi="Calibri" w:cs="Calibri"/>
          <w:sz w:val="22"/>
          <w:szCs w:val="22"/>
        </w:rPr>
        <w:t xml:space="preserve"> </w:t>
      </w:r>
      <w:r w:rsidRPr="008C05C0">
        <w:rPr>
          <w:rFonts w:ascii="Calibri" w:hAnsi="Calibri" w:cs="Calibri"/>
          <w:sz w:val="22"/>
          <w:szCs w:val="22"/>
        </w:rPr>
        <w:t xml:space="preserve">(non-inferiority) and allowed for a continuation of the study until this was </w:t>
      </w:r>
      <w:r>
        <w:rPr>
          <w:rFonts w:ascii="Calibri" w:hAnsi="Calibri" w:cs="Calibri"/>
          <w:sz w:val="22"/>
          <w:szCs w:val="22"/>
        </w:rPr>
        <w:t xml:space="preserve">potentially </w:t>
      </w:r>
      <w:r w:rsidRPr="008C05C0">
        <w:rPr>
          <w:rFonts w:ascii="Calibri" w:hAnsi="Calibri" w:cs="Calibri"/>
          <w:sz w:val="22"/>
          <w:szCs w:val="22"/>
        </w:rPr>
        <w:t xml:space="preserve">achieved. </w:t>
      </w:r>
      <w:r w:rsidR="00F45D92" w:rsidRPr="00F01411">
        <w:rPr>
          <w:rFonts w:ascii="Calibri" w:hAnsi="Calibri" w:cs="Calibri"/>
          <w:sz w:val="22"/>
          <w:szCs w:val="22"/>
          <w:lang w:val="en-NZ"/>
        </w:rPr>
        <w:t>Pre-treatment (admission) scores for lameness, joint effusion</w:t>
      </w:r>
      <w:r w:rsidR="000307A2" w:rsidRPr="00F01411">
        <w:rPr>
          <w:rFonts w:ascii="Calibri" w:hAnsi="Calibri" w:cs="Calibri"/>
          <w:sz w:val="22"/>
          <w:szCs w:val="22"/>
          <w:lang w:val="en-NZ"/>
        </w:rPr>
        <w:t xml:space="preserve">, </w:t>
      </w:r>
      <w:r w:rsidR="00F45D92" w:rsidRPr="00F01411">
        <w:rPr>
          <w:rFonts w:ascii="Calibri" w:hAnsi="Calibri" w:cs="Calibri"/>
          <w:sz w:val="22"/>
          <w:szCs w:val="22"/>
          <w:lang w:val="en-NZ"/>
        </w:rPr>
        <w:t>reaction to carpal flexion</w:t>
      </w:r>
      <w:r w:rsidR="000307A2" w:rsidRPr="00F01411">
        <w:rPr>
          <w:rFonts w:ascii="Calibri" w:hAnsi="Calibri" w:cs="Calibri"/>
          <w:sz w:val="22"/>
          <w:szCs w:val="22"/>
          <w:lang w:val="en-NZ"/>
        </w:rPr>
        <w:t>, type of race the horse was trained for (</w:t>
      </w:r>
      <w:r w:rsidR="000307A2" w:rsidRPr="00F01411">
        <w:rPr>
          <w:rFonts w:ascii="Calibri" w:hAnsi="Calibri" w:cs="Calibri"/>
          <w:sz w:val="22"/>
          <w:szCs w:val="22"/>
        </w:rPr>
        <w:t xml:space="preserve">sprinters were those racing under 1600 metres, milers between 1600-2000 metres and stayers over 2000 metres) </w:t>
      </w:r>
      <w:r w:rsidR="000307A2" w:rsidRPr="00F01411">
        <w:rPr>
          <w:rFonts w:ascii="Calibri" w:hAnsi="Calibri" w:cs="Calibri"/>
          <w:sz w:val="22"/>
          <w:szCs w:val="22"/>
          <w:lang w:val="en-NZ"/>
        </w:rPr>
        <w:t>and age</w:t>
      </w:r>
      <w:r w:rsidR="00F45D92" w:rsidRPr="00F01411">
        <w:rPr>
          <w:rFonts w:ascii="Calibri" w:hAnsi="Calibri" w:cs="Calibri"/>
          <w:sz w:val="22"/>
          <w:szCs w:val="22"/>
          <w:lang w:val="en-NZ"/>
        </w:rPr>
        <w:t xml:space="preserve"> were compared between groups using non-parametric Kruskal-Wallis</w:t>
      </w:r>
      <w:r w:rsidR="009C4D09" w:rsidRPr="00F01411">
        <w:rPr>
          <w:rFonts w:ascii="Calibri" w:hAnsi="Calibri" w:cs="Calibri"/>
          <w:sz w:val="22"/>
          <w:szCs w:val="22"/>
          <w:lang w:val="en-NZ"/>
        </w:rPr>
        <w:t>,</w:t>
      </w:r>
      <w:r w:rsidR="00F45D92" w:rsidRPr="00F01411">
        <w:rPr>
          <w:rFonts w:ascii="Calibri" w:hAnsi="Calibri" w:cs="Calibri"/>
          <w:sz w:val="22"/>
          <w:szCs w:val="22"/>
          <w:lang w:val="en-NZ"/>
        </w:rPr>
        <w:t xml:space="preserve"> </w:t>
      </w:r>
      <w:r w:rsidR="009C4D09" w:rsidRPr="00F01411">
        <w:rPr>
          <w:rFonts w:ascii="Calibri" w:hAnsi="Calibri" w:cs="Calibri"/>
          <w:sz w:val="22"/>
          <w:szCs w:val="22"/>
          <w:lang w:val="en-NZ"/>
        </w:rPr>
        <w:t xml:space="preserve">Multifactor Analysis </w:t>
      </w:r>
      <w:r w:rsidR="00F45D92" w:rsidRPr="00F01411">
        <w:rPr>
          <w:rFonts w:ascii="Calibri" w:hAnsi="Calibri" w:cs="Calibri"/>
          <w:sz w:val="22"/>
          <w:szCs w:val="22"/>
          <w:lang w:val="en-NZ"/>
        </w:rPr>
        <w:t xml:space="preserve">of </w:t>
      </w:r>
      <w:r w:rsidR="009C4D09" w:rsidRPr="00F01411">
        <w:rPr>
          <w:rFonts w:ascii="Calibri" w:hAnsi="Calibri" w:cs="Calibri"/>
          <w:sz w:val="22"/>
          <w:szCs w:val="22"/>
          <w:lang w:val="en-NZ"/>
        </w:rPr>
        <w:t>V</w:t>
      </w:r>
      <w:r w:rsidR="00F45D92" w:rsidRPr="00F01411">
        <w:rPr>
          <w:rFonts w:ascii="Calibri" w:hAnsi="Calibri" w:cs="Calibri"/>
          <w:sz w:val="22"/>
          <w:szCs w:val="22"/>
          <w:lang w:val="en-NZ"/>
        </w:rPr>
        <w:t>ariance and Dunn's All Pairwise Comparison Test</w:t>
      </w:r>
      <w:r w:rsidR="000307A2" w:rsidRPr="00F01411">
        <w:rPr>
          <w:rFonts w:ascii="Calibri" w:hAnsi="Calibri" w:cs="Calibri"/>
          <w:sz w:val="22"/>
          <w:szCs w:val="22"/>
          <w:lang w:val="en-NZ"/>
        </w:rPr>
        <w:t xml:space="preserve"> to ensure there were no confounding </w:t>
      </w:r>
      <w:r>
        <w:rPr>
          <w:rFonts w:ascii="Calibri" w:hAnsi="Calibri" w:cs="Calibri"/>
          <w:sz w:val="22"/>
          <w:szCs w:val="22"/>
          <w:lang w:val="en-NZ"/>
        </w:rPr>
        <w:t>variables</w:t>
      </w:r>
      <w:r w:rsidRPr="00F01411">
        <w:rPr>
          <w:rFonts w:ascii="Calibri" w:hAnsi="Calibri" w:cs="Calibri"/>
          <w:sz w:val="22"/>
          <w:szCs w:val="22"/>
          <w:lang w:val="en-NZ"/>
        </w:rPr>
        <w:t xml:space="preserve"> </w:t>
      </w:r>
      <w:r w:rsidR="000307A2" w:rsidRPr="00F01411">
        <w:rPr>
          <w:rFonts w:ascii="Calibri" w:hAnsi="Calibri" w:cs="Calibri"/>
          <w:sz w:val="22"/>
          <w:szCs w:val="22"/>
          <w:lang w:val="en-NZ"/>
        </w:rPr>
        <w:t>between groups</w:t>
      </w:r>
      <w:r w:rsidR="009C4D09" w:rsidRPr="00F01411">
        <w:rPr>
          <w:rFonts w:ascii="Calibri" w:hAnsi="Calibri" w:cs="Calibri"/>
          <w:sz w:val="22"/>
          <w:szCs w:val="22"/>
          <w:lang w:val="en-NZ"/>
        </w:rPr>
        <w:t xml:space="preserve"> despite random allocation</w:t>
      </w:r>
      <w:r w:rsidR="00F45D92" w:rsidRPr="00F01411">
        <w:rPr>
          <w:rFonts w:ascii="Calibri" w:hAnsi="Calibri" w:cs="Calibri"/>
          <w:sz w:val="22"/>
          <w:szCs w:val="22"/>
          <w:lang w:val="en-NZ"/>
        </w:rPr>
        <w:t>. Chi-squared tests analysed radiological scores on admission</w:t>
      </w:r>
      <w:r w:rsidR="00D34A60" w:rsidRPr="00F01411">
        <w:rPr>
          <w:rFonts w:ascii="Calibri" w:hAnsi="Calibri" w:cs="Calibri"/>
          <w:sz w:val="22"/>
          <w:szCs w:val="22"/>
          <w:lang w:val="en-NZ"/>
        </w:rPr>
        <w:t xml:space="preserve">. </w:t>
      </w:r>
    </w:p>
    <w:p w14:paraId="7AA6C961" w14:textId="77777777" w:rsidR="00252F20" w:rsidRPr="00F01411" w:rsidRDefault="00252F20" w:rsidP="003232A4">
      <w:pPr>
        <w:autoSpaceDE w:val="0"/>
        <w:autoSpaceDN w:val="0"/>
        <w:adjustRightInd w:val="0"/>
        <w:spacing w:line="480" w:lineRule="auto"/>
        <w:rPr>
          <w:rFonts w:ascii="Calibri" w:hAnsi="Calibri" w:cs="Calibri"/>
          <w:sz w:val="22"/>
          <w:szCs w:val="22"/>
          <w:lang w:val="en-NZ"/>
        </w:rPr>
      </w:pPr>
    </w:p>
    <w:p w14:paraId="0D956156" w14:textId="07B19E2A" w:rsidR="004F78AE" w:rsidRPr="00F01411" w:rsidRDefault="00F45D92" w:rsidP="003232A4">
      <w:pPr>
        <w:autoSpaceDE w:val="0"/>
        <w:autoSpaceDN w:val="0"/>
        <w:adjustRightInd w:val="0"/>
        <w:spacing w:line="480" w:lineRule="auto"/>
        <w:rPr>
          <w:rFonts w:ascii="Calibri" w:hAnsi="Calibri" w:cs="Calibri"/>
          <w:sz w:val="22"/>
          <w:szCs w:val="22"/>
        </w:rPr>
      </w:pPr>
      <w:r w:rsidRPr="00F01411">
        <w:rPr>
          <w:rFonts w:ascii="Calibri" w:hAnsi="Calibri" w:cs="Calibri"/>
          <w:sz w:val="22"/>
          <w:szCs w:val="22"/>
        </w:rPr>
        <w:t xml:space="preserve">Within </w:t>
      </w:r>
      <w:r w:rsidR="00727244">
        <w:rPr>
          <w:rFonts w:ascii="Calibri" w:hAnsi="Calibri" w:cs="Calibri"/>
          <w:sz w:val="22"/>
          <w:szCs w:val="22"/>
        </w:rPr>
        <w:t xml:space="preserve">each of </w:t>
      </w:r>
      <w:r w:rsidRPr="00F01411">
        <w:rPr>
          <w:rFonts w:ascii="Calibri" w:hAnsi="Calibri" w:cs="Calibri"/>
          <w:sz w:val="22"/>
          <w:szCs w:val="22"/>
        </w:rPr>
        <w:t xml:space="preserve">the </w:t>
      </w:r>
      <w:r w:rsidR="00727244">
        <w:rPr>
          <w:rFonts w:ascii="Calibri" w:hAnsi="Calibri" w:cs="Calibri"/>
          <w:sz w:val="22"/>
          <w:szCs w:val="22"/>
        </w:rPr>
        <w:t xml:space="preserve">three </w:t>
      </w:r>
      <w:r w:rsidRPr="00F01411">
        <w:rPr>
          <w:rFonts w:ascii="Calibri" w:hAnsi="Calibri" w:cs="Calibri"/>
          <w:sz w:val="22"/>
          <w:szCs w:val="22"/>
        </w:rPr>
        <w:t xml:space="preserve">parameters (lameness, joint effusion, reaction to </w:t>
      </w:r>
      <w:r w:rsidR="00727244">
        <w:rPr>
          <w:rFonts w:ascii="Calibri" w:hAnsi="Calibri" w:cs="Calibri"/>
          <w:sz w:val="22"/>
          <w:szCs w:val="22"/>
        </w:rPr>
        <w:t xml:space="preserve">carpal </w:t>
      </w:r>
      <w:r w:rsidRPr="00F01411">
        <w:rPr>
          <w:rFonts w:ascii="Calibri" w:hAnsi="Calibri" w:cs="Calibri"/>
          <w:sz w:val="22"/>
          <w:szCs w:val="22"/>
        </w:rPr>
        <w:t>flexion) scores were reviewed over the</w:t>
      </w:r>
      <w:r w:rsidR="00583C96" w:rsidRPr="00F01411">
        <w:rPr>
          <w:rFonts w:ascii="Calibri" w:hAnsi="Calibri" w:cs="Calibri"/>
          <w:sz w:val="22"/>
          <w:szCs w:val="22"/>
        </w:rPr>
        <w:t xml:space="preserve"> three</w:t>
      </w:r>
      <w:r w:rsidRPr="00F01411">
        <w:rPr>
          <w:rFonts w:ascii="Calibri" w:hAnsi="Calibri" w:cs="Calibri"/>
          <w:sz w:val="22"/>
          <w:szCs w:val="22"/>
        </w:rPr>
        <w:t xml:space="preserve"> time points and horses allocated to 4 clinical outcomes:</w:t>
      </w:r>
      <w:r w:rsidR="00AD5950" w:rsidRPr="00F01411">
        <w:rPr>
          <w:rFonts w:ascii="Calibri" w:hAnsi="Calibri" w:cs="Calibri"/>
          <w:sz w:val="22"/>
          <w:szCs w:val="22"/>
        </w:rPr>
        <w:t xml:space="preserve"> </w:t>
      </w:r>
      <w:r w:rsidR="00A827A7" w:rsidRPr="00F01411">
        <w:rPr>
          <w:rFonts w:ascii="Calibri" w:hAnsi="Calibri" w:cs="Calibri"/>
          <w:sz w:val="22"/>
          <w:szCs w:val="22"/>
        </w:rPr>
        <w:t>‘</w:t>
      </w:r>
      <w:r w:rsidR="00C872BA" w:rsidRPr="00F01411">
        <w:rPr>
          <w:rFonts w:ascii="Calibri" w:hAnsi="Calibri" w:cs="Calibri"/>
          <w:sz w:val="22"/>
          <w:szCs w:val="22"/>
        </w:rPr>
        <w:t>Success</w:t>
      </w:r>
      <w:r w:rsidR="00A827A7" w:rsidRPr="00F01411">
        <w:rPr>
          <w:rFonts w:ascii="Calibri" w:hAnsi="Calibri" w:cs="Calibri"/>
          <w:sz w:val="22"/>
          <w:szCs w:val="22"/>
        </w:rPr>
        <w:t>’</w:t>
      </w:r>
      <w:r w:rsidR="00C872BA" w:rsidRPr="00F01411">
        <w:rPr>
          <w:rFonts w:ascii="Calibri" w:hAnsi="Calibri" w:cs="Calibri"/>
          <w:sz w:val="22"/>
          <w:szCs w:val="22"/>
        </w:rPr>
        <w:t xml:space="preserve"> was </w:t>
      </w:r>
      <w:r w:rsidR="005D557E" w:rsidRPr="00F01411">
        <w:rPr>
          <w:rFonts w:ascii="Calibri" w:hAnsi="Calibri" w:cs="Calibri"/>
          <w:sz w:val="22"/>
          <w:szCs w:val="22"/>
        </w:rPr>
        <w:t xml:space="preserve">defined </w:t>
      </w:r>
      <w:r w:rsidR="00C872BA" w:rsidRPr="00F01411">
        <w:rPr>
          <w:rFonts w:ascii="Calibri" w:hAnsi="Calibri" w:cs="Calibri"/>
          <w:sz w:val="22"/>
          <w:szCs w:val="22"/>
        </w:rPr>
        <w:t>as a complete resolutio</w:t>
      </w:r>
      <w:r w:rsidR="002C55B0" w:rsidRPr="00F01411">
        <w:rPr>
          <w:rFonts w:ascii="Calibri" w:hAnsi="Calibri" w:cs="Calibri"/>
          <w:sz w:val="22"/>
          <w:szCs w:val="22"/>
        </w:rPr>
        <w:t>n</w:t>
      </w:r>
      <w:r w:rsidR="00C872BA" w:rsidRPr="00F01411">
        <w:rPr>
          <w:rFonts w:ascii="Calibri" w:hAnsi="Calibri" w:cs="Calibri"/>
          <w:sz w:val="22"/>
          <w:szCs w:val="22"/>
        </w:rPr>
        <w:t xml:space="preserve"> of the variable</w:t>
      </w:r>
      <w:r w:rsidRPr="00F01411">
        <w:rPr>
          <w:rFonts w:ascii="Calibri" w:hAnsi="Calibri" w:cs="Calibri"/>
          <w:sz w:val="22"/>
          <w:szCs w:val="22"/>
        </w:rPr>
        <w:t xml:space="preserve"> over time</w:t>
      </w:r>
      <w:r w:rsidR="0070428B" w:rsidRPr="00F01411">
        <w:rPr>
          <w:rFonts w:ascii="Calibri" w:hAnsi="Calibri" w:cs="Calibri"/>
          <w:sz w:val="22"/>
          <w:szCs w:val="22"/>
        </w:rPr>
        <w:t xml:space="preserve"> to score 0</w:t>
      </w:r>
      <w:r w:rsidR="006915BF" w:rsidRPr="00F01411">
        <w:rPr>
          <w:rFonts w:ascii="Calibri" w:hAnsi="Calibri" w:cs="Calibri"/>
          <w:sz w:val="22"/>
          <w:szCs w:val="22"/>
        </w:rPr>
        <w:t>;</w:t>
      </w:r>
      <w:r w:rsidR="00C872BA" w:rsidRPr="00F01411">
        <w:rPr>
          <w:rFonts w:ascii="Calibri" w:hAnsi="Calibri" w:cs="Calibri"/>
          <w:sz w:val="22"/>
          <w:szCs w:val="22"/>
        </w:rPr>
        <w:t xml:space="preserve"> </w:t>
      </w:r>
      <w:r w:rsidR="00A827A7" w:rsidRPr="00F01411">
        <w:rPr>
          <w:rFonts w:ascii="Calibri" w:hAnsi="Calibri" w:cs="Calibri"/>
          <w:sz w:val="22"/>
          <w:szCs w:val="22"/>
        </w:rPr>
        <w:t>‘</w:t>
      </w:r>
      <w:r w:rsidRPr="00F01411">
        <w:rPr>
          <w:rFonts w:ascii="Calibri" w:hAnsi="Calibri" w:cs="Calibri"/>
          <w:sz w:val="22"/>
          <w:szCs w:val="22"/>
        </w:rPr>
        <w:t>N</w:t>
      </w:r>
      <w:r w:rsidR="00C872BA" w:rsidRPr="00F01411">
        <w:rPr>
          <w:rFonts w:ascii="Calibri" w:hAnsi="Calibri" w:cs="Calibri"/>
          <w:sz w:val="22"/>
          <w:szCs w:val="22"/>
        </w:rPr>
        <w:t>il</w:t>
      </w:r>
      <w:r w:rsidR="00A827A7" w:rsidRPr="00F01411">
        <w:rPr>
          <w:rFonts w:ascii="Calibri" w:hAnsi="Calibri" w:cs="Calibri"/>
          <w:sz w:val="22"/>
          <w:szCs w:val="22"/>
        </w:rPr>
        <w:t>’</w:t>
      </w:r>
      <w:r w:rsidR="00C872BA" w:rsidRPr="00F01411">
        <w:rPr>
          <w:rFonts w:ascii="Calibri" w:hAnsi="Calibri" w:cs="Calibri"/>
          <w:sz w:val="22"/>
          <w:szCs w:val="22"/>
        </w:rPr>
        <w:t xml:space="preserve"> was defined as no change from initial examination</w:t>
      </w:r>
      <w:r w:rsidR="008270A5" w:rsidRPr="00F01411">
        <w:rPr>
          <w:rFonts w:ascii="Calibri" w:hAnsi="Calibri" w:cs="Calibri"/>
          <w:sz w:val="22"/>
          <w:szCs w:val="22"/>
        </w:rPr>
        <w:t xml:space="preserve"> or some improvement but without complete resolution </w:t>
      </w:r>
      <w:r w:rsidR="00C872BA" w:rsidRPr="00F01411">
        <w:rPr>
          <w:rFonts w:ascii="Calibri" w:hAnsi="Calibri" w:cs="Calibri"/>
          <w:sz w:val="22"/>
          <w:szCs w:val="22"/>
        </w:rPr>
        <w:t xml:space="preserve">and </w:t>
      </w:r>
      <w:r w:rsidR="00A827A7" w:rsidRPr="00F01411">
        <w:rPr>
          <w:rFonts w:ascii="Calibri" w:hAnsi="Calibri" w:cs="Calibri"/>
          <w:sz w:val="22"/>
          <w:szCs w:val="22"/>
        </w:rPr>
        <w:t>‘</w:t>
      </w:r>
      <w:r w:rsidRPr="00F01411">
        <w:rPr>
          <w:rFonts w:ascii="Calibri" w:hAnsi="Calibri" w:cs="Calibri"/>
          <w:sz w:val="22"/>
          <w:szCs w:val="22"/>
        </w:rPr>
        <w:t>F</w:t>
      </w:r>
      <w:r w:rsidR="00C872BA" w:rsidRPr="00F01411">
        <w:rPr>
          <w:rFonts w:ascii="Calibri" w:hAnsi="Calibri" w:cs="Calibri"/>
          <w:sz w:val="22"/>
          <w:szCs w:val="22"/>
        </w:rPr>
        <w:t>ail</w:t>
      </w:r>
      <w:r w:rsidR="00A827A7" w:rsidRPr="00F01411">
        <w:rPr>
          <w:rFonts w:ascii="Calibri" w:hAnsi="Calibri" w:cs="Calibri"/>
          <w:sz w:val="22"/>
          <w:szCs w:val="22"/>
        </w:rPr>
        <w:t>’</w:t>
      </w:r>
      <w:r w:rsidR="00C872BA" w:rsidRPr="00F01411">
        <w:rPr>
          <w:rFonts w:ascii="Calibri" w:hAnsi="Calibri" w:cs="Calibri"/>
          <w:sz w:val="22"/>
          <w:szCs w:val="22"/>
        </w:rPr>
        <w:t xml:space="preserve"> was a worsening in the variable </w:t>
      </w:r>
      <w:r w:rsidR="00A4581C" w:rsidRPr="00F01411">
        <w:rPr>
          <w:rFonts w:ascii="Calibri" w:hAnsi="Calibri" w:cs="Calibri"/>
          <w:sz w:val="22"/>
          <w:szCs w:val="22"/>
        </w:rPr>
        <w:t>at each assessment</w:t>
      </w:r>
      <w:r w:rsidR="00C872BA" w:rsidRPr="00F01411">
        <w:rPr>
          <w:rFonts w:ascii="Calibri" w:hAnsi="Calibri" w:cs="Calibri"/>
          <w:sz w:val="22"/>
          <w:szCs w:val="22"/>
        </w:rPr>
        <w:t xml:space="preserve">. Horses were </w:t>
      </w:r>
      <w:r w:rsidR="00650F07" w:rsidRPr="00F01411">
        <w:rPr>
          <w:rFonts w:ascii="Calibri" w:hAnsi="Calibri" w:cs="Calibri"/>
          <w:sz w:val="22"/>
          <w:szCs w:val="22"/>
        </w:rPr>
        <w:t>considered ‘</w:t>
      </w:r>
      <w:r w:rsidR="00C872BA" w:rsidRPr="00F01411">
        <w:rPr>
          <w:rFonts w:ascii="Calibri" w:hAnsi="Calibri" w:cs="Calibri"/>
          <w:sz w:val="22"/>
          <w:szCs w:val="22"/>
        </w:rPr>
        <w:t>withdrawn</w:t>
      </w:r>
      <w:r w:rsidR="00650F07" w:rsidRPr="00F01411">
        <w:rPr>
          <w:rFonts w:ascii="Calibri" w:hAnsi="Calibri" w:cs="Calibri"/>
          <w:sz w:val="22"/>
          <w:szCs w:val="22"/>
        </w:rPr>
        <w:t>’</w:t>
      </w:r>
      <w:r w:rsidR="00EE3819" w:rsidRPr="00F01411">
        <w:rPr>
          <w:rFonts w:ascii="Calibri" w:hAnsi="Calibri" w:cs="Calibri"/>
          <w:sz w:val="22"/>
          <w:szCs w:val="22"/>
        </w:rPr>
        <w:t xml:space="preserve"> if removed before the completion of the </w:t>
      </w:r>
      <w:r w:rsidR="009C5346" w:rsidRPr="00F01411">
        <w:rPr>
          <w:rFonts w:ascii="Calibri" w:hAnsi="Calibri" w:cs="Calibri"/>
          <w:sz w:val="22"/>
          <w:szCs w:val="22"/>
        </w:rPr>
        <w:t>six-week</w:t>
      </w:r>
      <w:r w:rsidR="00EE3819" w:rsidRPr="00F01411">
        <w:rPr>
          <w:rFonts w:ascii="Calibri" w:hAnsi="Calibri" w:cs="Calibri"/>
          <w:sz w:val="22"/>
          <w:szCs w:val="22"/>
        </w:rPr>
        <w:t xml:space="preserve"> study </w:t>
      </w:r>
      <w:r w:rsidR="00FB2B86" w:rsidRPr="00F01411">
        <w:rPr>
          <w:rFonts w:ascii="Calibri" w:hAnsi="Calibri" w:cs="Calibri"/>
          <w:sz w:val="22"/>
          <w:szCs w:val="22"/>
        </w:rPr>
        <w:t xml:space="preserve">(by a blinded </w:t>
      </w:r>
      <w:r w:rsidR="00FB2B86" w:rsidRPr="00F01411">
        <w:rPr>
          <w:rFonts w:ascii="Calibri" w:hAnsi="Calibri" w:cs="Calibri"/>
          <w:sz w:val="22"/>
          <w:szCs w:val="22"/>
        </w:rPr>
        <w:lastRenderedPageBreak/>
        <w:t xml:space="preserve">observer) </w:t>
      </w:r>
      <w:r w:rsidR="00EE3819" w:rsidRPr="00F01411">
        <w:rPr>
          <w:rFonts w:ascii="Calibri" w:hAnsi="Calibri" w:cs="Calibri"/>
          <w:sz w:val="22"/>
          <w:szCs w:val="22"/>
        </w:rPr>
        <w:t>due to</w:t>
      </w:r>
      <w:r w:rsidR="00C872BA" w:rsidRPr="00F01411">
        <w:rPr>
          <w:rFonts w:ascii="Calibri" w:hAnsi="Calibri" w:cs="Calibri"/>
          <w:sz w:val="22"/>
          <w:szCs w:val="22"/>
        </w:rPr>
        <w:t xml:space="preserve"> </w:t>
      </w:r>
      <w:r w:rsidR="006915BF" w:rsidRPr="00F01411">
        <w:rPr>
          <w:rFonts w:ascii="Calibri" w:hAnsi="Calibri" w:cs="Calibri"/>
          <w:sz w:val="22"/>
          <w:szCs w:val="22"/>
        </w:rPr>
        <w:t xml:space="preserve">an </w:t>
      </w:r>
      <w:r w:rsidR="00DB6B9E" w:rsidRPr="00F01411">
        <w:rPr>
          <w:rFonts w:ascii="Calibri" w:hAnsi="Calibri" w:cs="Calibri"/>
          <w:sz w:val="22"/>
          <w:szCs w:val="22"/>
        </w:rPr>
        <w:t>intolerable</w:t>
      </w:r>
      <w:r w:rsidR="00617B04" w:rsidRPr="00F01411">
        <w:rPr>
          <w:rFonts w:ascii="Calibri" w:hAnsi="Calibri" w:cs="Calibri"/>
          <w:sz w:val="22"/>
          <w:szCs w:val="22"/>
        </w:rPr>
        <w:t xml:space="preserve"> </w:t>
      </w:r>
      <w:r w:rsidR="00C872BA" w:rsidRPr="00F01411">
        <w:rPr>
          <w:rFonts w:ascii="Calibri" w:hAnsi="Calibri" w:cs="Calibri"/>
          <w:sz w:val="22"/>
          <w:szCs w:val="22"/>
        </w:rPr>
        <w:t>deterioration in lameness</w:t>
      </w:r>
      <w:r w:rsidR="00EE3819" w:rsidRPr="00F01411">
        <w:rPr>
          <w:rFonts w:ascii="Calibri" w:hAnsi="Calibri" w:cs="Calibri"/>
          <w:sz w:val="22"/>
          <w:szCs w:val="22"/>
        </w:rPr>
        <w:t>.</w:t>
      </w:r>
      <w:r w:rsidR="00C872BA" w:rsidRPr="00F01411">
        <w:rPr>
          <w:rFonts w:ascii="Calibri" w:hAnsi="Calibri" w:cs="Calibri"/>
          <w:sz w:val="22"/>
          <w:szCs w:val="22"/>
        </w:rPr>
        <w:t xml:space="preserve"> </w:t>
      </w:r>
      <w:r w:rsidR="00D34A60" w:rsidRPr="00F01411">
        <w:rPr>
          <w:rFonts w:ascii="Calibri" w:hAnsi="Calibri" w:cs="Calibri"/>
          <w:sz w:val="22"/>
          <w:szCs w:val="22"/>
        </w:rPr>
        <w:t>Nil,</w:t>
      </w:r>
      <w:r w:rsidR="0015147A" w:rsidRPr="00F01411">
        <w:rPr>
          <w:rFonts w:ascii="Calibri" w:hAnsi="Calibri" w:cs="Calibri"/>
          <w:sz w:val="22"/>
          <w:szCs w:val="22"/>
        </w:rPr>
        <w:t xml:space="preserve"> fail and withdrawn were </w:t>
      </w:r>
      <w:r w:rsidR="00D13AF4" w:rsidRPr="00F01411">
        <w:rPr>
          <w:rFonts w:ascii="Calibri" w:hAnsi="Calibri" w:cs="Calibri"/>
          <w:sz w:val="22"/>
          <w:szCs w:val="22"/>
        </w:rPr>
        <w:t xml:space="preserve">therefore </w:t>
      </w:r>
      <w:r w:rsidR="0015147A" w:rsidRPr="00F01411">
        <w:rPr>
          <w:rFonts w:ascii="Calibri" w:hAnsi="Calibri" w:cs="Calibri"/>
          <w:sz w:val="22"/>
          <w:szCs w:val="22"/>
        </w:rPr>
        <w:t>grouped</w:t>
      </w:r>
      <w:r w:rsidR="008E575A" w:rsidRPr="00F01411">
        <w:rPr>
          <w:rFonts w:ascii="Calibri" w:hAnsi="Calibri" w:cs="Calibri"/>
          <w:sz w:val="22"/>
          <w:szCs w:val="22"/>
        </w:rPr>
        <w:t xml:space="preserve"> </w:t>
      </w:r>
      <w:r w:rsidR="0015147A" w:rsidRPr="00F01411">
        <w:rPr>
          <w:rFonts w:ascii="Calibri" w:hAnsi="Calibri" w:cs="Calibri"/>
          <w:sz w:val="22"/>
          <w:szCs w:val="22"/>
        </w:rPr>
        <w:t xml:space="preserve">into an </w:t>
      </w:r>
      <w:r w:rsidR="00D13AF4" w:rsidRPr="00F01411">
        <w:rPr>
          <w:rFonts w:ascii="Calibri" w:hAnsi="Calibri" w:cs="Calibri"/>
          <w:sz w:val="22"/>
          <w:szCs w:val="22"/>
        </w:rPr>
        <w:t>‘</w:t>
      </w:r>
      <w:r w:rsidR="0015147A" w:rsidRPr="00F01411">
        <w:rPr>
          <w:rFonts w:ascii="Calibri" w:hAnsi="Calibri" w:cs="Calibri"/>
          <w:sz w:val="22"/>
          <w:szCs w:val="22"/>
        </w:rPr>
        <w:t>unsuccessful</w:t>
      </w:r>
      <w:r w:rsidR="00D13AF4" w:rsidRPr="00F01411">
        <w:rPr>
          <w:rFonts w:ascii="Calibri" w:hAnsi="Calibri" w:cs="Calibri"/>
          <w:sz w:val="22"/>
          <w:szCs w:val="22"/>
        </w:rPr>
        <w:t>’</w:t>
      </w:r>
      <w:r w:rsidR="0015147A" w:rsidRPr="00F01411">
        <w:rPr>
          <w:rFonts w:ascii="Calibri" w:hAnsi="Calibri" w:cs="Calibri"/>
          <w:sz w:val="22"/>
          <w:szCs w:val="22"/>
        </w:rPr>
        <w:t xml:space="preserve"> category for statistical analysis.</w:t>
      </w:r>
      <w:r w:rsidR="0021439E" w:rsidRPr="00F01411">
        <w:rPr>
          <w:rFonts w:ascii="Calibri" w:hAnsi="Calibri" w:cs="Calibri"/>
          <w:sz w:val="22"/>
          <w:szCs w:val="22"/>
        </w:rPr>
        <w:t xml:space="preserve"> </w:t>
      </w:r>
    </w:p>
    <w:p w14:paraId="4282A6FD" w14:textId="77777777" w:rsidR="004F78AE" w:rsidRPr="00F01411" w:rsidRDefault="004F78AE" w:rsidP="003232A4">
      <w:pPr>
        <w:autoSpaceDE w:val="0"/>
        <w:autoSpaceDN w:val="0"/>
        <w:adjustRightInd w:val="0"/>
        <w:spacing w:line="480" w:lineRule="auto"/>
        <w:rPr>
          <w:rFonts w:ascii="Calibri" w:hAnsi="Calibri" w:cs="Calibri"/>
          <w:sz w:val="22"/>
          <w:szCs w:val="22"/>
        </w:rPr>
      </w:pPr>
    </w:p>
    <w:p w14:paraId="4B5D7E46" w14:textId="0FFA4869" w:rsidR="0021439E" w:rsidRPr="00F01411" w:rsidRDefault="00F45D92" w:rsidP="003232A4">
      <w:pPr>
        <w:autoSpaceDE w:val="0"/>
        <w:autoSpaceDN w:val="0"/>
        <w:adjustRightInd w:val="0"/>
        <w:spacing w:line="480" w:lineRule="auto"/>
        <w:rPr>
          <w:rFonts w:ascii="Calibri" w:hAnsi="Calibri" w:cs="Calibri"/>
          <w:sz w:val="22"/>
          <w:szCs w:val="22"/>
        </w:rPr>
      </w:pPr>
      <w:r w:rsidRPr="00F01411">
        <w:rPr>
          <w:rFonts w:ascii="Calibri" w:hAnsi="Calibri" w:cs="Calibri"/>
          <w:sz w:val="22"/>
          <w:szCs w:val="22"/>
        </w:rPr>
        <w:t xml:space="preserve">Data </w:t>
      </w:r>
      <w:r w:rsidR="009A68C9" w:rsidRPr="00F01411">
        <w:rPr>
          <w:rFonts w:ascii="Calibri" w:hAnsi="Calibri" w:cs="Calibri"/>
          <w:sz w:val="22"/>
          <w:szCs w:val="22"/>
        </w:rPr>
        <w:t xml:space="preserve">were </w:t>
      </w:r>
      <w:r w:rsidRPr="00F01411">
        <w:rPr>
          <w:rFonts w:ascii="Calibri" w:hAnsi="Calibri" w:cs="Calibri"/>
          <w:sz w:val="22"/>
          <w:szCs w:val="22"/>
        </w:rPr>
        <w:t xml:space="preserve">analysed using Chi-Squared tests </w:t>
      </w:r>
      <w:r w:rsidR="004F78AE" w:rsidRPr="00F01411">
        <w:rPr>
          <w:rFonts w:ascii="Calibri" w:hAnsi="Calibri" w:cs="Calibri"/>
          <w:sz w:val="22"/>
          <w:szCs w:val="22"/>
        </w:rPr>
        <w:t>for</w:t>
      </w:r>
      <w:r w:rsidRPr="00F01411">
        <w:rPr>
          <w:rFonts w:ascii="Calibri" w:hAnsi="Calibri" w:cs="Calibri"/>
          <w:sz w:val="22"/>
          <w:szCs w:val="22"/>
        </w:rPr>
        <w:t xml:space="preserve"> statistica</w:t>
      </w:r>
      <w:r w:rsidR="00682DB7" w:rsidRPr="00F01411">
        <w:rPr>
          <w:rFonts w:ascii="Calibri" w:hAnsi="Calibri" w:cs="Calibri"/>
          <w:sz w:val="22"/>
          <w:szCs w:val="22"/>
        </w:rPr>
        <w:t xml:space="preserve">l </w:t>
      </w:r>
      <w:r w:rsidR="004F78AE" w:rsidRPr="00F01411">
        <w:rPr>
          <w:rFonts w:ascii="Calibri" w:hAnsi="Calibri" w:cs="Calibri"/>
          <w:sz w:val="22"/>
          <w:szCs w:val="22"/>
        </w:rPr>
        <w:t xml:space="preserve">comparisons </w:t>
      </w:r>
      <w:r w:rsidR="00CB04E3" w:rsidRPr="00F01411">
        <w:rPr>
          <w:rFonts w:ascii="Calibri" w:hAnsi="Calibri" w:cs="Calibri"/>
          <w:sz w:val="22"/>
          <w:szCs w:val="22"/>
        </w:rPr>
        <w:t xml:space="preserve">with </w:t>
      </w:r>
      <w:r w:rsidR="00682DB7" w:rsidRPr="00F01411">
        <w:rPr>
          <w:rFonts w:ascii="Calibri" w:hAnsi="Calibri" w:cs="Calibri"/>
          <w:sz w:val="22"/>
          <w:szCs w:val="22"/>
        </w:rPr>
        <w:t>significance set at p&lt;0.05 (</w:t>
      </w:r>
      <w:proofErr w:type="spellStart"/>
      <w:r w:rsidRPr="00F01411">
        <w:rPr>
          <w:rFonts w:ascii="Calibri" w:hAnsi="Calibri" w:cs="Calibri"/>
          <w:sz w:val="22"/>
          <w:szCs w:val="22"/>
        </w:rPr>
        <w:t>Statistix</w:t>
      </w:r>
      <w:proofErr w:type="spellEnd"/>
      <w:r w:rsidR="00682DB7" w:rsidRPr="00F01411">
        <w:rPr>
          <w:rFonts w:ascii="Calibri" w:hAnsi="Calibri" w:cs="Calibri"/>
          <w:sz w:val="22"/>
          <w:szCs w:val="22"/>
        </w:rPr>
        <w:t xml:space="preserve"> 10.0</w:t>
      </w:r>
      <w:r w:rsidR="00A854EE" w:rsidRPr="00F01411">
        <w:rPr>
          <w:rFonts w:ascii="Calibri" w:hAnsi="Calibri" w:cs="Calibri"/>
          <w:sz w:val="22"/>
          <w:szCs w:val="22"/>
        </w:rPr>
        <w:t>)</w:t>
      </w:r>
      <w:r w:rsidR="000D1745" w:rsidRPr="00F01411">
        <w:rPr>
          <w:rFonts w:ascii="Calibri" w:hAnsi="Calibri" w:cs="Calibri"/>
          <w:sz w:val="22"/>
          <w:szCs w:val="22"/>
          <w:vertAlign w:val="superscript"/>
        </w:rPr>
        <w:t>5</w:t>
      </w:r>
      <w:r w:rsidR="004F78AE" w:rsidRPr="00F01411">
        <w:rPr>
          <w:rFonts w:ascii="Calibri" w:hAnsi="Calibri" w:cs="Calibri"/>
          <w:sz w:val="22"/>
          <w:szCs w:val="22"/>
        </w:rPr>
        <w:t xml:space="preserve"> and</w:t>
      </w:r>
      <w:r w:rsidR="00CB04E3" w:rsidRPr="00F01411">
        <w:rPr>
          <w:rFonts w:ascii="Calibri" w:hAnsi="Calibri" w:cs="Calibri"/>
          <w:sz w:val="22"/>
          <w:szCs w:val="22"/>
        </w:rPr>
        <w:t>,</w:t>
      </w:r>
      <w:r w:rsidR="004F78AE" w:rsidRPr="00F01411">
        <w:rPr>
          <w:rFonts w:ascii="Calibri" w:hAnsi="Calibri" w:cs="Calibri"/>
          <w:sz w:val="22"/>
          <w:szCs w:val="22"/>
        </w:rPr>
        <w:t xml:space="preserve"> point estimates for the difference in percentage of successful treatments and associated 95% Confidence Intervals. </w:t>
      </w:r>
    </w:p>
    <w:p w14:paraId="5CC21566" w14:textId="77777777" w:rsidR="0021439E" w:rsidRPr="00F01411" w:rsidRDefault="0021439E" w:rsidP="003232A4">
      <w:pPr>
        <w:spacing w:line="480" w:lineRule="auto"/>
        <w:rPr>
          <w:rFonts w:ascii="Calibri" w:hAnsi="Calibri" w:cs="Calibri"/>
          <w:sz w:val="22"/>
          <w:szCs w:val="22"/>
        </w:rPr>
      </w:pPr>
    </w:p>
    <w:p w14:paraId="1CBBDF52" w14:textId="02673B92" w:rsidR="00055998" w:rsidRPr="00F01411" w:rsidRDefault="00FF719C" w:rsidP="003232A4">
      <w:pPr>
        <w:spacing w:line="480" w:lineRule="auto"/>
        <w:rPr>
          <w:rFonts w:ascii="Calibri" w:hAnsi="Calibri" w:cs="Calibri"/>
          <w:b/>
          <w:sz w:val="22"/>
          <w:szCs w:val="22"/>
        </w:rPr>
      </w:pPr>
      <w:r w:rsidRPr="00F01411">
        <w:rPr>
          <w:rFonts w:ascii="Calibri" w:hAnsi="Calibri" w:cs="Calibri"/>
          <w:b/>
          <w:sz w:val="22"/>
          <w:szCs w:val="22"/>
        </w:rPr>
        <w:t xml:space="preserve">2.7 </w:t>
      </w:r>
      <w:r w:rsidR="00F45D92" w:rsidRPr="00F01411">
        <w:rPr>
          <w:rFonts w:ascii="Calibri" w:hAnsi="Calibri" w:cs="Calibri"/>
          <w:b/>
          <w:sz w:val="22"/>
          <w:szCs w:val="22"/>
        </w:rPr>
        <w:t>Quality control</w:t>
      </w:r>
    </w:p>
    <w:p w14:paraId="788878C3" w14:textId="5B5466EC" w:rsidR="00566425" w:rsidRDefault="00F45D92" w:rsidP="003232A4">
      <w:pPr>
        <w:spacing w:line="480" w:lineRule="auto"/>
        <w:rPr>
          <w:rFonts w:ascii="Calibri" w:hAnsi="Calibri" w:cs="Calibri"/>
          <w:sz w:val="22"/>
          <w:szCs w:val="22"/>
        </w:rPr>
      </w:pPr>
      <w:r w:rsidRPr="00F01411">
        <w:rPr>
          <w:rFonts w:ascii="Calibri" w:hAnsi="Calibri" w:cs="Calibri"/>
          <w:sz w:val="22"/>
          <w:szCs w:val="22"/>
        </w:rPr>
        <w:t>This study was performed under Good Clinical Practice (GCP) standards, being independently verified and monitored by</w:t>
      </w:r>
      <w:r w:rsidR="00E45D35" w:rsidRPr="00F01411">
        <w:rPr>
          <w:rFonts w:ascii="Calibri" w:hAnsi="Calibri" w:cs="Calibri"/>
          <w:sz w:val="22"/>
          <w:szCs w:val="22"/>
        </w:rPr>
        <w:t xml:space="preserve"> an independent </w:t>
      </w:r>
      <w:r w:rsidR="002C55B0" w:rsidRPr="00F01411">
        <w:rPr>
          <w:rFonts w:ascii="Calibri" w:hAnsi="Calibri" w:cs="Calibri"/>
          <w:sz w:val="22"/>
          <w:szCs w:val="22"/>
        </w:rPr>
        <w:t>Contract Research Organisation (CRO)</w:t>
      </w:r>
      <w:r w:rsidR="00566425">
        <w:rPr>
          <w:rFonts w:ascii="Calibri" w:hAnsi="Calibri" w:cs="Calibri"/>
          <w:sz w:val="22"/>
          <w:szCs w:val="22"/>
        </w:rPr>
        <w:t xml:space="preserve">. </w:t>
      </w:r>
      <w:r w:rsidR="00566425" w:rsidRPr="00A71CA5">
        <w:rPr>
          <w:rFonts w:ascii="Calibri" w:hAnsi="Calibri" w:cs="Calibri"/>
          <w:sz w:val="22"/>
          <w:szCs w:val="22"/>
          <w:lang w:val="en-NZ"/>
        </w:rPr>
        <w:t>Good Clinical Practice is an international ethical and scientific quality standard for designing, conducting, monitoring, recording, auditing, analy</w:t>
      </w:r>
      <w:r w:rsidR="00566425">
        <w:rPr>
          <w:rFonts w:ascii="Calibri" w:hAnsi="Calibri" w:cs="Calibri"/>
          <w:sz w:val="22"/>
          <w:szCs w:val="22"/>
          <w:lang w:val="en-NZ"/>
        </w:rPr>
        <w:t>s</w:t>
      </w:r>
      <w:r w:rsidR="00566425" w:rsidRPr="00A71CA5">
        <w:rPr>
          <w:rFonts w:ascii="Calibri" w:hAnsi="Calibri" w:cs="Calibri"/>
          <w:sz w:val="22"/>
          <w:szCs w:val="22"/>
          <w:lang w:val="en-NZ"/>
        </w:rPr>
        <w:t xml:space="preserve">ing and reporting clinical studies evaluating veterinary products. </w:t>
      </w:r>
      <w:r w:rsidR="00566425" w:rsidRPr="00A71CA5">
        <w:rPr>
          <w:rFonts w:ascii="Calibri" w:hAnsi="Calibri" w:cs="Calibri"/>
          <w:sz w:val="22"/>
          <w:szCs w:val="22"/>
        </w:rPr>
        <w:t>Compliance with this standard provides assurance about the integrity of the clinical study data, and that due regard has been given to animal welfare and protection of the personnel involved in the study, the environment and the human and animal food chains</w:t>
      </w:r>
      <w:r w:rsidR="00566425">
        <w:rPr>
          <w:rFonts w:ascii="Calibri" w:hAnsi="Calibri" w:cs="Calibri"/>
          <w:sz w:val="22"/>
          <w:szCs w:val="22"/>
        </w:rPr>
        <w:t>.</w:t>
      </w:r>
    </w:p>
    <w:p w14:paraId="3C4C701D" w14:textId="0EC00B91" w:rsidR="00CF7E07" w:rsidRPr="00A71CA5" w:rsidRDefault="00F45D92" w:rsidP="003232A4">
      <w:pPr>
        <w:spacing w:line="480" w:lineRule="auto"/>
        <w:rPr>
          <w:rFonts w:ascii="Calibri" w:hAnsi="Calibri" w:cs="Calibri"/>
          <w:sz w:val="22"/>
          <w:szCs w:val="22"/>
        </w:rPr>
      </w:pPr>
      <w:r w:rsidRPr="00F01411">
        <w:rPr>
          <w:rFonts w:ascii="Calibri" w:hAnsi="Calibri" w:cs="Calibri"/>
          <w:b/>
          <w:sz w:val="28"/>
          <w:szCs w:val="28"/>
        </w:rPr>
        <w:br w:type="page"/>
      </w:r>
    </w:p>
    <w:p w14:paraId="4E67D0A8" w14:textId="16CE2406" w:rsidR="00AA2C85" w:rsidRPr="009A68C9" w:rsidRDefault="00FF719C" w:rsidP="003232A4">
      <w:pPr>
        <w:spacing w:line="480" w:lineRule="auto"/>
        <w:outlineLvl w:val="0"/>
        <w:rPr>
          <w:rFonts w:cstheme="minorHAnsi"/>
          <w:b/>
          <w:sz w:val="28"/>
          <w:szCs w:val="28"/>
        </w:rPr>
      </w:pPr>
      <w:r>
        <w:rPr>
          <w:rFonts w:cstheme="minorHAnsi"/>
          <w:b/>
          <w:sz w:val="28"/>
          <w:szCs w:val="28"/>
        </w:rPr>
        <w:lastRenderedPageBreak/>
        <w:t xml:space="preserve">3. </w:t>
      </w:r>
      <w:r w:rsidR="00F45D92" w:rsidRPr="009A68C9">
        <w:rPr>
          <w:rFonts w:cstheme="minorHAnsi"/>
          <w:b/>
          <w:sz w:val="28"/>
          <w:szCs w:val="28"/>
        </w:rPr>
        <w:t>Results</w:t>
      </w:r>
    </w:p>
    <w:p w14:paraId="50729ED0" w14:textId="294F9B39" w:rsidR="00A05E0D" w:rsidRPr="00FF719C" w:rsidRDefault="00FF719C" w:rsidP="003232A4">
      <w:pPr>
        <w:spacing w:line="480" w:lineRule="auto"/>
        <w:rPr>
          <w:rFonts w:cstheme="minorHAnsi"/>
          <w:b/>
          <w:bCs/>
          <w:sz w:val="22"/>
          <w:szCs w:val="22"/>
        </w:rPr>
      </w:pPr>
      <w:r w:rsidRPr="00FF719C">
        <w:rPr>
          <w:rFonts w:cstheme="minorHAnsi"/>
          <w:b/>
          <w:bCs/>
          <w:sz w:val="22"/>
          <w:szCs w:val="22"/>
        </w:rPr>
        <w:t xml:space="preserve">3.1 </w:t>
      </w:r>
      <w:r w:rsidR="00F45D92" w:rsidRPr="00FF719C">
        <w:rPr>
          <w:rFonts w:cstheme="minorHAnsi"/>
          <w:b/>
          <w:bCs/>
          <w:sz w:val="22"/>
          <w:szCs w:val="22"/>
        </w:rPr>
        <w:t>Treatment groups</w:t>
      </w:r>
      <w:r w:rsidR="00513153" w:rsidRPr="00FF719C">
        <w:rPr>
          <w:rFonts w:cstheme="minorHAnsi"/>
          <w:b/>
          <w:bCs/>
          <w:sz w:val="22"/>
          <w:szCs w:val="22"/>
        </w:rPr>
        <w:t xml:space="preserve"> (</w:t>
      </w:r>
      <w:r w:rsidR="00513153" w:rsidRPr="00AF3261">
        <w:rPr>
          <w:rFonts w:cstheme="minorHAnsi"/>
          <w:b/>
          <w:bCs/>
          <w:sz w:val="22"/>
          <w:szCs w:val="22"/>
          <w:u w:val="single"/>
        </w:rPr>
        <w:t>Table 2</w:t>
      </w:r>
      <w:r w:rsidR="00513153" w:rsidRPr="00FF719C">
        <w:rPr>
          <w:rFonts w:cstheme="minorHAnsi"/>
          <w:b/>
          <w:bCs/>
          <w:sz w:val="22"/>
          <w:szCs w:val="22"/>
        </w:rPr>
        <w:t>)</w:t>
      </w:r>
    </w:p>
    <w:p w14:paraId="6D14D261" w14:textId="40D1D882" w:rsidR="00EC3F4C" w:rsidRDefault="00F45D92" w:rsidP="003232A4">
      <w:pPr>
        <w:spacing w:line="480" w:lineRule="auto"/>
        <w:rPr>
          <w:rFonts w:cstheme="minorHAnsi"/>
          <w:sz w:val="22"/>
          <w:szCs w:val="22"/>
        </w:rPr>
      </w:pPr>
      <w:r w:rsidRPr="00B73947">
        <w:rPr>
          <w:rFonts w:cstheme="minorHAnsi"/>
          <w:sz w:val="22"/>
          <w:szCs w:val="22"/>
        </w:rPr>
        <w:t xml:space="preserve">A total of 31 horses </w:t>
      </w:r>
      <w:r w:rsidR="005B6F20">
        <w:rPr>
          <w:rFonts w:cstheme="minorHAnsi"/>
          <w:sz w:val="22"/>
          <w:szCs w:val="22"/>
        </w:rPr>
        <w:t xml:space="preserve">(39 joints) </w:t>
      </w:r>
      <w:r w:rsidRPr="00B73947">
        <w:rPr>
          <w:rFonts w:cstheme="minorHAnsi"/>
          <w:sz w:val="22"/>
          <w:szCs w:val="22"/>
        </w:rPr>
        <w:t>were enrolled with an age range of 2 to 6 years</w:t>
      </w:r>
      <w:r w:rsidR="009A68C9">
        <w:rPr>
          <w:rFonts w:cstheme="minorHAnsi"/>
          <w:sz w:val="22"/>
          <w:szCs w:val="22"/>
        </w:rPr>
        <w:t xml:space="preserve"> and a </w:t>
      </w:r>
      <w:r w:rsidR="00FB7010" w:rsidRPr="00B73947">
        <w:rPr>
          <w:rFonts w:cstheme="minorHAnsi"/>
          <w:sz w:val="22"/>
          <w:szCs w:val="22"/>
        </w:rPr>
        <w:t xml:space="preserve">mean </w:t>
      </w:r>
      <w:r w:rsidR="009A68C9">
        <w:rPr>
          <w:rFonts w:cstheme="minorHAnsi"/>
          <w:sz w:val="22"/>
          <w:szCs w:val="22"/>
        </w:rPr>
        <w:t xml:space="preserve">of </w:t>
      </w:r>
      <w:r w:rsidR="002E6A7E" w:rsidRPr="00B73947">
        <w:rPr>
          <w:rFonts w:cstheme="minorHAnsi"/>
          <w:sz w:val="22"/>
          <w:szCs w:val="22"/>
        </w:rPr>
        <w:t>3</w:t>
      </w:r>
      <w:r w:rsidR="009A68C9">
        <w:rPr>
          <w:rFonts w:cstheme="minorHAnsi"/>
          <w:sz w:val="22"/>
          <w:szCs w:val="22"/>
        </w:rPr>
        <w:t xml:space="preserve"> years</w:t>
      </w:r>
      <w:r w:rsidR="00000FA6">
        <w:rPr>
          <w:rFonts w:cstheme="minorHAnsi"/>
          <w:sz w:val="22"/>
          <w:szCs w:val="22"/>
        </w:rPr>
        <w:t xml:space="preserve">. </w:t>
      </w:r>
      <w:r w:rsidR="000307A2" w:rsidRPr="00677B91">
        <w:rPr>
          <w:rFonts w:cstheme="minorHAnsi"/>
          <w:sz w:val="22"/>
          <w:szCs w:val="22"/>
        </w:rPr>
        <w:t xml:space="preserve">Overall, </w:t>
      </w:r>
      <w:r w:rsidRPr="00677B91">
        <w:rPr>
          <w:rFonts w:cstheme="minorHAnsi"/>
          <w:sz w:val="22"/>
          <w:szCs w:val="22"/>
        </w:rPr>
        <w:t>no</w:t>
      </w:r>
      <w:r w:rsidR="000307A2" w:rsidRPr="00677B91">
        <w:rPr>
          <w:rFonts w:cstheme="minorHAnsi"/>
          <w:sz w:val="22"/>
          <w:szCs w:val="22"/>
        </w:rPr>
        <w:t xml:space="preserve"> significant differen</w:t>
      </w:r>
      <w:r w:rsidRPr="00677B91">
        <w:rPr>
          <w:rFonts w:cstheme="minorHAnsi"/>
          <w:sz w:val="22"/>
          <w:szCs w:val="22"/>
        </w:rPr>
        <w:t>ces</w:t>
      </w:r>
      <w:r w:rsidR="000307A2" w:rsidRPr="00677B91">
        <w:rPr>
          <w:rFonts w:cstheme="minorHAnsi"/>
          <w:sz w:val="22"/>
          <w:szCs w:val="22"/>
        </w:rPr>
        <w:t xml:space="preserve"> between treatment groups for </w:t>
      </w:r>
      <w:r w:rsidRPr="00677B91">
        <w:rPr>
          <w:rFonts w:cstheme="minorHAnsi"/>
          <w:sz w:val="22"/>
          <w:szCs w:val="22"/>
        </w:rPr>
        <w:t xml:space="preserve">the following </w:t>
      </w:r>
      <w:r w:rsidR="000307A2" w:rsidRPr="00677B91">
        <w:rPr>
          <w:rFonts w:cstheme="minorHAnsi"/>
          <w:sz w:val="22"/>
          <w:szCs w:val="22"/>
        </w:rPr>
        <w:t>pre-admission variables</w:t>
      </w:r>
      <w:r w:rsidRPr="00677B91">
        <w:rPr>
          <w:rFonts w:cstheme="minorHAnsi"/>
          <w:sz w:val="22"/>
          <w:szCs w:val="22"/>
        </w:rPr>
        <w:t xml:space="preserve"> were noted: </w:t>
      </w:r>
      <w:r w:rsidR="000307A2" w:rsidRPr="00677B91">
        <w:rPr>
          <w:rFonts w:cstheme="minorHAnsi"/>
          <w:sz w:val="22"/>
          <w:szCs w:val="22"/>
        </w:rPr>
        <w:t xml:space="preserve"> </w:t>
      </w:r>
      <w:r w:rsidRPr="00677B91">
        <w:rPr>
          <w:rFonts w:cstheme="minorHAnsi"/>
          <w:sz w:val="22"/>
          <w:szCs w:val="22"/>
        </w:rPr>
        <w:t xml:space="preserve">age, type of race the horse was trained for (sprinter, miler, stayer), radiographic scores, </w:t>
      </w:r>
      <w:r w:rsidR="000307A2" w:rsidRPr="00677B91">
        <w:rPr>
          <w:rFonts w:cstheme="minorHAnsi"/>
          <w:sz w:val="22"/>
          <w:szCs w:val="22"/>
        </w:rPr>
        <w:t xml:space="preserve">joint effusion, reaction to flexion, or </w:t>
      </w:r>
      <w:r w:rsidRPr="00677B91">
        <w:rPr>
          <w:rFonts w:cstheme="minorHAnsi"/>
          <w:sz w:val="22"/>
          <w:szCs w:val="22"/>
        </w:rPr>
        <w:t>lameness grade</w:t>
      </w:r>
      <w:r w:rsidR="00CC452C" w:rsidRPr="00677B91">
        <w:rPr>
          <w:rFonts w:cstheme="minorHAnsi"/>
          <w:sz w:val="22"/>
          <w:szCs w:val="22"/>
        </w:rPr>
        <w:t xml:space="preserve"> (p</w:t>
      </w:r>
      <w:r w:rsidR="009F2F1C" w:rsidRPr="00677B91">
        <w:rPr>
          <w:rFonts w:cstheme="minorHAnsi"/>
          <w:sz w:val="22"/>
          <w:szCs w:val="22"/>
        </w:rPr>
        <w:t>&gt;</w:t>
      </w:r>
      <w:r w:rsidR="00CC452C" w:rsidRPr="00677B91">
        <w:rPr>
          <w:rFonts w:cstheme="minorHAnsi"/>
          <w:sz w:val="22"/>
          <w:szCs w:val="22"/>
        </w:rPr>
        <w:t>0.05).</w:t>
      </w:r>
      <w:r w:rsidR="00CC452C">
        <w:rPr>
          <w:rFonts w:cstheme="minorHAnsi"/>
          <w:sz w:val="22"/>
          <w:szCs w:val="22"/>
        </w:rPr>
        <w:t xml:space="preserve"> </w:t>
      </w:r>
    </w:p>
    <w:p w14:paraId="14EF97A2" w14:textId="77777777" w:rsidR="00EC3F4C" w:rsidRDefault="00F45D92" w:rsidP="003232A4">
      <w:pPr>
        <w:spacing w:line="480" w:lineRule="auto"/>
        <w:rPr>
          <w:rFonts w:cstheme="minorHAnsi"/>
          <w:sz w:val="22"/>
          <w:szCs w:val="22"/>
          <w:lang w:val="en-NZ"/>
        </w:rPr>
      </w:pPr>
      <w:r>
        <w:rPr>
          <w:rFonts w:cstheme="minorHAnsi"/>
          <w:sz w:val="22"/>
          <w:szCs w:val="22"/>
          <w:lang w:val="en-NZ"/>
        </w:rPr>
        <w:t xml:space="preserve">None of the horses developed </w:t>
      </w:r>
      <w:r w:rsidR="00CF7E07">
        <w:rPr>
          <w:rFonts w:cstheme="minorHAnsi"/>
          <w:sz w:val="22"/>
          <w:szCs w:val="22"/>
          <w:lang w:val="en-NZ"/>
        </w:rPr>
        <w:t xml:space="preserve">any </w:t>
      </w:r>
      <w:r>
        <w:rPr>
          <w:rFonts w:cstheme="minorHAnsi"/>
          <w:sz w:val="22"/>
          <w:szCs w:val="22"/>
          <w:lang w:val="en-NZ"/>
        </w:rPr>
        <w:t>adverse reactions</w:t>
      </w:r>
      <w:r w:rsidR="00B64535">
        <w:rPr>
          <w:rFonts w:cstheme="minorHAnsi"/>
          <w:sz w:val="22"/>
          <w:szCs w:val="22"/>
          <w:lang w:val="en-NZ"/>
        </w:rPr>
        <w:t xml:space="preserve"> to any treatment</w:t>
      </w:r>
      <w:r>
        <w:rPr>
          <w:rFonts w:cstheme="minorHAnsi"/>
          <w:sz w:val="22"/>
          <w:szCs w:val="22"/>
          <w:lang w:val="en-NZ"/>
        </w:rPr>
        <w:t xml:space="preserve">.  </w:t>
      </w:r>
    </w:p>
    <w:p w14:paraId="3CE18BB2" w14:textId="0861BB99" w:rsidR="00D55A6B" w:rsidRDefault="00F45D92" w:rsidP="003232A4">
      <w:pPr>
        <w:spacing w:line="480" w:lineRule="auto"/>
        <w:rPr>
          <w:rFonts w:cstheme="minorHAnsi"/>
          <w:sz w:val="22"/>
          <w:szCs w:val="22"/>
          <w:lang w:val="en-NZ"/>
        </w:rPr>
      </w:pPr>
      <w:r>
        <w:rPr>
          <w:rFonts w:cstheme="minorHAnsi"/>
          <w:sz w:val="22"/>
          <w:szCs w:val="22"/>
        </w:rPr>
        <w:t xml:space="preserve">A </w:t>
      </w:r>
      <w:r>
        <w:rPr>
          <w:rFonts w:cstheme="minorHAnsi"/>
          <w:sz w:val="22"/>
          <w:szCs w:val="22"/>
          <w:lang w:val="en-NZ"/>
        </w:rPr>
        <w:t xml:space="preserve">total of 5 horses </w:t>
      </w:r>
      <w:r w:rsidR="00B02CB8">
        <w:rPr>
          <w:rFonts w:cstheme="minorHAnsi"/>
          <w:sz w:val="22"/>
          <w:szCs w:val="22"/>
          <w:lang w:val="en-NZ"/>
        </w:rPr>
        <w:t xml:space="preserve">(6 joints) </w:t>
      </w:r>
      <w:r>
        <w:rPr>
          <w:rFonts w:cstheme="minorHAnsi"/>
          <w:sz w:val="22"/>
          <w:szCs w:val="22"/>
          <w:lang w:val="en-NZ"/>
        </w:rPr>
        <w:t xml:space="preserve">were removed </w:t>
      </w:r>
      <w:r w:rsidR="00E81246">
        <w:rPr>
          <w:rFonts w:cstheme="minorHAnsi"/>
          <w:sz w:val="22"/>
          <w:szCs w:val="22"/>
          <w:lang w:val="en-NZ"/>
        </w:rPr>
        <w:t>during</w:t>
      </w:r>
      <w:r>
        <w:rPr>
          <w:rFonts w:cstheme="minorHAnsi"/>
          <w:sz w:val="22"/>
          <w:szCs w:val="22"/>
          <w:lang w:val="en-NZ"/>
        </w:rPr>
        <w:t xml:space="preserve"> the study </w:t>
      </w:r>
      <w:r w:rsidR="00B6224B">
        <w:rPr>
          <w:rFonts w:cstheme="minorHAnsi"/>
          <w:sz w:val="22"/>
          <w:szCs w:val="22"/>
          <w:lang w:val="en-NZ"/>
        </w:rPr>
        <w:t xml:space="preserve">on request of the owners </w:t>
      </w:r>
      <w:r>
        <w:rPr>
          <w:rFonts w:cstheme="minorHAnsi"/>
          <w:sz w:val="22"/>
          <w:szCs w:val="22"/>
          <w:lang w:val="en-NZ"/>
        </w:rPr>
        <w:t>for reasons unrelated to treatment</w:t>
      </w:r>
      <w:r w:rsidR="00F26C75">
        <w:rPr>
          <w:rFonts w:cstheme="minorHAnsi"/>
          <w:sz w:val="22"/>
          <w:szCs w:val="22"/>
          <w:lang w:val="en-NZ"/>
        </w:rPr>
        <w:t xml:space="preserve"> </w:t>
      </w:r>
      <w:r w:rsidR="00B6224B">
        <w:rPr>
          <w:rFonts w:cstheme="minorHAnsi"/>
          <w:sz w:val="22"/>
          <w:szCs w:val="22"/>
          <w:lang w:val="en-NZ"/>
        </w:rPr>
        <w:t>and</w:t>
      </w:r>
      <w:r w:rsidR="00C5425E">
        <w:rPr>
          <w:rFonts w:cstheme="minorHAnsi"/>
          <w:sz w:val="22"/>
          <w:szCs w:val="22"/>
          <w:lang w:val="en-NZ"/>
        </w:rPr>
        <w:t xml:space="preserve"> </w:t>
      </w:r>
      <w:r w:rsidR="00AC7384">
        <w:rPr>
          <w:rFonts w:cstheme="minorHAnsi"/>
          <w:sz w:val="22"/>
          <w:szCs w:val="22"/>
          <w:lang w:val="en-NZ"/>
        </w:rPr>
        <w:t>were</w:t>
      </w:r>
      <w:r w:rsidR="00B6224B">
        <w:rPr>
          <w:rFonts w:cstheme="minorHAnsi"/>
          <w:sz w:val="22"/>
          <w:szCs w:val="22"/>
          <w:lang w:val="en-NZ"/>
        </w:rPr>
        <w:t xml:space="preserve"> excluded from the </w:t>
      </w:r>
      <w:r w:rsidR="00D01D30">
        <w:rPr>
          <w:rFonts w:cstheme="minorHAnsi"/>
          <w:sz w:val="22"/>
          <w:szCs w:val="22"/>
          <w:lang w:val="en-NZ"/>
        </w:rPr>
        <w:t xml:space="preserve">statistical </w:t>
      </w:r>
      <w:r w:rsidR="00B6224B">
        <w:rPr>
          <w:rFonts w:cstheme="minorHAnsi"/>
          <w:sz w:val="22"/>
          <w:szCs w:val="22"/>
          <w:lang w:val="en-NZ"/>
        </w:rPr>
        <w:t>analysis</w:t>
      </w:r>
      <w:r w:rsidR="00527B86">
        <w:rPr>
          <w:rFonts w:cstheme="minorHAnsi"/>
          <w:sz w:val="22"/>
          <w:szCs w:val="22"/>
          <w:lang w:val="en-NZ"/>
        </w:rPr>
        <w:t xml:space="preserve"> (</w:t>
      </w:r>
      <w:r w:rsidR="00527B86">
        <w:rPr>
          <w:rFonts w:cstheme="minorHAnsi"/>
          <w:sz w:val="22"/>
          <w:szCs w:val="22"/>
        </w:rPr>
        <w:t>Figure 1)</w:t>
      </w:r>
      <w:r w:rsidR="00B6224B">
        <w:rPr>
          <w:rFonts w:cstheme="minorHAnsi"/>
          <w:sz w:val="22"/>
          <w:szCs w:val="22"/>
          <w:lang w:val="en-NZ"/>
        </w:rPr>
        <w:t xml:space="preserve">. </w:t>
      </w:r>
    </w:p>
    <w:p w14:paraId="2F1BD698" w14:textId="77777777" w:rsidR="003C0063" w:rsidRDefault="003C0063" w:rsidP="003232A4">
      <w:pPr>
        <w:spacing w:line="480" w:lineRule="auto"/>
        <w:rPr>
          <w:rFonts w:cstheme="minorHAnsi"/>
          <w:sz w:val="22"/>
          <w:szCs w:val="22"/>
        </w:rPr>
      </w:pPr>
    </w:p>
    <w:p w14:paraId="0BA86594" w14:textId="2E908BF0" w:rsidR="00F26C75" w:rsidRDefault="00F45D92" w:rsidP="003232A4">
      <w:pPr>
        <w:spacing w:line="480" w:lineRule="auto"/>
        <w:rPr>
          <w:rFonts w:cstheme="minorHAnsi"/>
          <w:sz w:val="22"/>
          <w:szCs w:val="22"/>
        </w:rPr>
      </w:pPr>
      <w:r>
        <w:rPr>
          <w:rFonts w:cstheme="minorHAnsi"/>
          <w:sz w:val="22"/>
          <w:szCs w:val="22"/>
          <w:lang w:val="en-NZ"/>
        </w:rPr>
        <w:t>T</w:t>
      </w:r>
      <w:r w:rsidR="00A827A7" w:rsidRPr="00B73947">
        <w:rPr>
          <w:rFonts w:cstheme="minorHAnsi"/>
          <w:sz w:val="22"/>
          <w:szCs w:val="22"/>
          <w:lang w:val="en-NZ"/>
        </w:rPr>
        <w:t xml:space="preserve">he 2.5% PAAG group </w:t>
      </w:r>
      <w:r w:rsidR="00A827A7">
        <w:rPr>
          <w:rFonts w:cstheme="minorHAnsi"/>
          <w:sz w:val="22"/>
          <w:szCs w:val="22"/>
          <w:lang w:val="en-NZ"/>
        </w:rPr>
        <w:t xml:space="preserve">was </w:t>
      </w:r>
      <w:r>
        <w:rPr>
          <w:rFonts w:cstheme="minorHAnsi"/>
          <w:sz w:val="22"/>
          <w:szCs w:val="22"/>
          <w:lang w:val="en-NZ"/>
        </w:rPr>
        <w:t xml:space="preserve">initially </w:t>
      </w:r>
      <w:r w:rsidR="00A827A7">
        <w:rPr>
          <w:rFonts w:cstheme="minorHAnsi"/>
          <w:sz w:val="22"/>
          <w:szCs w:val="22"/>
          <w:lang w:val="en-NZ"/>
        </w:rPr>
        <w:t xml:space="preserve">made up of </w:t>
      </w:r>
      <w:r w:rsidR="00A827A7" w:rsidRPr="00B73947">
        <w:rPr>
          <w:rFonts w:cstheme="minorHAnsi"/>
          <w:sz w:val="22"/>
          <w:szCs w:val="22"/>
          <w:lang w:val="en-NZ"/>
        </w:rPr>
        <w:t>10 horses</w:t>
      </w:r>
      <w:r w:rsidR="00A827A7">
        <w:rPr>
          <w:rFonts w:cstheme="minorHAnsi"/>
          <w:sz w:val="22"/>
          <w:szCs w:val="22"/>
          <w:lang w:val="en-NZ"/>
        </w:rPr>
        <w:t xml:space="preserve">, </w:t>
      </w:r>
      <w:r w:rsidR="00A827A7" w:rsidRPr="00B73947">
        <w:rPr>
          <w:rFonts w:cstheme="minorHAnsi"/>
          <w:sz w:val="22"/>
          <w:szCs w:val="22"/>
          <w:lang w:val="en-NZ"/>
        </w:rPr>
        <w:t xml:space="preserve">of which </w:t>
      </w:r>
      <w:r w:rsidR="0041340B">
        <w:rPr>
          <w:rFonts w:cstheme="minorHAnsi"/>
          <w:sz w:val="22"/>
          <w:szCs w:val="22"/>
          <w:lang w:val="en-NZ"/>
        </w:rPr>
        <w:t>3</w:t>
      </w:r>
      <w:r w:rsidR="00A827A7" w:rsidRPr="00B73947">
        <w:rPr>
          <w:rFonts w:cstheme="minorHAnsi"/>
          <w:sz w:val="22"/>
          <w:szCs w:val="22"/>
          <w:lang w:val="en-NZ"/>
        </w:rPr>
        <w:t xml:space="preserve"> horses had both </w:t>
      </w:r>
      <w:r w:rsidR="00B97341">
        <w:rPr>
          <w:rFonts w:cstheme="minorHAnsi"/>
          <w:sz w:val="22"/>
          <w:szCs w:val="22"/>
          <w:lang w:val="en-NZ"/>
        </w:rPr>
        <w:t xml:space="preserve">middle </w:t>
      </w:r>
      <w:r w:rsidR="00A827A7" w:rsidRPr="00B73947">
        <w:rPr>
          <w:rFonts w:cstheme="minorHAnsi"/>
          <w:sz w:val="22"/>
          <w:szCs w:val="22"/>
          <w:lang w:val="en-NZ"/>
        </w:rPr>
        <w:t>carpal joints (left and right) affected</w:t>
      </w:r>
      <w:r w:rsidR="00A827A7">
        <w:rPr>
          <w:rFonts w:cstheme="minorHAnsi"/>
          <w:sz w:val="22"/>
          <w:szCs w:val="22"/>
          <w:lang w:val="en-NZ"/>
        </w:rPr>
        <w:t xml:space="preserve">. One </w:t>
      </w:r>
      <w:r w:rsidR="00A827A7" w:rsidRPr="00B73947">
        <w:rPr>
          <w:rFonts w:cstheme="minorHAnsi"/>
          <w:sz w:val="22"/>
          <w:szCs w:val="22"/>
          <w:lang w:val="en-NZ"/>
        </w:rPr>
        <w:t xml:space="preserve">horse was </w:t>
      </w:r>
      <w:r w:rsidR="00132341">
        <w:rPr>
          <w:rFonts w:cstheme="minorHAnsi"/>
          <w:sz w:val="22"/>
          <w:szCs w:val="22"/>
          <w:lang w:val="en-NZ"/>
        </w:rPr>
        <w:t>removed</w:t>
      </w:r>
      <w:r w:rsidR="005B6F20">
        <w:rPr>
          <w:rFonts w:cstheme="minorHAnsi"/>
          <w:sz w:val="22"/>
          <w:szCs w:val="22"/>
          <w:lang w:val="en-NZ"/>
        </w:rPr>
        <w:t xml:space="preserve"> </w:t>
      </w:r>
      <w:r w:rsidR="008E575A">
        <w:rPr>
          <w:rFonts w:cstheme="minorHAnsi"/>
          <w:sz w:val="22"/>
          <w:szCs w:val="22"/>
          <w:lang w:val="en-NZ"/>
        </w:rPr>
        <w:t>from the study</w:t>
      </w:r>
      <w:r w:rsidR="00A827A7">
        <w:rPr>
          <w:rFonts w:cstheme="minorHAnsi"/>
          <w:sz w:val="22"/>
          <w:szCs w:val="22"/>
          <w:lang w:val="en-NZ"/>
        </w:rPr>
        <w:t xml:space="preserve"> (1 joint affect</w:t>
      </w:r>
      <w:r w:rsidR="00DB70CC">
        <w:rPr>
          <w:rFonts w:cstheme="minorHAnsi"/>
          <w:sz w:val="22"/>
          <w:szCs w:val="22"/>
          <w:lang w:val="en-NZ"/>
        </w:rPr>
        <w:t>ed</w:t>
      </w:r>
      <w:r w:rsidR="00A827A7">
        <w:rPr>
          <w:rFonts w:cstheme="minorHAnsi"/>
          <w:sz w:val="22"/>
          <w:szCs w:val="22"/>
          <w:lang w:val="en-NZ"/>
        </w:rPr>
        <w:t xml:space="preserve"> only)</w:t>
      </w:r>
      <w:r w:rsidR="00A827A7" w:rsidRPr="00B73947">
        <w:rPr>
          <w:rFonts w:cstheme="minorHAnsi"/>
          <w:sz w:val="22"/>
          <w:szCs w:val="22"/>
          <w:lang w:val="en-NZ"/>
        </w:rPr>
        <w:t xml:space="preserve">, resulting in 12 </w:t>
      </w:r>
      <w:r w:rsidR="00B97341">
        <w:rPr>
          <w:rFonts w:cstheme="minorHAnsi"/>
          <w:sz w:val="22"/>
          <w:szCs w:val="22"/>
          <w:lang w:val="en-NZ"/>
        </w:rPr>
        <w:t xml:space="preserve">middle </w:t>
      </w:r>
      <w:r w:rsidR="00A827A7" w:rsidRPr="00B73947">
        <w:rPr>
          <w:rFonts w:cstheme="minorHAnsi"/>
          <w:sz w:val="22"/>
          <w:szCs w:val="22"/>
          <w:lang w:val="en-NZ"/>
        </w:rPr>
        <w:t xml:space="preserve">carpal joints for treatment evaluation. There were </w:t>
      </w:r>
      <w:r>
        <w:rPr>
          <w:rFonts w:cstheme="minorHAnsi"/>
          <w:sz w:val="22"/>
          <w:szCs w:val="22"/>
          <w:lang w:val="en-NZ"/>
        </w:rPr>
        <w:t xml:space="preserve">initially </w:t>
      </w:r>
      <w:r w:rsidR="00A827A7" w:rsidRPr="00B73947">
        <w:rPr>
          <w:rFonts w:cstheme="minorHAnsi"/>
          <w:sz w:val="22"/>
          <w:szCs w:val="22"/>
          <w:lang w:val="en-NZ"/>
        </w:rPr>
        <w:t>11 horses enrolled</w:t>
      </w:r>
      <w:r w:rsidR="00A827A7">
        <w:rPr>
          <w:rFonts w:cstheme="minorHAnsi"/>
          <w:sz w:val="22"/>
          <w:szCs w:val="22"/>
          <w:lang w:val="en-NZ"/>
        </w:rPr>
        <w:t xml:space="preserve"> in the TA group,</w:t>
      </w:r>
      <w:r w:rsidR="00A827A7" w:rsidRPr="00B73947">
        <w:rPr>
          <w:rFonts w:cstheme="minorHAnsi"/>
          <w:sz w:val="22"/>
          <w:szCs w:val="22"/>
          <w:lang w:val="en-NZ"/>
        </w:rPr>
        <w:t xml:space="preserve"> of which </w:t>
      </w:r>
      <w:r w:rsidR="0041340B">
        <w:rPr>
          <w:rFonts w:cstheme="minorHAnsi"/>
          <w:sz w:val="22"/>
          <w:szCs w:val="22"/>
          <w:lang w:val="en-NZ"/>
        </w:rPr>
        <w:t>3</w:t>
      </w:r>
      <w:r w:rsidR="00A827A7" w:rsidRPr="00B73947">
        <w:rPr>
          <w:rFonts w:cstheme="minorHAnsi"/>
          <w:sz w:val="22"/>
          <w:szCs w:val="22"/>
          <w:lang w:val="en-NZ"/>
        </w:rPr>
        <w:t xml:space="preserve"> horses had both </w:t>
      </w:r>
      <w:r w:rsidR="00B97341">
        <w:rPr>
          <w:rFonts w:cstheme="minorHAnsi"/>
          <w:sz w:val="22"/>
          <w:szCs w:val="22"/>
          <w:lang w:val="en-NZ"/>
        </w:rPr>
        <w:t xml:space="preserve">middle </w:t>
      </w:r>
      <w:r w:rsidR="00A827A7" w:rsidRPr="00B73947">
        <w:rPr>
          <w:rFonts w:cstheme="minorHAnsi"/>
          <w:sz w:val="22"/>
          <w:szCs w:val="22"/>
          <w:lang w:val="en-NZ"/>
        </w:rPr>
        <w:t>carpal joints (left and right) affected</w:t>
      </w:r>
      <w:r w:rsidR="00A827A7">
        <w:rPr>
          <w:rFonts w:cstheme="minorHAnsi"/>
          <w:sz w:val="22"/>
          <w:szCs w:val="22"/>
          <w:lang w:val="en-NZ"/>
        </w:rPr>
        <w:t>. T</w:t>
      </w:r>
      <w:r w:rsidR="00A827A7" w:rsidRPr="00B73947">
        <w:rPr>
          <w:rFonts w:cstheme="minorHAnsi"/>
          <w:sz w:val="22"/>
          <w:szCs w:val="22"/>
          <w:lang w:val="en-NZ"/>
        </w:rPr>
        <w:t xml:space="preserve">wo horses were </w:t>
      </w:r>
      <w:r w:rsidR="00132341">
        <w:rPr>
          <w:rFonts w:cstheme="minorHAnsi"/>
          <w:sz w:val="22"/>
          <w:szCs w:val="22"/>
          <w:lang w:val="en-NZ"/>
        </w:rPr>
        <w:t xml:space="preserve">removed </w:t>
      </w:r>
      <w:r w:rsidR="00A827A7">
        <w:rPr>
          <w:rFonts w:cstheme="minorHAnsi"/>
          <w:sz w:val="22"/>
          <w:szCs w:val="22"/>
          <w:lang w:val="en-NZ"/>
        </w:rPr>
        <w:t>(1 horse with both joints affect</w:t>
      </w:r>
      <w:r w:rsidR="00DB70CC">
        <w:rPr>
          <w:rFonts w:cstheme="minorHAnsi"/>
          <w:sz w:val="22"/>
          <w:szCs w:val="22"/>
          <w:lang w:val="en-NZ"/>
        </w:rPr>
        <w:t>ed,</w:t>
      </w:r>
      <w:r w:rsidR="00A827A7">
        <w:rPr>
          <w:rFonts w:cstheme="minorHAnsi"/>
          <w:sz w:val="22"/>
          <w:szCs w:val="22"/>
          <w:lang w:val="en-NZ"/>
        </w:rPr>
        <w:t xml:space="preserve"> 1 horse with one joint affected)</w:t>
      </w:r>
      <w:r w:rsidR="00A827A7" w:rsidRPr="00B73947">
        <w:rPr>
          <w:rFonts w:cstheme="minorHAnsi"/>
          <w:sz w:val="22"/>
          <w:szCs w:val="22"/>
          <w:lang w:val="en-NZ"/>
        </w:rPr>
        <w:t xml:space="preserve">, resulting in 11 </w:t>
      </w:r>
      <w:r w:rsidR="00B97341">
        <w:rPr>
          <w:rFonts w:cstheme="minorHAnsi"/>
          <w:sz w:val="22"/>
          <w:szCs w:val="22"/>
          <w:lang w:val="en-NZ"/>
        </w:rPr>
        <w:t xml:space="preserve">middle </w:t>
      </w:r>
      <w:r w:rsidR="00A827A7" w:rsidRPr="00B73947">
        <w:rPr>
          <w:rFonts w:cstheme="minorHAnsi"/>
          <w:sz w:val="22"/>
          <w:szCs w:val="22"/>
          <w:lang w:val="en-NZ"/>
        </w:rPr>
        <w:t xml:space="preserve">carpal joints for treatment evaluation. There were </w:t>
      </w:r>
      <w:r>
        <w:rPr>
          <w:rFonts w:cstheme="minorHAnsi"/>
          <w:sz w:val="22"/>
          <w:szCs w:val="22"/>
          <w:lang w:val="en-NZ"/>
        </w:rPr>
        <w:t xml:space="preserve">initially </w:t>
      </w:r>
      <w:r w:rsidR="00A827A7" w:rsidRPr="00B73947">
        <w:rPr>
          <w:rFonts w:cstheme="minorHAnsi"/>
          <w:sz w:val="22"/>
          <w:szCs w:val="22"/>
          <w:lang w:val="en-NZ"/>
        </w:rPr>
        <w:t>10 horses enrolled</w:t>
      </w:r>
      <w:r w:rsidR="00A827A7">
        <w:rPr>
          <w:rFonts w:cstheme="minorHAnsi"/>
          <w:sz w:val="22"/>
          <w:szCs w:val="22"/>
          <w:lang w:val="en-NZ"/>
        </w:rPr>
        <w:t xml:space="preserve"> in the HA group,</w:t>
      </w:r>
      <w:r w:rsidR="00A827A7" w:rsidRPr="00B73947">
        <w:rPr>
          <w:rFonts w:cstheme="minorHAnsi"/>
          <w:sz w:val="22"/>
          <w:szCs w:val="22"/>
          <w:lang w:val="en-NZ"/>
        </w:rPr>
        <w:t xml:space="preserve"> of which </w:t>
      </w:r>
      <w:r w:rsidR="0041340B">
        <w:rPr>
          <w:rFonts w:cstheme="minorHAnsi"/>
          <w:sz w:val="22"/>
          <w:szCs w:val="22"/>
          <w:lang w:val="en-NZ"/>
        </w:rPr>
        <w:t>2</w:t>
      </w:r>
      <w:r w:rsidR="00A827A7" w:rsidRPr="00B73947">
        <w:rPr>
          <w:rFonts w:cstheme="minorHAnsi"/>
          <w:sz w:val="22"/>
          <w:szCs w:val="22"/>
          <w:lang w:val="en-NZ"/>
        </w:rPr>
        <w:t xml:space="preserve"> horses had both </w:t>
      </w:r>
      <w:r w:rsidR="00B97341">
        <w:rPr>
          <w:rFonts w:cstheme="minorHAnsi"/>
          <w:sz w:val="22"/>
          <w:szCs w:val="22"/>
          <w:lang w:val="en-NZ"/>
        </w:rPr>
        <w:t xml:space="preserve">middle </w:t>
      </w:r>
      <w:r w:rsidR="00A827A7" w:rsidRPr="00B73947">
        <w:rPr>
          <w:rFonts w:cstheme="minorHAnsi"/>
          <w:sz w:val="22"/>
          <w:szCs w:val="22"/>
          <w:lang w:val="en-NZ"/>
        </w:rPr>
        <w:t>carpal joints (left and right) affected</w:t>
      </w:r>
      <w:r w:rsidR="00A827A7">
        <w:rPr>
          <w:rFonts w:cstheme="minorHAnsi"/>
          <w:sz w:val="22"/>
          <w:szCs w:val="22"/>
          <w:lang w:val="en-NZ"/>
        </w:rPr>
        <w:t xml:space="preserve">. </w:t>
      </w:r>
      <w:r w:rsidR="002A0355">
        <w:rPr>
          <w:rFonts w:cstheme="minorHAnsi"/>
          <w:sz w:val="22"/>
          <w:szCs w:val="22"/>
          <w:lang w:val="en-NZ"/>
        </w:rPr>
        <w:t>Two</w:t>
      </w:r>
      <w:r w:rsidR="00A827A7" w:rsidRPr="00B73947">
        <w:rPr>
          <w:rFonts w:cstheme="minorHAnsi"/>
          <w:sz w:val="22"/>
          <w:szCs w:val="22"/>
          <w:lang w:val="en-NZ"/>
        </w:rPr>
        <w:t xml:space="preserve"> horse</w:t>
      </w:r>
      <w:r w:rsidR="002A0355">
        <w:rPr>
          <w:rFonts w:cstheme="minorHAnsi"/>
          <w:sz w:val="22"/>
          <w:szCs w:val="22"/>
          <w:lang w:val="en-NZ"/>
        </w:rPr>
        <w:t>s</w:t>
      </w:r>
      <w:r w:rsidR="00A827A7" w:rsidRPr="00B73947">
        <w:rPr>
          <w:rFonts w:cstheme="minorHAnsi"/>
          <w:sz w:val="22"/>
          <w:szCs w:val="22"/>
          <w:lang w:val="en-NZ"/>
        </w:rPr>
        <w:t xml:space="preserve"> </w:t>
      </w:r>
      <w:r w:rsidR="00A827A7">
        <w:rPr>
          <w:rFonts w:cstheme="minorHAnsi"/>
          <w:sz w:val="22"/>
          <w:szCs w:val="22"/>
          <w:lang w:val="en-NZ"/>
        </w:rPr>
        <w:t>w</w:t>
      </w:r>
      <w:r w:rsidR="002A0355">
        <w:rPr>
          <w:rFonts w:cstheme="minorHAnsi"/>
          <w:sz w:val="22"/>
          <w:szCs w:val="22"/>
          <w:lang w:val="en-NZ"/>
        </w:rPr>
        <w:t>ere</w:t>
      </w:r>
      <w:r w:rsidR="00A827A7">
        <w:rPr>
          <w:rFonts w:cstheme="minorHAnsi"/>
          <w:sz w:val="22"/>
          <w:szCs w:val="22"/>
          <w:lang w:val="en-NZ"/>
        </w:rPr>
        <w:t xml:space="preserve"> </w:t>
      </w:r>
      <w:r w:rsidR="00132341">
        <w:rPr>
          <w:rFonts w:cstheme="minorHAnsi"/>
          <w:sz w:val="22"/>
          <w:szCs w:val="22"/>
          <w:lang w:val="en-NZ"/>
        </w:rPr>
        <w:t>removed</w:t>
      </w:r>
      <w:r w:rsidR="00C93480">
        <w:rPr>
          <w:rFonts w:cstheme="minorHAnsi"/>
          <w:sz w:val="22"/>
          <w:szCs w:val="22"/>
          <w:lang w:val="en-NZ"/>
        </w:rPr>
        <w:t xml:space="preserve"> </w:t>
      </w:r>
      <w:r w:rsidR="00983357">
        <w:rPr>
          <w:rFonts w:cstheme="minorHAnsi"/>
          <w:sz w:val="22"/>
          <w:szCs w:val="22"/>
          <w:lang w:val="en-NZ"/>
        </w:rPr>
        <w:t>(1 joint</w:t>
      </w:r>
      <w:r w:rsidR="00B4084D">
        <w:rPr>
          <w:rFonts w:cstheme="minorHAnsi"/>
          <w:sz w:val="22"/>
          <w:szCs w:val="22"/>
          <w:lang w:val="en-NZ"/>
        </w:rPr>
        <w:t xml:space="preserve"> </w:t>
      </w:r>
      <w:r w:rsidR="00983357">
        <w:rPr>
          <w:rFonts w:cstheme="minorHAnsi"/>
          <w:sz w:val="22"/>
          <w:szCs w:val="22"/>
          <w:lang w:val="en-NZ"/>
        </w:rPr>
        <w:t>affected each)</w:t>
      </w:r>
      <w:r w:rsidR="00A827A7" w:rsidRPr="00B73947">
        <w:rPr>
          <w:rFonts w:cstheme="minorHAnsi"/>
          <w:sz w:val="22"/>
          <w:szCs w:val="22"/>
          <w:lang w:val="en-NZ"/>
        </w:rPr>
        <w:t xml:space="preserve">, resulting in 10 </w:t>
      </w:r>
      <w:r w:rsidR="00B97341">
        <w:rPr>
          <w:rFonts w:cstheme="minorHAnsi"/>
          <w:sz w:val="22"/>
          <w:szCs w:val="22"/>
          <w:lang w:val="en-NZ"/>
        </w:rPr>
        <w:t xml:space="preserve">middle </w:t>
      </w:r>
      <w:r w:rsidR="00A827A7" w:rsidRPr="00B73947">
        <w:rPr>
          <w:rFonts w:cstheme="minorHAnsi"/>
          <w:sz w:val="22"/>
          <w:szCs w:val="22"/>
          <w:lang w:val="en-NZ"/>
        </w:rPr>
        <w:t>carpal joints for treatment evaluation</w:t>
      </w:r>
      <w:r w:rsidR="00596043">
        <w:rPr>
          <w:rFonts w:cstheme="minorHAnsi"/>
          <w:sz w:val="22"/>
          <w:szCs w:val="22"/>
          <w:lang w:val="en-NZ"/>
        </w:rPr>
        <w:t>.</w:t>
      </w:r>
      <w:r w:rsidR="000C3196">
        <w:rPr>
          <w:rFonts w:cstheme="minorHAnsi"/>
          <w:sz w:val="22"/>
          <w:szCs w:val="22"/>
          <w:lang w:val="en-NZ"/>
        </w:rPr>
        <w:t xml:space="preserve"> </w:t>
      </w:r>
      <w:r>
        <w:rPr>
          <w:rFonts w:cstheme="minorHAnsi"/>
          <w:sz w:val="22"/>
          <w:szCs w:val="22"/>
          <w:lang w:val="en-NZ"/>
        </w:rPr>
        <w:t>A total of 26 horses (33 joints) were then available for treatment analysis at the end of the study.</w:t>
      </w:r>
      <w:r>
        <w:rPr>
          <w:rFonts w:cstheme="minorHAnsi"/>
          <w:sz w:val="22"/>
          <w:szCs w:val="22"/>
        </w:rPr>
        <w:t xml:space="preserve"> </w:t>
      </w:r>
    </w:p>
    <w:p w14:paraId="188E9422" w14:textId="77777777" w:rsidR="00A05E0D" w:rsidRDefault="00A05E0D" w:rsidP="003232A4">
      <w:pPr>
        <w:spacing w:line="480" w:lineRule="auto"/>
        <w:rPr>
          <w:rFonts w:cstheme="minorHAnsi"/>
          <w:sz w:val="22"/>
          <w:szCs w:val="22"/>
        </w:rPr>
      </w:pPr>
    </w:p>
    <w:p w14:paraId="5329CCFE" w14:textId="4B6FB1E1" w:rsidR="00A05E0D" w:rsidRPr="00FF719C" w:rsidRDefault="00FF719C" w:rsidP="003232A4">
      <w:pPr>
        <w:spacing w:line="480" w:lineRule="auto"/>
        <w:rPr>
          <w:rFonts w:cstheme="minorHAnsi"/>
          <w:b/>
          <w:bCs/>
          <w:sz w:val="22"/>
          <w:szCs w:val="22"/>
        </w:rPr>
      </w:pPr>
      <w:r>
        <w:rPr>
          <w:rFonts w:cstheme="minorHAnsi"/>
          <w:b/>
          <w:bCs/>
          <w:sz w:val="22"/>
          <w:szCs w:val="22"/>
        </w:rPr>
        <w:t xml:space="preserve">3.2 </w:t>
      </w:r>
      <w:r w:rsidR="00F45D92" w:rsidRPr="00FF719C">
        <w:rPr>
          <w:rFonts w:cstheme="minorHAnsi"/>
          <w:b/>
          <w:bCs/>
          <w:sz w:val="22"/>
          <w:szCs w:val="22"/>
        </w:rPr>
        <w:t>Horses withdrawn</w:t>
      </w:r>
    </w:p>
    <w:p w14:paraId="02C92629" w14:textId="34D21DA6" w:rsidR="00E9361A" w:rsidRDefault="00F45D92" w:rsidP="003232A4">
      <w:pPr>
        <w:spacing w:line="480" w:lineRule="auto"/>
        <w:rPr>
          <w:rFonts w:cstheme="minorHAnsi"/>
          <w:sz w:val="22"/>
          <w:szCs w:val="22"/>
          <w:lang w:val="en-NZ"/>
        </w:rPr>
      </w:pPr>
      <w:r w:rsidRPr="00677B91">
        <w:rPr>
          <w:rFonts w:cstheme="minorHAnsi"/>
          <w:sz w:val="22"/>
          <w:szCs w:val="22"/>
          <w:lang w:val="en-NZ"/>
        </w:rPr>
        <w:t xml:space="preserve">In the TA group, </w:t>
      </w:r>
      <w:r w:rsidR="00B6224B" w:rsidRPr="00677B91">
        <w:rPr>
          <w:rFonts w:cstheme="minorHAnsi"/>
          <w:sz w:val="22"/>
          <w:szCs w:val="22"/>
          <w:lang w:val="en-NZ"/>
        </w:rPr>
        <w:t>4</w:t>
      </w:r>
      <w:r w:rsidRPr="00677B91">
        <w:rPr>
          <w:rFonts w:cstheme="minorHAnsi"/>
          <w:sz w:val="22"/>
          <w:szCs w:val="22"/>
          <w:lang w:val="en-NZ"/>
        </w:rPr>
        <w:t xml:space="preserve"> horses (4 joints</w:t>
      </w:r>
      <w:r w:rsidR="00CC1D9C" w:rsidRPr="00677B91">
        <w:rPr>
          <w:rFonts w:cstheme="minorHAnsi"/>
          <w:sz w:val="22"/>
          <w:szCs w:val="22"/>
          <w:lang w:val="en-NZ"/>
        </w:rPr>
        <w:t>; 2 at 2 weeks, 1 at 4 weeks, and 1 at 6 weeks</w:t>
      </w:r>
      <w:r w:rsidRPr="00677B91">
        <w:rPr>
          <w:rFonts w:cstheme="minorHAnsi"/>
          <w:sz w:val="22"/>
          <w:szCs w:val="22"/>
          <w:lang w:val="en-NZ"/>
        </w:rPr>
        <w:t>)</w:t>
      </w:r>
      <w:r>
        <w:rPr>
          <w:rFonts w:cstheme="minorHAnsi"/>
          <w:sz w:val="22"/>
          <w:szCs w:val="22"/>
          <w:lang w:val="en-NZ"/>
        </w:rPr>
        <w:t xml:space="preserve"> were withdrawn due to intolerable deterioration in lameness before completing the study period</w:t>
      </w:r>
      <w:r w:rsidR="00C5425E">
        <w:rPr>
          <w:rFonts w:cstheme="minorHAnsi"/>
          <w:sz w:val="22"/>
          <w:szCs w:val="22"/>
          <w:lang w:val="en-NZ"/>
        </w:rPr>
        <w:t xml:space="preserve"> </w:t>
      </w:r>
      <w:r>
        <w:rPr>
          <w:rFonts w:cstheme="minorHAnsi"/>
          <w:sz w:val="22"/>
          <w:szCs w:val="22"/>
          <w:lang w:val="en-NZ"/>
        </w:rPr>
        <w:t xml:space="preserve">and included in the statistical analysis as treatment failures. None of the horses were withdrawn in the 2.5% PAAG or in the HA groups. </w:t>
      </w:r>
      <w:r w:rsidR="00067047">
        <w:rPr>
          <w:rFonts w:cstheme="minorHAnsi"/>
          <w:sz w:val="22"/>
          <w:szCs w:val="22"/>
          <w:lang w:val="en-NZ"/>
        </w:rPr>
        <w:t xml:space="preserve"> </w:t>
      </w:r>
    </w:p>
    <w:p w14:paraId="04365C98" w14:textId="77777777" w:rsidR="00C93480" w:rsidRDefault="00C93480" w:rsidP="003232A4">
      <w:pPr>
        <w:spacing w:line="480" w:lineRule="auto"/>
        <w:rPr>
          <w:sz w:val="22"/>
          <w:szCs w:val="22"/>
        </w:rPr>
      </w:pPr>
    </w:p>
    <w:p w14:paraId="7E88AABA" w14:textId="35025241" w:rsidR="00F42558" w:rsidRPr="00FF719C" w:rsidRDefault="00FF719C" w:rsidP="003232A4">
      <w:pPr>
        <w:spacing w:line="480" w:lineRule="auto"/>
        <w:rPr>
          <w:b/>
          <w:bCs/>
          <w:sz w:val="22"/>
          <w:szCs w:val="22"/>
        </w:rPr>
      </w:pPr>
      <w:r>
        <w:rPr>
          <w:b/>
          <w:bCs/>
          <w:sz w:val="22"/>
          <w:szCs w:val="22"/>
        </w:rPr>
        <w:t xml:space="preserve">3.3 </w:t>
      </w:r>
      <w:r w:rsidR="00F45D92" w:rsidRPr="00FF719C">
        <w:rPr>
          <w:b/>
          <w:bCs/>
          <w:sz w:val="22"/>
          <w:szCs w:val="22"/>
        </w:rPr>
        <w:t xml:space="preserve">Radiological </w:t>
      </w:r>
      <w:r w:rsidR="00122977" w:rsidRPr="00FF719C">
        <w:rPr>
          <w:b/>
          <w:bCs/>
          <w:sz w:val="22"/>
          <w:szCs w:val="22"/>
        </w:rPr>
        <w:t xml:space="preserve">grades </w:t>
      </w:r>
      <w:r w:rsidR="00F45D92" w:rsidRPr="00FF719C">
        <w:rPr>
          <w:b/>
          <w:bCs/>
          <w:sz w:val="22"/>
          <w:szCs w:val="22"/>
        </w:rPr>
        <w:t>on admission</w:t>
      </w:r>
      <w:r w:rsidR="00072448" w:rsidRPr="00FF719C">
        <w:rPr>
          <w:b/>
          <w:bCs/>
          <w:sz w:val="22"/>
          <w:szCs w:val="22"/>
        </w:rPr>
        <w:t xml:space="preserve"> </w:t>
      </w:r>
      <w:r w:rsidR="00F45D92" w:rsidRPr="00FF719C">
        <w:rPr>
          <w:b/>
          <w:bCs/>
          <w:sz w:val="22"/>
          <w:szCs w:val="22"/>
        </w:rPr>
        <w:t>(</w:t>
      </w:r>
      <w:r w:rsidR="00072448" w:rsidRPr="00AF3261">
        <w:rPr>
          <w:b/>
          <w:bCs/>
          <w:sz w:val="22"/>
          <w:szCs w:val="22"/>
          <w:u w:val="single"/>
        </w:rPr>
        <w:t>Table 2</w:t>
      </w:r>
      <w:r w:rsidR="00F45D92" w:rsidRPr="00FF719C">
        <w:rPr>
          <w:b/>
          <w:bCs/>
          <w:sz w:val="22"/>
          <w:szCs w:val="22"/>
        </w:rPr>
        <w:t>)</w:t>
      </w:r>
    </w:p>
    <w:p w14:paraId="7CD6CE57" w14:textId="1B560AC8" w:rsidR="00ED4891" w:rsidRDefault="00F45D92" w:rsidP="003232A4">
      <w:pPr>
        <w:spacing w:line="480" w:lineRule="auto"/>
        <w:rPr>
          <w:sz w:val="22"/>
          <w:szCs w:val="22"/>
        </w:rPr>
      </w:pPr>
      <w:r w:rsidRPr="009A1DAA">
        <w:rPr>
          <w:sz w:val="22"/>
          <w:szCs w:val="22"/>
        </w:rPr>
        <w:t>O</w:t>
      </w:r>
      <w:r w:rsidRPr="00F31EC2">
        <w:rPr>
          <w:sz w:val="22"/>
          <w:szCs w:val="22"/>
        </w:rPr>
        <w:t>n admission</w:t>
      </w:r>
      <w:r w:rsidR="005E7DA1">
        <w:rPr>
          <w:sz w:val="22"/>
          <w:szCs w:val="22"/>
        </w:rPr>
        <w:t>,</w:t>
      </w:r>
      <w:r w:rsidRPr="00F31EC2">
        <w:rPr>
          <w:sz w:val="22"/>
          <w:szCs w:val="22"/>
        </w:rPr>
        <w:t xml:space="preserve"> </w:t>
      </w:r>
      <w:r w:rsidR="000F5DFD" w:rsidRPr="00F31EC2">
        <w:rPr>
          <w:sz w:val="22"/>
          <w:szCs w:val="22"/>
        </w:rPr>
        <w:t>1</w:t>
      </w:r>
      <w:r w:rsidR="007A760F">
        <w:rPr>
          <w:sz w:val="22"/>
          <w:szCs w:val="22"/>
        </w:rPr>
        <w:t>9</w:t>
      </w:r>
      <w:r w:rsidR="000F5DFD" w:rsidRPr="00F31EC2">
        <w:rPr>
          <w:sz w:val="22"/>
          <w:szCs w:val="22"/>
        </w:rPr>
        <w:t>/33</w:t>
      </w:r>
      <w:r w:rsidR="000F5DFD" w:rsidRPr="009A1DAA">
        <w:rPr>
          <w:sz w:val="22"/>
          <w:szCs w:val="22"/>
        </w:rPr>
        <w:t xml:space="preserve"> (5</w:t>
      </w:r>
      <w:r w:rsidR="007A760F">
        <w:rPr>
          <w:sz w:val="22"/>
          <w:szCs w:val="22"/>
        </w:rPr>
        <w:t>8</w:t>
      </w:r>
      <w:r w:rsidR="000F5DFD" w:rsidRPr="009A1DAA">
        <w:rPr>
          <w:sz w:val="22"/>
          <w:szCs w:val="22"/>
        </w:rPr>
        <w:t xml:space="preserve">%) joints </w:t>
      </w:r>
      <w:r w:rsidR="003F2A3A" w:rsidRPr="009A1DAA">
        <w:rPr>
          <w:sz w:val="22"/>
          <w:szCs w:val="22"/>
        </w:rPr>
        <w:t xml:space="preserve">were </w:t>
      </w:r>
      <w:r w:rsidR="003F2A3A" w:rsidRPr="00F31EC2">
        <w:rPr>
          <w:sz w:val="22"/>
          <w:szCs w:val="22"/>
        </w:rPr>
        <w:t>graded</w:t>
      </w:r>
      <w:r w:rsidRPr="00F31EC2">
        <w:rPr>
          <w:sz w:val="22"/>
          <w:szCs w:val="22"/>
        </w:rPr>
        <w:t xml:space="preserve"> as </w:t>
      </w:r>
      <w:r w:rsidR="00832563" w:rsidRPr="009A1DAA">
        <w:rPr>
          <w:sz w:val="22"/>
          <w:szCs w:val="22"/>
        </w:rPr>
        <w:t>0</w:t>
      </w:r>
      <w:r>
        <w:rPr>
          <w:sz w:val="22"/>
          <w:szCs w:val="22"/>
        </w:rPr>
        <w:t xml:space="preserve">. </w:t>
      </w:r>
      <w:r w:rsidR="007A760F">
        <w:rPr>
          <w:sz w:val="22"/>
          <w:szCs w:val="22"/>
        </w:rPr>
        <w:t>Five</w:t>
      </w:r>
      <w:r w:rsidR="008F2817">
        <w:rPr>
          <w:sz w:val="22"/>
          <w:szCs w:val="22"/>
        </w:rPr>
        <w:t xml:space="preserve"> </w:t>
      </w:r>
      <w:r>
        <w:rPr>
          <w:sz w:val="22"/>
          <w:szCs w:val="22"/>
        </w:rPr>
        <w:t xml:space="preserve">joints showed </w:t>
      </w:r>
      <w:r w:rsidR="008F2817">
        <w:rPr>
          <w:sz w:val="22"/>
          <w:szCs w:val="22"/>
        </w:rPr>
        <w:t xml:space="preserve">no abnormal </w:t>
      </w:r>
      <w:r>
        <w:rPr>
          <w:sz w:val="22"/>
          <w:szCs w:val="22"/>
        </w:rPr>
        <w:t xml:space="preserve">radiographic </w:t>
      </w:r>
      <w:r w:rsidR="008F2817">
        <w:rPr>
          <w:sz w:val="22"/>
          <w:szCs w:val="22"/>
        </w:rPr>
        <w:t>findings</w:t>
      </w:r>
      <w:r>
        <w:rPr>
          <w:sz w:val="22"/>
          <w:szCs w:val="22"/>
        </w:rPr>
        <w:t xml:space="preserve"> (</w:t>
      </w:r>
      <w:r w:rsidR="007B09C8">
        <w:rPr>
          <w:sz w:val="22"/>
          <w:szCs w:val="22"/>
        </w:rPr>
        <w:t xml:space="preserve">2 in each </w:t>
      </w:r>
      <w:r w:rsidR="007A760F">
        <w:rPr>
          <w:sz w:val="22"/>
          <w:szCs w:val="22"/>
        </w:rPr>
        <w:t xml:space="preserve">of the </w:t>
      </w:r>
      <w:r w:rsidR="00527B86">
        <w:rPr>
          <w:sz w:val="22"/>
          <w:szCs w:val="22"/>
        </w:rPr>
        <w:t xml:space="preserve">2.5% PAAG </w:t>
      </w:r>
      <w:r w:rsidR="007A760F">
        <w:rPr>
          <w:sz w:val="22"/>
          <w:szCs w:val="22"/>
        </w:rPr>
        <w:t xml:space="preserve">and TA groups and 1 in the HA </w:t>
      </w:r>
      <w:r w:rsidR="007B09C8">
        <w:rPr>
          <w:sz w:val="22"/>
          <w:szCs w:val="22"/>
        </w:rPr>
        <w:t>group</w:t>
      </w:r>
      <w:r>
        <w:rPr>
          <w:sz w:val="22"/>
          <w:szCs w:val="22"/>
        </w:rPr>
        <w:t>)</w:t>
      </w:r>
      <w:r w:rsidR="008F2817">
        <w:rPr>
          <w:sz w:val="22"/>
          <w:szCs w:val="22"/>
        </w:rPr>
        <w:t xml:space="preserve"> and 1</w:t>
      </w:r>
      <w:r w:rsidR="007A760F">
        <w:rPr>
          <w:sz w:val="22"/>
          <w:szCs w:val="22"/>
        </w:rPr>
        <w:t>4</w:t>
      </w:r>
      <w:r w:rsidR="008F2817">
        <w:rPr>
          <w:sz w:val="22"/>
          <w:szCs w:val="22"/>
        </w:rPr>
        <w:t xml:space="preserve"> </w:t>
      </w:r>
      <w:r>
        <w:rPr>
          <w:sz w:val="22"/>
          <w:szCs w:val="22"/>
        </w:rPr>
        <w:t>joints showed</w:t>
      </w:r>
      <w:r w:rsidR="008F2817">
        <w:rPr>
          <w:sz w:val="22"/>
          <w:szCs w:val="22"/>
        </w:rPr>
        <w:t xml:space="preserve"> </w:t>
      </w:r>
      <w:r w:rsidR="00625B3B">
        <w:rPr>
          <w:sz w:val="22"/>
          <w:szCs w:val="22"/>
        </w:rPr>
        <w:t xml:space="preserve">mild sclerosis </w:t>
      </w:r>
      <w:r w:rsidR="008F2817">
        <w:rPr>
          <w:sz w:val="22"/>
          <w:szCs w:val="22"/>
        </w:rPr>
        <w:t xml:space="preserve">of the radial facet </w:t>
      </w:r>
      <w:r>
        <w:rPr>
          <w:sz w:val="22"/>
          <w:szCs w:val="22"/>
        </w:rPr>
        <w:t xml:space="preserve">of </w:t>
      </w:r>
      <w:r w:rsidR="008F2817">
        <w:rPr>
          <w:sz w:val="22"/>
          <w:szCs w:val="22"/>
        </w:rPr>
        <w:t xml:space="preserve">C3 and/or mild sclerosis of the </w:t>
      </w:r>
      <w:r w:rsidR="00625B3B">
        <w:rPr>
          <w:sz w:val="22"/>
          <w:szCs w:val="22"/>
        </w:rPr>
        <w:t xml:space="preserve">radiocarpal </w:t>
      </w:r>
      <w:r w:rsidR="008F2817">
        <w:rPr>
          <w:sz w:val="22"/>
          <w:szCs w:val="22"/>
        </w:rPr>
        <w:t xml:space="preserve">or intermediate carpal </w:t>
      </w:r>
      <w:r w:rsidR="00625B3B">
        <w:rPr>
          <w:sz w:val="22"/>
          <w:szCs w:val="22"/>
        </w:rPr>
        <w:t>bone</w:t>
      </w:r>
      <w:r w:rsidR="007B09C8">
        <w:rPr>
          <w:sz w:val="22"/>
          <w:szCs w:val="22"/>
        </w:rPr>
        <w:t xml:space="preserve"> </w:t>
      </w:r>
      <w:r>
        <w:rPr>
          <w:sz w:val="22"/>
          <w:szCs w:val="22"/>
        </w:rPr>
        <w:t>(</w:t>
      </w:r>
      <w:r w:rsidR="007A760F">
        <w:rPr>
          <w:sz w:val="22"/>
          <w:szCs w:val="22"/>
        </w:rPr>
        <w:t>6</w:t>
      </w:r>
      <w:r w:rsidR="007B09C8">
        <w:rPr>
          <w:sz w:val="22"/>
          <w:szCs w:val="22"/>
        </w:rPr>
        <w:t xml:space="preserve"> in </w:t>
      </w:r>
      <w:r>
        <w:rPr>
          <w:sz w:val="22"/>
          <w:szCs w:val="22"/>
        </w:rPr>
        <w:t>2.5%</w:t>
      </w:r>
      <w:r w:rsidR="007B09C8">
        <w:rPr>
          <w:sz w:val="22"/>
          <w:szCs w:val="22"/>
        </w:rPr>
        <w:t xml:space="preserve"> </w:t>
      </w:r>
      <w:r>
        <w:rPr>
          <w:sz w:val="22"/>
          <w:szCs w:val="22"/>
        </w:rPr>
        <w:t>PAAG</w:t>
      </w:r>
      <w:r w:rsidR="007B09C8">
        <w:rPr>
          <w:sz w:val="22"/>
          <w:szCs w:val="22"/>
        </w:rPr>
        <w:t xml:space="preserve"> group, </w:t>
      </w:r>
      <w:r w:rsidR="007A760F">
        <w:rPr>
          <w:sz w:val="22"/>
          <w:szCs w:val="22"/>
        </w:rPr>
        <w:t>5</w:t>
      </w:r>
      <w:r w:rsidR="007B09C8">
        <w:rPr>
          <w:sz w:val="22"/>
          <w:szCs w:val="22"/>
        </w:rPr>
        <w:t xml:space="preserve"> in TA group, and 3 in HA group</w:t>
      </w:r>
      <w:r w:rsidR="00625B3B">
        <w:rPr>
          <w:sz w:val="22"/>
          <w:szCs w:val="22"/>
        </w:rPr>
        <w:t>)</w:t>
      </w:r>
      <w:r>
        <w:rPr>
          <w:sz w:val="22"/>
          <w:szCs w:val="22"/>
        </w:rPr>
        <w:t xml:space="preserve">. </w:t>
      </w:r>
    </w:p>
    <w:p w14:paraId="20AEC25A" w14:textId="4EE86CB4" w:rsidR="00ED4891" w:rsidRDefault="00F45D92" w:rsidP="003232A4">
      <w:pPr>
        <w:spacing w:line="480" w:lineRule="auto"/>
        <w:rPr>
          <w:sz w:val="22"/>
          <w:szCs w:val="22"/>
        </w:rPr>
      </w:pPr>
      <w:r>
        <w:rPr>
          <w:sz w:val="22"/>
          <w:szCs w:val="22"/>
        </w:rPr>
        <w:t>Twelve joints out of 33</w:t>
      </w:r>
      <w:r w:rsidR="000F5DFD" w:rsidRPr="00F31EC2">
        <w:rPr>
          <w:sz w:val="22"/>
          <w:szCs w:val="22"/>
        </w:rPr>
        <w:t xml:space="preserve"> (3</w:t>
      </w:r>
      <w:r w:rsidR="007B09C8">
        <w:rPr>
          <w:sz w:val="22"/>
          <w:szCs w:val="22"/>
        </w:rPr>
        <w:t>6</w:t>
      </w:r>
      <w:r w:rsidR="000F5DFD" w:rsidRPr="00F31EC2">
        <w:rPr>
          <w:sz w:val="22"/>
          <w:szCs w:val="22"/>
        </w:rPr>
        <w:t>%)</w:t>
      </w:r>
      <w:r>
        <w:rPr>
          <w:sz w:val="22"/>
          <w:szCs w:val="22"/>
        </w:rPr>
        <w:t xml:space="preserve"> </w:t>
      </w:r>
      <w:r w:rsidR="00A827A7" w:rsidRPr="00F31EC2">
        <w:rPr>
          <w:sz w:val="22"/>
          <w:szCs w:val="22"/>
        </w:rPr>
        <w:t xml:space="preserve">were graded as </w:t>
      </w:r>
      <w:r w:rsidR="00832563" w:rsidRPr="009A1DAA">
        <w:rPr>
          <w:sz w:val="22"/>
          <w:szCs w:val="22"/>
        </w:rPr>
        <w:t>1</w:t>
      </w:r>
      <w:r>
        <w:rPr>
          <w:sz w:val="22"/>
          <w:szCs w:val="22"/>
        </w:rPr>
        <w:t>. They showed m</w:t>
      </w:r>
      <w:r w:rsidR="008F2817">
        <w:rPr>
          <w:sz w:val="22"/>
          <w:szCs w:val="22"/>
        </w:rPr>
        <w:t xml:space="preserve">oderate sclerosis of radial facet of C3 and/or mild </w:t>
      </w:r>
      <w:r>
        <w:rPr>
          <w:sz w:val="22"/>
          <w:szCs w:val="22"/>
        </w:rPr>
        <w:t>re</w:t>
      </w:r>
      <w:r w:rsidR="00625B3B">
        <w:rPr>
          <w:sz w:val="22"/>
          <w:szCs w:val="22"/>
        </w:rPr>
        <w:t xml:space="preserve">modelling </w:t>
      </w:r>
      <w:r>
        <w:rPr>
          <w:sz w:val="22"/>
          <w:szCs w:val="22"/>
        </w:rPr>
        <w:t xml:space="preserve">of the </w:t>
      </w:r>
      <w:proofErr w:type="spellStart"/>
      <w:r w:rsidR="00625B3B">
        <w:rPr>
          <w:sz w:val="22"/>
          <w:szCs w:val="22"/>
        </w:rPr>
        <w:t>dorsodistal</w:t>
      </w:r>
      <w:proofErr w:type="spellEnd"/>
      <w:r w:rsidR="00625B3B">
        <w:rPr>
          <w:sz w:val="22"/>
          <w:szCs w:val="22"/>
        </w:rPr>
        <w:t xml:space="preserve"> </w:t>
      </w:r>
      <w:r>
        <w:rPr>
          <w:sz w:val="22"/>
          <w:szCs w:val="22"/>
        </w:rPr>
        <w:t xml:space="preserve">aspect of the </w:t>
      </w:r>
      <w:r w:rsidR="00625B3B">
        <w:rPr>
          <w:sz w:val="22"/>
          <w:szCs w:val="22"/>
        </w:rPr>
        <w:t xml:space="preserve">radiocarpal </w:t>
      </w:r>
      <w:r w:rsidR="008F2817">
        <w:rPr>
          <w:sz w:val="22"/>
          <w:szCs w:val="22"/>
        </w:rPr>
        <w:t xml:space="preserve">or intermediate carpal </w:t>
      </w:r>
      <w:r w:rsidR="00625B3B">
        <w:rPr>
          <w:sz w:val="22"/>
          <w:szCs w:val="22"/>
        </w:rPr>
        <w:t>bone</w:t>
      </w:r>
      <w:r>
        <w:rPr>
          <w:sz w:val="22"/>
          <w:szCs w:val="22"/>
        </w:rPr>
        <w:t xml:space="preserve"> (</w:t>
      </w:r>
      <w:r w:rsidR="007B09C8">
        <w:rPr>
          <w:sz w:val="22"/>
          <w:szCs w:val="22"/>
        </w:rPr>
        <w:t xml:space="preserve">4 in </w:t>
      </w:r>
      <w:r>
        <w:rPr>
          <w:sz w:val="22"/>
          <w:szCs w:val="22"/>
        </w:rPr>
        <w:t>2.5% PAAG group,</w:t>
      </w:r>
      <w:r w:rsidR="007B09C8">
        <w:rPr>
          <w:sz w:val="22"/>
          <w:szCs w:val="22"/>
        </w:rPr>
        <w:t xml:space="preserve"> 5 in TA group, and 3 in HA group</w:t>
      </w:r>
      <w:r w:rsidR="00625B3B">
        <w:rPr>
          <w:sz w:val="22"/>
          <w:szCs w:val="22"/>
        </w:rPr>
        <w:t>)</w:t>
      </w:r>
      <w:r>
        <w:rPr>
          <w:sz w:val="22"/>
          <w:szCs w:val="22"/>
        </w:rPr>
        <w:t>.</w:t>
      </w:r>
    </w:p>
    <w:p w14:paraId="2B9E351E" w14:textId="79CDD703" w:rsidR="00C32E95" w:rsidRDefault="00F45D92" w:rsidP="003232A4">
      <w:pPr>
        <w:spacing w:line="480" w:lineRule="auto"/>
        <w:rPr>
          <w:sz w:val="22"/>
          <w:szCs w:val="22"/>
        </w:rPr>
      </w:pPr>
      <w:r>
        <w:rPr>
          <w:sz w:val="22"/>
          <w:szCs w:val="22"/>
        </w:rPr>
        <w:t xml:space="preserve">Two joints out of </w:t>
      </w:r>
      <w:r w:rsidR="000F5DFD" w:rsidRPr="009A1DAA">
        <w:rPr>
          <w:sz w:val="22"/>
          <w:szCs w:val="22"/>
        </w:rPr>
        <w:t>33 (</w:t>
      </w:r>
      <w:r w:rsidR="00BF7A3D" w:rsidRPr="00F31EC2">
        <w:rPr>
          <w:sz w:val="22"/>
          <w:szCs w:val="22"/>
        </w:rPr>
        <w:t>6</w:t>
      </w:r>
      <w:r w:rsidR="000F5DFD" w:rsidRPr="009A1DAA">
        <w:rPr>
          <w:sz w:val="22"/>
          <w:szCs w:val="22"/>
        </w:rPr>
        <w:t xml:space="preserve">%) </w:t>
      </w:r>
      <w:r>
        <w:rPr>
          <w:sz w:val="22"/>
          <w:szCs w:val="22"/>
        </w:rPr>
        <w:t xml:space="preserve">were graded </w:t>
      </w:r>
      <w:r w:rsidR="009973D9" w:rsidRPr="00F31EC2">
        <w:rPr>
          <w:sz w:val="22"/>
          <w:szCs w:val="22"/>
        </w:rPr>
        <w:t xml:space="preserve">as </w:t>
      </w:r>
      <w:r w:rsidR="00070AB7">
        <w:rPr>
          <w:sz w:val="22"/>
          <w:szCs w:val="22"/>
        </w:rPr>
        <w:t>2</w:t>
      </w:r>
      <w:r>
        <w:rPr>
          <w:sz w:val="22"/>
          <w:szCs w:val="22"/>
        </w:rPr>
        <w:t>. They showed moderate sharp osteophytic re</w:t>
      </w:r>
      <w:r w:rsidR="00625B3B">
        <w:rPr>
          <w:sz w:val="22"/>
          <w:szCs w:val="22"/>
        </w:rPr>
        <w:t xml:space="preserve">modelling </w:t>
      </w:r>
      <w:r w:rsidR="008F2817">
        <w:rPr>
          <w:sz w:val="22"/>
          <w:szCs w:val="22"/>
        </w:rPr>
        <w:t xml:space="preserve">of the </w:t>
      </w:r>
      <w:proofErr w:type="spellStart"/>
      <w:r w:rsidR="00625B3B">
        <w:rPr>
          <w:sz w:val="22"/>
          <w:szCs w:val="22"/>
        </w:rPr>
        <w:t>dorsodistal</w:t>
      </w:r>
      <w:proofErr w:type="spellEnd"/>
      <w:r w:rsidR="00625B3B">
        <w:rPr>
          <w:sz w:val="22"/>
          <w:szCs w:val="22"/>
        </w:rPr>
        <w:t xml:space="preserve"> </w:t>
      </w:r>
      <w:r>
        <w:rPr>
          <w:sz w:val="22"/>
          <w:szCs w:val="22"/>
        </w:rPr>
        <w:t xml:space="preserve">aspect of the </w:t>
      </w:r>
      <w:r w:rsidR="00625B3B">
        <w:rPr>
          <w:sz w:val="22"/>
          <w:szCs w:val="22"/>
        </w:rPr>
        <w:t xml:space="preserve">radiocarpal bone with associated </w:t>
      </w:r>
      <w:r w:rsidR="008F2817">
        <w:rPr>
          <w:sz w:val="22"/>
          <w:szCs w:val="22"/>
        </w:rPr>
        <w:t>moderate</w:t>
      </w:r>
      <w:r w:rsidR="00625B3B">
        <w:rPr>
          <w:sz w:val="22"/>
          <w:szCs w:val="22"/>
        </w:rPr>
        <w:t xml:space="preserve"> subchondral sclerosis</w:t>
      </w:r>
      <w:r>
        <w:rPr>
          <w:sz w:val="22"/>
          <w:szCs w:val="22"/>
        </w:rPr>
        <w:t xml:space="preserve"> (</w:t>
      </w:r>
      <w:r w:rsidR="007B09C8">
        <w:rPr>
          <w:sz w:val="22"/>
          <w:szCs w:val="22"/>
        </w:rPr>
        <w:t xml:space="preserve">1 in </w:t>
      </w:r>
      <w:r>
        <w:rPr>
          <w:sz w:val="22"/>
          <w:szCs w:val="22"/>
        </w:rPr>
        <w:t xml:space="preserve">2.5% PAAG </w:t>
      </w:r>
      <w:r w:rsidR="007B09C8">
        <w:rPr>
          <w:sz w:val="22"/>
          <w:szCs w:val="22"/>
        </w:rPr>
        <w:t>group and 1 in HA group</w:t>
      </w:r>
      <w:r w:rsidR="00625B3B">
        <w:rPr>
          <w:sz w:val="22"/>
          <w:szCs w:val="22"/>
        </w:rPr>
        <w:t>)</w:t>
      </w:r>
      <w:r>
        <w:rPr>
          <w:sz w:val="22"/>
          <w:szCs w:val="22"/>
        </w:rPr>
        <w:t>.</w:t>
      </w:r>
    </w:p>
    <w:p w14:paraId="162C8DCF" w14:textId="10616A44" w:rsidR="00A8355E" w:rsidRPr="009A1DAA" w:rsidRDefault="00A8355E" w:rsidP="003232A4">
      <w:pPr>
        <w:spacing w:line="480" w:lineRule="auto"/>
        <w:rPr>
          <w:sz w:val="22"/>
          <w:szCs w:val="22"/>
        </w:rPr>
      </w:pPr>
    </w:p>
    <w:p w14:paraId="46490216" w14:textId="1BB2AD50" w:rsidR="00453277" w:rsidRPr="00FF719C" w:rsidRDefault="00FF719C" w:rsidP="003232A4">
      <w:pPr>
        <w:spacing w:line="480" w:lineRule="auto"/>
        <w:rPr>
          <w:rFonts w:cstheme="minorHAnsi"/>
          <w:b/>
          <w:bCs/>
          <w:sz w:val="22"/>
          <w:szCs w:val="22"/>
        </w:rPr>
      </w:pPr>
      <w:r w:rsidRPr="00FF719C">
        <w:rPr>
          <w:rFonts w:cstheme="minorHAnsi"/>
          <w:b/>
          <w:bCs/>
          <w:sz w:val="22"/>
          <w:szCs w:val="22"/>
        </w:rPr>
        <w:t xml:space="preserve">3.4 </w:t>
      </w:r>
      <w:r w:rsidR="00F45D92" w:rsidRPr="00FF719C">
        <w:rPr>
          <w:rFonts w:cstheme="minorHAnsi"/>
          <w:b/>
          <w:bCs/>
          <w:sz w:val="22"/>
          <w:szCs w:val="22"/>
        </w:rPr>
        <w:t>Lameness</w:t>
      </w:r>
    </w:p>
    <w:p w14:paraId="510E57E1" w14:textId="29159FAA" w:rsidR="00C3081F" w:rsidRDefault="00F45D92" w:rsidP="003232A4">
      <w:pPr>
        <w:spacing w:line="480" w:lineRule="auto"/>
        <w:rPr>
          <w:rFonts w:cstheme="minorHAnsi"/>
          <w:sz w:val="22"/>
          <w:szCs w:val="22"/>
        </w:rPr>
      </w:pPr>
      <w:r w:rsidRPr="006832C9">
        <w:rPr>
          <w:rFonts w:cstheme="minorHAnsi"/>
          <w:sz w:val="22"/>
          <w:szCs w:val="22"/>
        </w:rPr>
        <w:t>At 2-weeks</w:t>
      </w:r>
      <w:r w:rsidR="005F431F">
        <w:rPr>
          <w:rFonts w:cstheme="minorHAnsi"/>
          <w:sz w:val="22"/>
          <w:szCs w:val="22"/>
        </w:rPr>
        <w:t>,</w:t>
      </w:r>
      <w:r w:rsidRPr="006832C9">
        <w:rPr>
          <w:rFonts w:cstheme="minorHAnsi"/>
          <w:sz w:val="22"/>
          <w:szCs w:val="22"/>
        </w:rPr>
        <w:t xml:space="preserve"> the percentage </w:t>
      </w:r>
      <w:r w:rsidR="008E575A">
        <w:rPr>
          <w:rFonts w:cstheme="minorHAnsi"/>
          <w:sz w:val="22"/>
          <w:szCs w:val="22"/>
        </w:rPr>
        <w:t xml:space="preserve">and number </w:t>
      </w:r>
      <w:r w:rsidRPr="006832C9">
        <w:rPr>
          <w:rFonts w:cstheme="minorHAnsi"/>
          <w:sz w:val="22"/>
          <w:szCs w:val="22"/>
        </w:rPr>
        <w:t>of lame</w:t>
      </w:r>
      <w:r w:rsidR="00F51C9C">
        <w:rPr>
          <w:rFonts w:cstheme="minorHAnsi"/>
          <w:sz w:val="22"/>
          <w:szCs w:val="22"/>
        </w:rPr>
        <w:t xml:space="preserve"> </w:t>
      </w:r>
      <w:r w:rsidRPr="006832C9">
        <w:rPr>
          <w:rFonts w:cstheme="minorHAnsi"/>
          <w:sz w:val="22"/>
          <w:szCs w:val="22"/>
        </w:rPr>
        <w:t xml:space="preserve">free </w:t>
      </w:r>
      <w:r w:rsidR="001C7258" w:rsidRPr="006832C9">
        <w:rPr>
          <w:rFonts w:cstheme="minorHAnsi"/>
          <w:sz w:val="22"/>
          <w:szCs w:val="22"/>
        </w:rPr>
        <w:t>joints</w:t>
      </w:r>
      <w:r w:rsidRPr="006832C9">
        <w:rPr>
          <w:rFonts w:cstheme="minorHAnsi"/>
          <w:sz w:val="22"/>
          <w:szCs w:val="22"/>
        </w:rPr>
        <w:t xml:space="preserve"> </w:t>
      </w:r>
      <w:r w:rsidR="003D1023" w:rsidRPr="006832C9">
        <w:rPr>
          <w:rFonts w:cstheme="minorHAnsi"/>
          <w:sz w:val="22"/>
          <w:szCs w:val="22"/>
        </w:rPr>
        <w:t xml:space="preserve">was </w:t>
      </w:r>
      <w:r w:rsidR="005F431F" w:rsidRPr="006832C9">
        <w:rPr>
          <w:rFonts w:cstheme="minorHAnsi"/>
          <w:sz w:val="22"/>
          <w:szCs w:val="22"/>
        </w:rPr>
        <w:t>50%</w:t>
      </w:r>
      <w:r w:rsidR="005F431F">
        <w:rPr>
          <w:rFonts w:cstheme="minorHAnsi"/>
          <w:sz w:val="22"/>
          <w:szCs w:val="22"/>
        </w:rPr>
        <w:t xml:space="preserve"> for </w:t>
      </w:r>
      <w:r w:rsidR="003D1023" w:rsidRPr="006832C9">
        <w:rPr>
          <w:rFonts w:cstheme="minorHAnsi"/>
          <w:sz w:val="22"/>
          <w:szCs w:val="22"/>
        </w:rPr>
        <w:t>2.5% PAAG (</w:t>
      </w:r>
      <w:r w:rsidR="00C23BC7">
        <w:rPr>
          <w:rFonts w:cstheme="minorHAnsi"/>
          <w:sz w:val="22"/>
          <w:szCs w:val="22"/>
        </w:rPr>
        <w:t>6/12</w:t>
      </w:r>
      <w:r w:rsidR="003D1023" w:rsidRPr="006832C9">
        <w:rPr>
          <w:rFonts w:cstheme="minorHAnsi"/>
          <w:sz w:val="22"/>
          <w:szCs w:val="22"/>
        </w:rPr>
        <w:t>)</w:t>
      </w:r>
      <w:r w:rsidR="002B6844" w:rsidRPr="006832C9">
        <w:rPr>
          <w:rFonts w:cstheme="minorHAnsi"/>
          <w:sz w:val="22"/>
          <w:szCs w:val="22"/>
        </w:rPr>
        <w:t xml:space="preserve">, </w:t>
      </w:r>
      <w:r w:rsidR="005F431F" w:rsidRPr="006832C9">
        <w:rPr>
          <w:rFonts w:cstheme="minorHAnsi"/>
          <w:sz w:val="22"/>
          <w:szCs w:val="22"/>
        </w:rPr>
        <w:t>27%</w:t>
      </w:r>
      <w:r w:rsidR="005F431F">
        <w:rPr>
          <w:rFonts w:cstheme="minorHAnsi"/>
          <w:sz w:val="22"/>
          <w:szCs w:val="22"/>
        </w:rPr>
        <w:t xml:space="preserve"> for </w:t>
      </w:r>
      <w:r w:rsidR="002B6844" w:rsidRPr="006832C9">
        <w:rPr>
          <w:rFonts w:cstheme="minorHAnsi"/>
          <w:sz w:val="22"/>
          <w:szCs w:val="22"/>
        </w:rPr>
        <w:t>TA (</w:t>
      </w:r>
      <w:r w:rsidR="000F26D7">
        <w:rPr>
          <w:rFonts w:cstheme="minorHAnsi"/>
          <w:sz w:val="22"/>
          <w:szCs w:val="22"/>
        </w:rPr>
        <w:t>3/11</w:t>
      </w:r>
      <w:r w:rsidR="002B6844" w:rsidRPr="006832C9">
        <w:rPr>
          <w:rFonts w:cstheme="minorHAnsi"/>
          <w:sz w:val="22"/>
          <w:szCs w:val="22"/>
        </w:rPr>
        <w:t xml:space="preserve">) and </w:t>
      </w:r>
      <w:r w:rsidR="005F431F" w:rsidRPr="006832C9">
        <w:rPr>
          <w:rFonts w:cstheme="minorHAnsi"/>
          <w:sz w:val="22"/>
          <w:szCs w:val="22"/>
        </w:rPr>
        <w:t>40%</w:t>
      </w:r>
      <w:r w:rsidR="005F431F">
        <w:rPr>
          <w:rFonts w:cstheme="minorHAnsi"/>
          <w:sz w:val="22"/>
          <w:szCs w:val="22"/>
        </w:rPr>
        <w:t xml:space="preserve"> for </w:t>
      </w:r>
      <w:r w:rsidR="002B6844" w:rsidRPr="006832C9">
        <w:rPr>
          <w:rFonts w:cstheme="minorHAnsi"/>
          <w:sz w:val="22"/>
          <w:szCs w:val="22"/>
        </w:rPr>
        <w:t>HA (</w:t>
      </w:r>
      <w:r w:rsidR="00BA5658">
        <w:rPr>
          <w:rFonts w:cstheme="minorHAnsi"/>
          <w:sz w:val="22"/>
          <w:szCs w:val="22"/>
        </w:rPr>
        <w:t>4/10</w:t>
      </w:r>
      <w:r w:rsidR="002B6844" w:rsidRPr="006832C9">
        <w:rPr>
          <w:rFonts w:cstheme="minorHAnsi"/>
          <w:sz w:val="22"/>
          <w:szCs w:val="22"/>
        </w:rPr>
        <w:t xml:space="preserve">), </w:t>
      </w:r>
      <w:r w:rsidR="00D76F51">
        <w:rPr>
          <w:rFonts w:cstheme="minorHAnsi"/>
          <w:sz w:val="22"/>
          <w:szCs w:val="22"/>
        </w:rPr>
        <w:t xml:space="preserve">with no </w:t>
      </w:r>
      <w:r w:rsidR="00FC5224">
        <w:rPr>
          <w:rFonts w:cstheme="minorHAnsi"/>
          <w:sz w:val="22"/>
          <w:szCs w:val="22"/>
        </w:rPr>
        <w:t>statistically</w:t>
      </w:r>
      <w:r w:rsidR="005C02E5" w:rsidRPr="006832C9">
        <w:rPr>
          <w:rFonts w:cstheme="minorHAnsi"/>
          <w:sz w:val="22"/>
          <w:szCs w:val="22"/>
        </w:rPr>
        <w:t xml:space="preserve"> significant difference</w:t>
      </w:r>
      <w:r w:rsidR="005F431F">
        <w:rPr>
          <w:rFonts w:cstheme="minorHAnsi"/>
          <w:sz w:val="22"/>
          <w:szCs w:val="22"/>
        </w:rPr>
        <w:t xml:space="preserve"> between group</w:t>
      </w:r>
      <w:r w:rsidR="00B93223">
        <w:rPr>
          <w:rFonts w:cstheme="minorHAnsi"/>
          <w:sz w:val="22"/>
          <w:szCs w:val="22"/>
        </w:rPr>
        <w:t>s</w:t>
      </w:r>
      <w:r w:rsidR="00072448">
        <w:rPr>
          <w:rFonts w:cstheme="minorHAnsi"/>
          <w:sz w:val="22"/>
          <w:szCs w:val="22"/>
        </w:rPr>
        <w:t xml:space="preserve"> (p</w:t>
      </w:r>
      <w:r>
        <w:rPr>
          <w:rFonts w:cstheme="minorHAnsi"/>
          <w:sz w:val="22"/>
          <w:szCs w:val="22"/>
        </w:rPr>
        <w:t>=0.537</w:t>
      </w:r>
      <w:r w:rsidR="00072448">
        <w:rPr>
          <w:rFonts w:cstheme="minorHAnsi"/>
          <w:sz w:val="22"/>
          <w:szCs w:val="22"/>
        </w:rPr>
        <w:t>)</w:t>
      </w:r>
      <w:r w:rsidR="006F11EE" w:rsidRPr="006832C9">
        <w:rPr>
          <w:rFonts w:cstheme="minorHAnsi"/>
          <w:sz w:val="22"/>
          <w:szCs w:val="22"/>
        </w:rPr>
        <w:t xml:space="preserve">. </w:t>
      </w:r>
    </w:p>
    <w:p w14:paraId="1E87319B" w14:textId="57A80361" w:rsidR="00C3081F" w:rsidRDefault="00F45D92" w:rsidP="003232A4">
      <w:pPr>
        <w:spacing w:line="480" w:lineRule="auto"/>
        <w:rPr>
          <w:rFonts w:cstheme="minorHAnsi"/>
          <w:sz w:val="22"/>
          <w:szCs w:val="22"/>
        </w:rPr>
      </w:pPr>
      <w:r>
        <w:rPr>
          <w:rFonts w:cstheme="minorHAnsi"/>
          <w:sz w:val="22"/>
          <w:szCs w:val="22"/>
        </w:rPr>
        <w:t>At 4-weeks</w:t>
      </w:r>
      <w:r w:rsidR="005F431F">
        <w:rPr>
          <w:rFonts w:cstheme="minorHAnsi"/>
          <w:sz w:val="22"/>
          <w:szCs w:val="22"/>
        </w:rPr>
        <w:t>,</w:t>
      </w:r>
      <w:r w:rsidR="001C7258" w:rsidRPr="006832C9">
        <w:rPr>
          <w:rFonts w:cstheme="minorHAnsi"/>
          <w:sz w:val="22"/>
          <w:szCs w:val="22"/>
        </w:rPr>
        <w:t xml:space="preserve"> </w:t>
      </w:r>
      <w:r w:rsidR="00FC5224">
        <w:rPr>
          <w:rFonts w:cstheme="minorHAnsi"/>
          <w:sz w:val="22"/>
          <w:szCs w:val="22"/>
        </w:rPr>
        <w:t xml:space="preserve">it was </w:t>
      </w:r>
      <w:r w:rsidR="005F431F" w:rsidRPr="006832C9">
        <w:rPr>
          <w:rFonts w:cstheme="minorHAnsi"/>
          <w:sz w:val="22"/>
          <w:szCs w:val="22"/>
        </w:rPr>
        <w:t>83%</w:t>
      </w:r>
      <w:r w:rsidR="005F431F">
        <w:rPr>
          <w:rFonts w:cstheme="minorHAnsi"/>
          <w:sz w:val="22"/>
          <w:szCs w:val="22"/>
        </w:rPr>
        <w:t xml:space="preserve"> for </w:t>
      </w:r>
      <w:r w:rsidR="003F3352" w:rsidRPr="006832C9">
        <w:rPr>
          <w:rFonts w:cstheme="minorHAnsi"/>
          <w:sz w:val="22"/>
          <w:szCs w:val="22"/>
        </w:rPr>
        <w:t>2.5% PAAG (</w:t>
      </w:r>
      <w:r w:rsidR="00787719">
        <w:rPr>
          <w:rFonts w:cstheme="minorHAnsi"/>
          <w:sz w:val="22"/>
          <w:szCs w:val="22"/>
        </w:rPr>
        <w:t>10/12</w:t>
      </w:r>
      <w:r w:rsidR="003F3352" w:rsidRPr="006832C9">
        <w:rPr>
          <w:rFonts w:cstheme="minorHAnsi"/>
          <w:sz w:val="22"/>
          <w:szCs w:val="22"/>
        </w:rPr>
        <w:t xml:space="preserve">), </w:t>
      </w:r>
      <w:r w:rsidR="005F431F" w:rsidRPr="006832C9">
        <w:rPr>
          <w:rFonts w:cstheme="minorHAnsi"/>
          <w:sz w:val="22"/>
          <w:szCs w:val="22"/>
        </w:rPr>
        <w:t>36%</w:t>
      </w:r>
      <w:r w:rsidR="005F431F">
        <w:rPr>
          <w:rFonts w:cstheme="minorHAnsi"/>
          <w:sz w:val="22"/>
          <w:szCs w:val="22"/>
        </w:rPr>
        <w:t xml:space="preserve"> for </w:t>
      </w:r>
      <w:r w:rsidR="003F3352" w:rsidRPr="006832C9">
        <w:rPr>
          <w:rFonts w:cstheme="minorHAnsi"/>
          <w:sz w:val="22"/>
          <w:szCs w:val="22"/>
        </w:rPr>
        <w:t>TA (</w:t>
      </w:r>
      <w:r w:rsidR="009E1936">
        <w:rPr>
          <w:rFonts w:cstheme="minorHAnsi"/>
          <w:sz w:val="22"/>
          <w:szCs w:val="22"/>
        </w:rPr>
        <w:t>4/11</w:t>
      </w:r>
      <w:r w:rsidR="003F3352" w:rsidRPr="006832C9">
        <w:rPr>
          <w:rFonts w:cstheme="minorHAnsi"/>
          <w:sz w:val="22"/>
          <w:szCs w:val="22"/>
        </w:rPr>
        <w:t xml:space="preserve">), and </w:t>
      </w:r>
      <w:r w:rsidR="005F431F" w:rsidRPr="006832C9">
        <w:rPr>
          <w:rFonts w:cstheme="minorHAnsi"/>
          <w:sz w:val="22"/>
          <w:szCs w:val="22"/>
        </w:rPr>
        <w:t>60%</w:t>
      </w:r>
      <w:r w:rsidR="005F431F">
        <w:rPr>
          <w:rFonts w:cstheme="minorHAnsi"/>
          <w:sz w:val="22"/>
          <w:szCs w:val="22"/>
        </w:rPr>
        <w:t xml:space="preserve"> for </w:t>
      </w:r>
      <w:r w:rsidR="003F3352" w:rsidRPr="006832C9">
        <w:rPr>
          <w:rFonts w:cstheme="minorHAnsi"/>
          <w:sz w:val="22"/>
          <w:szCs w:val="22"/>
        </w:rPr>
        <w:t>HA (</w:t>
      </w:r>
      <w:r w:rsidR="009E1936">
        <w:rPr>
          <w:rFonts w:cstheme="minorHAnsi"/>
          <w:sz w:val="22"/>
          <w:szCs w:val="22"/>
        </w:rPr>
        <w:t>6/10</w:t>
      </w:r>
      <w:r w:rsidR="003F3352" w:rsidRPr="006832C9">
        <w:rPr>
          <w:rFonts w:cstheme="minorHAnsi"/>
          <w:sz w:val="22"/>
          <w:szCs w:val="22"/>
        </w:rPr>
        <w:t>), w</w:t>
      </w:r>
      <w:r w:rsidR="00AC6565" w:rsidRPr="006832C9">
        <w:rPr>
          <w:rFonts w:cstheme="minorHAnsi"/>
          <w:sz w:val="22"/>
          <w:szCs w:val="22"/>
        </w:rPr>
        <w:t xml:space="preserve">ith a </w:t>
      </w:r>
      <w:r w:rsidR="00AC6565" w:rsidRPr="008D53BA">
        <w:rPr>
          <w:rFonts w:cstheme="minorHAnsi"/>
          <w:sz w:val="22"/>
          <w:szCs w:val="22"/>
        </w:rPr>
        <w:t xml:space="preserve">statistical </w:t>
      </w:r>
      <w:r w:rsidR="005F431F" w:rsidRPr="008D53BA">
        <w:rPr>
          <w:rFonts w:cstheme="minorHAnsi"/>
          <w:sz w:val="22"/>
          <w:szCs w:val="22"/>
        </w:rPr>
        <w:t>difference</w:t>
      </w:r>
      <w:r w:rsidR="00AC6565" w:rsidRPr="008D53BA">
        <w:rPr>
          <w:rFonts w:cstheme="minorHAnsi"/>
          <w:sz w:val="22"/>
          <w:szCs w:val="22"/>
        </w:rPr>
        <w:t xml:space="preserve"> (p</w:t>
      </w:r>
      <w:r w:rsidRPr="008D53BA">
        <w:rPr>
          <w:rFonts w:cstheme="minorHAnsi"/>
          <w:sz w:val="22"/>
          <w:szCs w:val="22"/>
        </w:rPr>
        <w:t>=0.042)</w:t>
      </w:r>
      <w:r w:rsidR="00AC6565" w:rsidRPr="006832C9">
        <w:rPr>
          <w:rFonts w:cstheme="minorHAnsi"/>
          <w:sz w:val="22"/>
          <w:szCs w:val="22"/>
        </w:rPr>
        <w:t xml:space="preserve"> </w:t>
      </w:r>
      <w:r w:rsidR="00326B14">
        <w:rPr>
          <w:rFonts w:cstheme="minorHAnsi"/>
          <w:sz w:val="22"/>
          <w:szCs w:val="22"/>
        </w:rPr>
        <w:t>between</w:t>
      </w:r>
      <w:r w:rsidR="00FC5224">
        <w:rPr>
          <w:rFonts w:cstheme="minorHAnsi"/>
          <w:sz w:val="22"/>
          <w:szCs w:val="22"/>
        </w:rPr>
        <w:t xml:space="preserve"> group</w:t>
      </w:r>
      <w:r w:rsidR="00326B14">
        <w:rPr>
          <w:rFonts w:cstheme="minorHAnsi"/>
          <w:sz w:val="22"/>
          <w:szCs w:val="22"/>
        </w:rPr>
        <w:t>s</w:t>
      </w:r>
      <w:r w:rsidR="004F78AE">
        <w:rPr>
          <w:rFonts w:cstheme="minorHAnsi"/>
          <w:sz w:val="22"/>
          <w:szCs w:val="22"/>
        </w:rPr>
        <w:t xml:space="preserve"> in favour of the 2.5% PAAG treated group</w:t>
      </w:r>
      <w:r w:rsidR="00AC6565" w:rsidRPr="006832C9">
        <w:rPr>
          <w:rFonts w:cstheme="minorHAnsi"/>
          <w:sz w:val="22"/>
          <w:szCs w:val="22"/>
        </w:rPr>
        <w:t xml:space="preserve">.  </w:t>
      </w:r>
    </w:p>
    <w:p w14:paraId="3B6DFACC" w14:textId="648B5888" w:rsidR="00C3081F" w:rsidRDefault="00F45D92" w:rsidP="003232A4">
      <w:pPr>
        <w:spacing w:line="480" w:lineRule="auto"/>
        <w:rPr>
          <w:rFonts w:cstheme="minorHAnsi"/>
          <w:sz w:val="22"/>
          <w:szCs w:val="22"/>
        </w:rPr>
      </w:pPr>
      <w:r w:rsidRPr="006832C9">
        <w:rPr>
          <w:rFonts w:cstheme="minorHAnsi"/>
          <w:sz w:val="22"/>
          <w:szCs w:val="22"/>
        </w:rPr>
        <w:t>At 6</w:t>
      </w:r>
      <w:r w:rsidR="005F431F">
        <w:rPr>
          <w:rFonts w:cstheme="minorHAnsi"/>
          <w:sz w:val="22"/>
          <w:szCs w:val="22"/>
        </w:rPr>
        <w:t>-</w:t>
      </w:r>
      <w:r w:rsidRPr="006832C9">
        <w:rPr>
          <w:rFonts w:cstheme="minorHAnsi"/>
          <w:sz w:val="22"/>
          <w:szCs w:val="22"/>
        </w:rPr>
        <w:t xml:space="preserve">weeks </w:t>
      </w:r>
      <w:r w:rsidR="00B74877">
        <w:rPr>
          <w:rFonts w:cstheme="minorHAnsi"/>
          <w:sz w:val="22"/>
          <w:szCs w:val="22"/>
        </w:rPr>
        <w:t>(</w:t>
      </w:r>
      <w:r w:rsidR="00BC72E8">
        <w:rPr>
          <w:rFonts w:cstheme="minorHAnsi"/>
          <w:sz w:val="22"/>
          <w:szCs w:val="22"/>
          <w:u w:val="single"/>
        </w:rPr>
        <w:t>Table 3</w:t>
      </w:r>
      <w:r w:rsidR="00BC72E8" w:rsidRPr="00AF3261">
        <w:rPr>
          <w:rFonts w:cstheme="minorHAnsi"/>
          <w:sz w:val="22"/>
          <w:szCs w:val="22"/>
        </w:rPr>
        <w:t xml:space="preserve">; </w:t>
      </w:r>
      <w:r w:rsidR="00C87326">
        <w:rPr>
          <w:rFonts w:cstheme="minorHAnsi"/>
          <w:sz w:val="22"/>
          <w:szCs w:val="22"/>
        </w:rPr>
        <w:t xml:space="preserve">Figure </w:t>
      </w:r>
      <w:r w:rsidR="003C0063">
        <w:rPr>
          <w:rFonts w:cstheme="minorHAnsi"/>
          <w:sz w:val="22"/>
          <w:szCs w:val="22"/>
        </w:rPr>
        <w:t>2</w:t>
      </w:r>
      <w:r w:rsidR="00C87326">
        <w:rPr>
          <w:rFonts w:cstheme="minorHAnsi"/>
          <w:sz w:val="22"/>
          <w:szCs w:val="22"/>
        </w:rPr>
        <w:t>)</w:t>
      </w:r>
      <w:r w:rsidR="005F431F">
        <w:rPr>
          <w:rFonts w:cstheme="minorHAnsi"/>
          <w:sz w:val="22"/>
          <w:szCs w:val="22"/>
        </w:rPr>
        <w:t>,</w:t>
      </w:r>
      <w:r w:rsidR="00B74877">
        <w:rPr>
          <w:rFonts w:cstheme="minorHAnsi"/>
          <w:sz w:val="22"/>
          <w:szCs w:val="22"/>
        </w:rPr>
        <w:t xml:space="preserve"> </w:t>
      </w:r>
      <w:r w:rsidR="005F431F">
        <w:rPr>
          <w:rFonts w:cstheme="minorHAnsi"/>
          <w:sz w:val="22"/>
          <w:szCs w:val="22"/>
        </w:rPr>
        <w:t>it</w:t>
      </w:r>
      <w:r w:rsidRPr="006832C9">
        <w:rPr>
          <w:rFonts w:cstheme="minorHAnsi"/>
          <w:sz w:val="22"/>
          <w:szCs w:val="22"/>
        </w:rPr>
        <w:t xml:space="preserve"> was</w:t>
      </w:r>
      <w:r w:rsidR="00326B14">
        <w:rPr>
          <w:rFonts w:cstheme="minorHAnsi"/>
          <w:sz w:val="22"/>
          <w:szCs w:val="22"/>
        </w:rPr>
        <w:t xml:space="preserve"> </w:t>
      </w:r>
      <w:r w:rsidR="005F431F" w:rsidRPr="006832C9">
        <w:rPr>
          <w:rFonts w:cstheme="minorHAnsi"/>
          <w:sz w:val="22"/>
          <w:szCs w:val="22"/>
        </w:rPr>
        <w:t>83%</w:t>
      </w:r>
      <w:r w:rsidR="005F431F">
        <w:rPr>
          <w:rFonts w:cstheme="minorHAnsi"/>
          <w:sz w:val="22"/>
          <w:szCs w:val="22"/>
        </w:rPr>
        <w:t xml:space="preserve"> for </w:t>
      </w:r>
      <w:r w:rsidRPr="006832C9">
        <w:rPr>
          <w:rFonts w:cstheme="minorHAnsi"/>
          <w:sz w:val="22"/>
          <w:szCs w:val="22"/>
        </w:rPr>
        <w:t>2.5% PAAG (</w:t>
      </w:r>
      <w:r w:rsidR="009C6A4D">
        <w:rPr>
          <w:rFonts w:cstheme="minorHAnsi"/>
          <w:sz w:val="22"/>
          <w:szCs w:val="22"/>
        </w:rPr>
        <w:t>10/12</w:t>
      </w:r>
      <w:r w:rsidRPr="006832C9">
        <w:rPr>
          <w:rFonts w:cstheme="minorHAnsi"/>
          <w:sz w:val="22"/>
          <w:szCs w:val="22"/>
        </w:rPr>
        <w:t xml:space="preserve">), </w:t>
      </w:r>
      <w:r w:rsidR="005F431F" w:rsidRPr="006832C9">
        <w:rPr>
          <w:rFonts w:cstheme="minorHAnsi"/>
          <w:sz w:val="22"/>
          <w:szCs w:val="22"/>
        </w:rPr>
        <w:t>27%</w:t>
      </w:r>
      <w:r w:rsidR="005F431F">
        <w:rPr>
          <w:rFonts w:cstheme="minorHAnsi"/>
          <w:sz w:val="22"/>
          <w:szCs w:val="22"/>
        </w:rPr>
        <w:t xml:space="preserve"> for </w:t>
      </w:r>
      <w:r w:rsidRPr="006832C9">
        <w:rPr>
          <w:rFonts w:cstheme="minorHAnsi"/>
          <w:sz w:val="22"/>
          <w:szCs w:val="22"/>
        </w:rPr>
        <w:t>TA (</w:t>
      </w:r>
      <w:r w:rsidR="00466FF4">
        <w:rPr>
          <w:rFonts w:cstheme="minorHAnsi"/>
          <w:sz w:val="22"/>
          <w:szCs w:val="22"/>
        </w:rPr>
        <w:t>3/11</w:t>
      </w:r>
      <w:r w:rsidRPr="006832C9">
        <w:rPr>
          <w:rFonts w:cstheme="minorHAnsi"/>
          <w:sz w:val="22"/>
          <w:szCs w:val="22"/>
        </w:rPr>
        <w:t>) and</w:t>
      </w:r>
      <w:r w:rsidR="005F431F">
        <w:rPr>
          <w:rFonts w:cstheme="minorHAnsi"/>
          <w:sz w:val="22"/>
          <w:szCs w:val="22"/>
        </w:rPr>
        <w:t xml:space="preserve"> </w:t>
      </w:r>
      <w:r w:rsidR="005F431F" w:rsidRPr="006832C9">
        <w:rPr>
          <w:rFonts w:cstheme="minorHAnsi"/>
          <w:sz w:val="22"/>
          <w:szCs w:val="22"/>
        </w:rPr>
        <w:t>40%</w:t>
      </w:r>
      <w:r w:rsidR="005F431F">
        <w:rPr>
          <w:rFonts w:cstheme="minorHAnsi"/>
          <w:sz w:val="22"/>
          <w:szCs w:val="22"/>
        </w:rPr>
        <w:t xml:space="preserve"> for</w:t>
      </w:r>
      <w:r w:rsidRPr="006832C9">
        <w:rPr>
          <w:rFonts w:cstheme="minorHAnsi"/>
          <w:sz w:val="22"/>
          <w:szCs w:val="22"/>
        </w:rPr>
        <w:t xml:space="preserve"> HA (</w:t>
      </w:r>
      <w:r w:rsidR="00466FF4">
        <w:rPr>
          <w:rFonts w:cstheme="minorHAnsi"/>
          <w:sz w:val="22"/>
          <w:szCs w:val="22"/>
        </w:rPr>
        <w:t>4/10</w:t>
      </w:r>
      <w:r w:rsidR="00AB7053">
        <w:rPr>
          <w:rFonts w:cstheme="minorHAnsi"/>
          <w:sz w:val="22"/>
          <w:szCs w:val="22"/>
        </w:rPr>
        <w:t>)</w:t>
      </w:r>
      <w:r w:rsidR="00326B14">
        <w:rPr>
          <w:rFonts w:cstheme="minorHAnsi"/>
          <w:sz w:val="22"/>
          <w:szCs w:val="22"/>
        </w:rPr>
        <w:t xml:space="preserve"> </w:t>
      </w:r>
      <w:r w:rsidR="00326B14" w:rsidRPr="006832C9">
        <w:rPr>
          <w:rFonts w:cstheme="minorHAnsi"/>
          <w:sz w:val="22"/>
          <w:szCs w:val="22"/>
        </w:rPr>
        <w:t>with a</w:t>
      </w:r>
      <w:r w:rsidR="00326B14">
        <w:rPr>
          <w:rFonts w:cstheme="minorHAnsi"/>
          <w:sz w:val="22"/>
          <w:szCs w:val="22"/>
        </w:rPr>
        <w:t xml:space="preserve">gain </w:t>
      </w:r>
      <w:r w:rsidR="00326B14" w:rsidRPr="008D53BA">
        <w:rPr>
          <w:rFonts w:cstheme="minorHAnsi"/>
          <w:sz w:val="22"/>
          <w:szCs w:val="22"/>
        </w:rPr>
        <w:t>a statistical difference (p</w:t>
      </w:r>
      <w:r w:rsidRPr="008D53BA">
        <w:rPr>
          <w:rFonts w:cstheme="minorHAnsi"/>
          <w:sz w:val="22"/>
          <w:szCs w:val="22"/>
        </w:rPr>
        <w:t>=0.019</w:t>
      </w:r>
      <w:r w:rsidR="00326B14" w:rsidRPr="008D53BA">
        <w:rPr>
          <w:rFonts w:cstheme="minorHAnsi"/>
          <w:sz w:val="22"/>
          <w:szCs w:val="22"/>
        </w:rPr>
        <w:t>)</w:t>
      </w:r>
      <w:r w:rsidR="00326B14" w:rsidRPr="006832C9">
        <w:rPr>
          <w:rFonts w:cstheme="minorHAnsi"/>
          <w:sz w:val="22"/>
          <w:szCs w:val="22"/>
        </w:rPr>
        <w:t xml:space="preserve"> </w:t>
      </w:r>
      <w:r w:rsidR="00326B14">
        <w:rPr>
          <w:rFonts w:cstheme="minorHAnsi"/>
          <w:sz w:val="22"/>
          <w:szCs w:val="22"/>
        </w:rPr>
        <w:t>between groups</w:t>
      </w:r>
      <w:r w:rsidR="004F78AE">
        <w:rPr>
          <w:rFonts w:cstheme="minorHAnsi"/>
          <w:sz w:val="22"/>
          <w:szCs w:val="22"/>
        </w:rPr>
        <w:t xml:space="preserve"> in favour of the 2.5% PAAG treated group</w:t>
      </w:r>
      <w:r w:rsidR="00326B14">
        <w:rPr>
          <w:rFonts w:cstheme="minorHAnsi"/>
          <w:sz w:val="22"/>
          <w:szCs w:val="22"/>
        </w:rPr>
        <w:t xml:space="preserve">. </w:t>
      </w:r>
    </w:p>
    <w:p w14:paraId="3663DD35" w14:textId="77777777" w:rsidR="00970B1A" w:rsidRDefault="00F45D92" w:rsidP="00970B1A">
      <w:pPr>
        <w:spacing w:line="480" w:lineRule="auto"/>
        <w:rPr>
          <w:rFonts w:cstheme="minorHAnsi"/>
          <w:sz w:val="22"/>
          <w:szCs w:val="22"/>
        </w:rPr>
      </w:pPr>
      <w:r>
        <w:rPr>
          <w:rFonts w:cstheme="minorHAnsi"/>
          <w:sz w:val="22"/>
          <w:szCs w:val="22"/>
        </w:rPr>
        <w:t xml:space="preserve">Pairwise comparison indicated </w:t>
      </w:r>
      <w:r w:rsidR="003C4D2F">
        <w:rPr>
          <w:rFonts w:cstheme="minorHAnsi"/>
          <w:sz w:val="22"/>
          <w:szCs w:val="22"/>
        </w:rPr>
        <w:t xml:space="preserve">a significantly higher success rate for lameness </w:t>
      </w:r>
      <w:r w:rsidR="00165C7E">
        <w:rPr>
          <w:rFonts w:cstheme="minorHAnsi"/>
          <w:sz w:val="22"/>
          <w:szCs w:val="22"/>
        </w:rPr>
        <w:t>i</w:t>
      </w:r>
      <w:r w:rsidR="003C4D2F">
        <w:rPr>
          <w:rFonts w:cstheme="minorHAnsi"/>
          <w:sz w:val="22"/>
          <w:szCs w:val="22"/>
        </w:rPr>
        <w:t xml:space="preserve">n </w:t>
      </w:r>
      <w:r w:rsidR="00165C7E">
        <w:rPr>
          <w:rFonts w:cstheme="minorHAnsi"/>
          <w:sz w:val="22"/>
          <w:szCs w:val="22"/>
        </w:rPr>
        <w:t>the 2.5% PAAG group</w:t>
      </w:r>
      <w:r w:rsidR="003C4D2F">
        <w:rPr>
          <w:rFonts w:cstheme="minorHAnsi"/>
          <w:sz w:val="22"/>
          <w:szCs w:val="22"/>
        </w:rPr>
        <w:t xml:space="preserve"> versus TA </w:t>
      </w:r>
      <w:r>
        <w:rPr>
          <w:rFonts w:cstheme="minorHAnsi"/>
          <w:sz w:val="22"/>
          <w:szCs w:val="22"/>
        </w:rPr>
        <w:t>(p&lt;0.05; difference=56%, 95%CI 22-90%)</w:t>
      </w:r>
      <w:r w:rsidR="003C4D2F">
        <w:rPr>
          <w:rFonts w:cstheme="minorHAnsi"/>
          <w:sz w:val="22"/>
          <w:szCs w:val="22"/>
        </w:rPr>
        <w:t xml:space="preserve"> and versus HA </w:t>
      </w:r>
      <w:r>
        <w:rPr>
          <w:rFonts w:cstheme="minorHAnsi"/>
          <w:sz w:val="22"/>
          <w:szCs w:val="22"/>
        </w:rPr>
        <w:t>(p&lt;0.05; difference=43%, 95%CI 6-80%)</w:t>
      </w:r>
      <w:r w:rsidR="003C4D2F">
        <w:rPr>
          <w:rFonts w:cstheme="minorHAnsi"/>
          <w:sz w:val="22"/>
          <w:szCs w:val="22"/>
        </w:rPr>
        <w:t>.</w:t>
      </w:r>
    </w:p>
    <w:p w14:paraId="05FC036F" w14:textId="3AA964C5" w:rsidR="006B1AC7" w:rsidRPr="00970B1A" w:rsidRDefault="006B1AC7" w:rsidP="003232A4">
      <w:pPr>
        <w:spacing w:line="480" w:lineRule="auto"/>
        <w:rPr>
          <w:rFonts w:cstheme="minorHAnsi"/>
          <w:b/>
          <w:bCs/>
          <w:sz w:val="22"/>
          <w:szCs w:val="22"/>
          <w:lang w:val="en-AU"/>
        </w:rPr>
      </w:pPr>
      <w:r>
        <w:rPr>
          <w:rFonts w:cstheme="minorHAnsi"/>
          <w:sz w:val="22"/>
          <w:szCs w:val="22"/>
        </w:rPr>
        <w:lastRenderedPageBreak/>
        <w:t xml:space="preserve"> Table 4 summarises lameness results at 6-weeks with the exclusion of bilaterally lame horses. Treatment effects of 100%, 14% and 33% were observed for 2.5% PAAG, TA and HA respectively. Differences in effect of 86% (95% confidence interval 60-100%) and 67% (13-100%)</w:t>
      </w:r>
      <w:r w:rsidR="00970B1A">
        <w:rPr>
          <w:rFonts w:cstheme="minorHAnsi"/>
          <w:sz w:val="22"/>
          <w:szCs w:val="22"/>
        </w:rPr>
        <w:t xml:space="preserve"> were observed for 2.5% PAAG vs TA and 2.5% PAAG vs HA respectively; p = 0.003 and 0.014 for the respective comparisons (Table 4).</w:t>
      </w:r>
    </w:p>
    <w:p w14:paraId="16F2D9FC" w14:textId="4CAF34D0" w:rsidR="00830755" w:rsidRDefault="00F45D92" w:rsidP="003232A4">
      <w:pPr>
        <w:spacing w:line="480" w:lineRule="auto"/>
        <w:rPr>
          <w:rFonts w:cstheme="minorHAnsi"/>
          <w:sz w:val="22"/>
          <w:szCs w:val="22"/>
        </w:rPr>
      </w:pPr>
      <w:r>
        <w:rPr>
          <w:rFonts w:cstheme="minorHAnsi"/>
          <w:sz w:val="22"/>
          <w:szCs w:val="22"/>
        </w:rPr>
        <w:t>Of the joints</w:t>
      </w:r>
      <w:r w:rsidRPr="00CF0C6C">
        <w:rPr>
          <w:rFonts w:cstheme="minorHAnsi"/>
          <w:sz w:val="22"/>
          <w:szCs w:val="22"/>
        </w:rPr>
        <w:t xml:space="preserve"> treated with the 2.5% PAAG that were lame</w:t>
      </w:r>
      <w:r w:rsidR="00F51C9C">
        <w:rPr>
          <w:rFonts w:cstheme="minorHAnsi"/>
          <w:sz w:val="22"/>
          <w:szCs w:val="22"/>
        </w:rPr>
        <w:t xml:space="preserve"> </w:t>
      </w:r>
      <w:r w:rsidRPr="00CF0C6C">
        <w:rPr>
          <w:rFonts w:cstheme="minorHAnsi"/>
          <w:sz w:val="22"/>
          <w:szCs w:val="22"/>
        </w:rPr>
        <w:t xml:space="preserve">free at the </w:t>
      </w:r>
      <w:r>
        <w:rPr>
          <w:rFonts w:cstheme="minorHAnsi"/>
          <w:sz w:val="22"/>
          <w:szCs w:val="22"/>
        </w:rPr>
        <w:t>6-</w:t>
      </w:r>
      <w:r w:rsidRPr="00CF0C6C">
        <w:rPr>
          <w:rFonts w:cstheme="minorHAnsi"/>
          <w:sz w:val="22"/>
          <w:szCs w:val="22"/>
        </w:rPr>
        <w:t>week</w:t>
      </w:r>
      <w:r w:rsidR="003560C0">
        <w:rPr>
          <w:rFonts w:cstheme="minorHAnsi"/>
          <w:sz w:val="22"/>
          <w:szCs w:val="22"/>
        </w:rPr>
        <w:t>s</w:t>
      </w:r>
      <w:r w:rsidRPr="00CF0C6C">
        <w:rPr>
          <w:rFonts w:cstheme="minorHAnsi"/>
          <w:sz w:val="22"/>
          <w:szCs w:val="22"/>
        </w:rPr>
        <w:t xml:space="preserve"> point</w:t>
      </w:r>
      <w:r>
        <w:rPr>
          <w:rFonts w:cstheme="minorHAnsi"/>
          <w:sz w:val="22"/>
          <w:szCs w:val="22"/>
        </w:rPr>
        <w:t xml:space="preserve"> (10/12)</w:t>
      </w:r>
      <w:r w:rsidRPr="00CF0C6C">
        <w:rPr>
          <w:rFonts w:cstheme="minorHAnsi"/>
          <w:sz w:val="22"/>
          <w:szCs w:val="22"/>
        </w:rPr>
        <w:t>,</w:t>
      </w:r>
      <w:r>
        <w:rPr>
          <w:rFonts w:cstheme="minorHAnsi"/>
          <w:sz w:val="22"/>
          <w:szCs w:val="22"/>
        </w:rPr>
        <w:t xml:space="preserve"> all remained</w:t>
      </w:r>
      <w:r w:rsidRPr="00CF0C6C">
        <w:rPr>
          <w:rFonts w:cstheme="minorHAnsi"/>
          <w:sz w:val="22"/>
          <w:szCs w:val="22"/>
        </w:rPr>
        <w:t xml:space="preserve"> lame</w:t>
      </w:r>
      <w:r w:rsidR="00F51C9C">
        <w:rPr>
          <w:rFonts w:cstheme="minorHAnsi"/>
          <w:sz w:val="22"/>
          <w:szCs w:val="22"/>
        </w:rPr>
        <w:t xml:space="preserve"> </w:t>
      </w:r>
      <w:r w:rsidRPr="00CF0C6C">
        <w:rPr>
          <w:rFonts w:cstheme="minorHAnsi"/>
          <w:sz w:val="22"/>
          <w:szCs w:val="22"/>
        </w:rPr>
        <w:t xml:space="preserve">free </w:t>
      </w:r>
      <w:r>
        <w:rPr>
          <w:rFonts w:cstheme="minorHAnsi"/>
          <w:sz w:val="22"/>
          <w:szCs w:val="22"/>
        </w:rPr>
        <w:t xml:space="preserve">at </w:t>
      </w:r>
      <w:r w:rsidRPr="00CF0C6C">
        <w:rPr>
          <w:rFonts w:cstheme="minorHAnsi"/>
          <w:sz w:val="22"/>
          <w:szCs w:val="22"/>
        </w:rPr>
        <w:t>12</w:t>
      </w:r>
      <w:r>
        <w:rPr>
          <w:rFonts w:cstheme="minorHAnsi"/>
          <w:sz w:val="22"/>
          <w:szCs w:val="22"/>
        </w:rPr>
        <w:t>-</w:t>
      </w:r>
      <w:r w:rsidRPr="00CF0C6C">
        <w:rPr>
          <w:rFonts w:cstheme="minorHAnsi"/>
          <w:sz w:val="22"/>
          <w:szCs w:val="22"/>
        </w:rPr>
        <w:t xml:space="preserve">weeks, and all </w:t>
      </w:r>
      <w:r>
        <w:rPr>
          <w:rFonts w:cstheme="minorHAnsi"/>
          <w:sz w:val="22"/>
          <w:szCs w:val="22"/>
        </w:rPr>
        <w:t>continued in full</w:t>
      </w:r>
      <w:r w:rsidRPr="00CF0C6C">
        <w:rPr>
          <w:rFonts w:cstheme="minorHAnsi"/>
          <w:sz w:val="22"/>
          <w:szCs w:val="22"/>
        </w:rPr>
        <w:t xml:space="preserve"> training. </w:t>
      </w:r>
    </w:p>
    <w:p w14:paraId="6A49150E" w14:textId="26ED73A7" w:rsidR="00A16F57" w:rsidRDefault="00A16F57" w:rsidP="003232A4">
      <w:pPr>
        <w:spacing w:line="480" w:lineRule="auto"/>
        <w:rPr>
          <w:rFonts w:cstheme="minorHAnsi"/>
          <w:sz w:val="22"/>
          <w:szCs w:val="22"/>
        </w:rPr>
      </w:pPr>
    </w:p>
    <w:p w14:paraId="7E7A91C6" w14:textId="793E73E0" w:rsidR="00A05E0D" w:rsidRPr="00FF719C" w:rsidRDefault="00FF719C" w:rsidP="003232A4">
      <w:pPr>
        <w:spacing w:line="480" w:lineRule="auto"/>
        <w:rPr>
          <w:rFonts w:cstheme="minorHAnsi"/>
          <w:b/>
          <w:bCs/>
          <w:sz w:val="22"/>
          <w:szCs w:val="22"/>
        </w:rPr>
      </w:pPr>
      <w:r w:rsidRPr="00FF719C">
        <w:rPr>
          <w:rFonts w:cstheme="minorHAnsi"/>
          <w:b/>
          <w:bCs/>
          <w:sz w:val="22"/>
          <w:szCs w:val="22"/>
        </w:rPr>
        <w:t xml:space="preserve">3.5 </w:t>
      </w:r>
      <w:r w:rsidR="00F45D92" w:rsidRPr="00FF719C">
        <w:rPr>
          <w:rFonts w:cstheme="minorHAnsi"/>
          <w:b/>
          <w:bCs/>
          <w:sz w:val="22"/>
          <w:szCs w:val="22"/>
        </w:rPr>
        <w:t>Joint effusion</w:t>
      </w:r>
    </w:p>
    <w:p w14:paraId="44A2BA6F" w14:textId="77777777" w:rsidR="00BC72E8" w:rsidRDefault="00F45D92" w:rsidP="003232A4">
      <w:pPr>
        <w:spacing w:line="480" w:lineRule="auto"/>
        <w:rPr>
          <w:rFonts w:cstheme="minorHAnsi"/>
          <w:sz w:val="22"/>
          <w:szCs w:val="22"/>
        </w:rPr>
      </w:pPr>
      <w:r w:rsidRPr="00992ACF">
        <w:rPr>
          <w:rFonts w:cstheme="minorHAnsi"/>
          <w:sz w:val="22"/>
          <w:szCs w:val="22"/>
        </w:rPr>
        <w:t>At 2-weeks</w:t>
      </w:r>
      <w:r>
        <w:rPr>
          <w:rFonts w:cstheme="minorHAnsi"/>
          <w:sz w:val="22"/>
          <w:szCs w:val="22"/>
        </w:rPr>
        <w:t>,</w:t>
      </w:r>
      <w:r w:rsidRPr="00992ACF">
        <w:rPr>
          <w:rFonts w:cstheme="minorHAnsi"/>
          <w:sz w:val="22"/>
          <w:szCs w:val="22"/>
        </w:rPr>
        <w:t xml:space="preserve"> </w:t>
      </w:r>
      <w:r w:rsidR="00DE7BD3" w:rsidRPr="00992ACF">
        <w:rPr>
          <w:rFonts w:cstheme="minorHAnsi"/>
          <w:sz w:val="22"/>
          <w:szCs w:val="22"/>
        </w:rPr>
        <w:t xml:space="preserve">the percentage </w:t>
      </w:r>
      <w:r w:rsidR="008E575A">
        <w:rPr>
          <w:rFonts w:cstheme="minorHAnsi"/>
          <w:sz w:val="22"/>
          <w:szCs w:val="22"/>
        </w:rPr>
        <w:t xml:space="preserve">and number </w:t>
      </w:r>
      <w:r w:rsidR="00DE7BD3" w:rsidRPr="00992ACF">
        <w:rPr>
          <w:rFonts w:cstheme="minorHAnsi"/>
          <w:sz w:val="22"/>
          <w:szCs w:val="22"/>
        </w:rPr>
        <w:t xml:space="preserve">of </w:t>
      </w:r>
      <w:r w:rsidR="00B14189" w:rsidRPr="00992ACF">
        <w:rPr>
          <w:rFonts w:cstheme="minorHAnsi"/>
          <w:sz w:val="22"/>
          <w:szCs w:val="22"/>
        </w:rPr>
        <w:t xml:space="preserve">successful cases for the joint effusion parameter was </w:t>
      </w:r>
      <w:r>
        <w:rPr>
          <w:rFonts w:cstheme="minorHAnsi"/>
          <w:sz w:val="22"/>
          <w:szCs w:val="22"/>
        </w:rPr>
        <w:t>25</w:t>
      </w:r>
      <w:r w:rsidRPr="00992ACF">
        <w:rPr>
          <w:rFonts w:cstheme="minorHAnsi"/>
          <w:sz w:val="22"/>
          <w:szCs w:val="22"/>
        </w:rPr>
        <w:t>%</w:t>
      </w:r>
      <w:r>
        <w:rPr>
          <w:rFonts w:cstheme="minorHAnsi"/>
          <w:sz w:val="22"/>
          <w:szCs w:val="22"/>
        </w:rPr>
        <w:t xml:space="preserve"> for </w:t>
      </w:r>
      <w:r w:rsidR="00A971F4" w:rsidRPr="00992ACF">
        <w:rPr>
          <w:rFonts w:cstheme="minorHAnsi"/>
          <w:sz w:val="22"/>
          <w:szCs w:val="22"/>
        </w:rPr>
        <w:t>2.5% PAAG (</w:t>
      </w:r>
      <w:r w:rsidR="009B13D0">
        <w:rPr>
          <w:rFonts w:cstheme="minorHAnsi"/>
          <w:sz w:val="22"/>
          <w:szCs w:val="22"/>
        </w:rPr>
        <w:t>3/12</w:t>
      </w:r>
      <w:r w:rsidR="00A971F4" w:rsidRPr="00992ACF">
        <w:rPr>
          <w:rFonts w:cstheme="minorHAnsi"/>
          <w:sz w:val="22"/>
          <w:szCs w:val="22"/>
        </w:rPr>
        <w:t xml:space="preserve">), </w:t>
      </w:r>
      <w:r w:rsidRPr="00992ACF">
        <w:rPr>
          <w:rFonts w:cstheme="minorHAnsi"/>
          <w:sz w:val="22"/>
          <w:szCs w:val="22"/>
        </w:rPr>
        <w:t>0%</w:t>
      </w:r>
      <w:r>
        <w:rPr>
          <w:rFonts w:cstheme="minorHAnsi"/>
          <w:sz w:val="22"/>
          <w:szCs w:val="22"/>
        </w:rPr>
        <w:t xml:space="preserve"> for </w:t>
      </w:r>
      <w:r w:rsidR="00A971F4" w:rsidRPr="00992ACF">
        <w:rPr>
          <w:rFonts w:cstheme="minorHAnsi"/>
          <w:sz w:val="22"/>
          <w:szCs w:val="22"/>
        </w:rPr>
        <w:t xml:space="preserve">TA </w:t>
      </w:r>
      <w:r w:rsidR="00815D2A" w:rsidRPr="00992ACF">
        <w:rPr>
          <w:rFonts w:cstheme="minorHAnsi"/>
          <w:sz w:val="22"/>
          <w:szCs w:val="22"/>
        </w:rPr>
        <w:t>(</w:t>
      </w:r>
      <w:r w:rsidR="00714BF6">
        <w:rPr>
          <w:rFonts w:cstheme="minorHAnsi"/>
          <w:sz w:val="22"/>
          <w:szCs w:val="22"/>
        </w:rPr>
        <w:t>0/11</w:t>
      </w:r>
      <w:r w:rsidR="00815D2A" w:rsidRPr="00992ACF">
        <w:rPr>
          <w:rFonts w:cstheme="minorHAnsi"/>
          <w:sz w:val="22"/>
          <w:szCs w:val="22"/>
        </w:rPr>
        <w:t xml:space="preserve">) </w:t>
      </w:r>
      <w:r w:rsidR="00A971F4" w:rsidRPr="00992ACF">
        <w:rPr>
          <w:rFonts w:cstheme="minorHAnsi"/>
          <w:sz w:val="22"/>
          <w:szCs w:val="22"/>
        </w:rPr>
        <w:t xml:space="preserve">and </w:t>
      </w:r>
      <w:r w:rsidRPr="00992ACF">
        <w:rPr>
          <w:rFonts w:cstheme="minorHAnsi"/>
          <w:sz w:val="22"/>
          <w:szCs w:val="22"/>
        </w:rPr>
        <w:t>0%</w:t>
      </w:r>
      <w:r>
        <w:rPr>
          <w:rFonts w:cstheme="minorHAnsi"/>
          <w:sz w:val="22"/>
          <w:szCs w:val="22"/>
        </w:rPr>
        <w:t xml:space="preserve"> for </w:t>
      </w:r>
      <w:r w:rsidR="00A971F4" w:rsidRPr="00992ACF">
        <w:rPr>
          <w:rFonts w:cstheme="minorHAnsi"/>
          <w:sz w:val="22"/>
          <w:szCs w:val="22"/>
        </w:rPr>
        <w:t>HA</w:t>
      </w:r>
      <w:r w:rsidR="00815D2A" w:rsidRPr="00992ACF">
        <w:rPr>
          <w:rFonts w:cstheme="minorHAnsi"/>
          <w:sz w:val="22"/>
          <w:szCs w:val="22"/>
        </w:rPr>
        <w:t xml:space="preserve"> </w:t>
      </w:r>
      <w:r w:rsidR="00A971F4" w:rsidRPr="00992ACF">
        <w:rPr>
          <w:rFonts w:cstheme="minorHAnsi"/>
          <w:sz w:val="22"/>
          <w:szCs w:val="22"/>
        </w:rPr>
        <w:t>(</w:t>
      </w:r>
      <w:r w:rsidR="00714BF6">
        <w:rPr>
          <w:rFonts w:cstheme="minorHAnsi"/>
          <w:sz w:val="22"/>
          <w:szCs w:val="22"/>
        </w:rPr>
        <w:t>0/1</w:t>
      </w:r>
      <w:r>
        <w:rPr>
          <w:rFonts w:cstheme="minorHAnsi"/>
          <w:sz w:val="22"/>
          <w:szCs w:val="22"/>
        </w:rPr>
        <w:t>0</w:t>
      </w:r>
      <w:r w:rsidR="00A971F4" w:rsidRPr="00992ACF">
        <w:rPr>
          <w:rFonts w:cstheme="minorHAnsi"/>
          <w:sz w:val="22"/>
          <w:szCs w:val="22"/>
        </w:rPr>
        <w:t>)</w:t>
      </w:r>
      <w:r w:rsidR="00815D2A" w:rsidRPr="00992ACF">
        <w:rPr>
          <w:rFonts w:cstheme="minorHAnsi"/>
          <w:sz w:val="22"/>
          <w:szCs w:val="22"/>
        </w:rPr>
        <w:t xml:space="preserve">. </w:t>
      </w:r>
    </w:p>
    <w:p w14:paraId="693125BE" w14:textId="77777777" w:rsidR="00BC72E8" w:rsidRDefault="00F45D92" w:rsidP="003232A4">
      <w:pPr>
        <w:spacing w:line="480" w:lineRule="auto"/>
        <w:rPr>
          <w:rFonts w:cstheme="minorHAnsi"/>
          <w:sz w:val="22"/>
          <w:szCs w:val="22"/>
        </w:rPr>
      </w:pPr>
      <w:r w:rsidRPr="00992ACF">
        <w:rPr>
          <w:rFonts w:cstheme="minorHAnsi"/>
          <w:sz w:val="22"/>
          <w:szCs w:val="22"/>
        </w:rPr>
        <w:t>At 4-weeks</w:t>
      </w:r>
      <w:r w:rsidR="00A827A7">
        <w:rPr>
          <w:rFonts w:cstheme="minorHAnsi"/>
          <w:sz w:val="22"/>
          <w:szCs w:val="22"/>
        </w:rPr>
        <w:t>,</w:t>
      </w:r>
      <w:r w:rsidRPr="00992ACF">
        <w:rPr>
          <w:rFonts w:cstheme="minorHAnsi"/>
          <w:sz w:val="22"/>
          <w:szCs w:val="22"/>
        </w:rPr>
        <w:t xml:space="preserve"> </w:t>
      </w:r>
      <w:r w:rsidR="00A827A7">
        <w:rPr>
          <w:rFonts w:cstheme="minorHAnsi"/>
          <w:sz w:val="22"/>
          <w:szCs w:val="22"/>
        </w:rPr>
        <w:t>it</w:t>
      </w:r>
      <w:r w:rsidR="00570600" w:rsidRPr="00992ACF">
        <w:rPr>
          <w:rFonts w:cstheme="minorHAnsi"/>
          <w:sz w:val="22"/>
          <w:szCs w:val="22"/>
        </w:rPr>
        <w:t xml:space="preserve"> </w:t>
      </w:r>
      <w:r w:rsidR="009B071E" w:rsidRPr="00992ACF">
        <w:rPr>
          <w:rFonts w:cstheme="minorHAnsi"/>
          <w:sz w:val="22"/>
          <w:szCs w:val="22"/>
        </w:rPr>
        <w:t xml:space="preserve">was </w:t>
      </w:r>
      <w:r w:rsidR="00A827A7" w:rsidRPr="00992ACF">
        <w:rPr>
          <w:rFonts w:cstheme="minorHAnsi"/>
          <w:sz w:val="22"/>
          <w:szCs w:val="22"/>
        </w:rPr>
        <w:t>50%</w:t>
      </w:r>
      <w:r w:rsidR="00A827A7">
        <w:rPr>
          <w:rFonts w:cstheme="minorHAnsi"/>
          <w:sz w:val="22"/>
          <w:szCs w:val="22"/>
        </w:rPr>
        <w:t xml:space="preserve"> for </w:t>
      </w:r>
      <w:r w:rsidR="009B071E" w:rsidRPr="00992ACF">
        <w:rPr>
          <w:rFonts w:cstheme="minorHAnsi"/>
          <w:sz w:val="22"/>
          <w:szCs w:val="22"/>
        </w:rPr>
        <w:t>2.5% PAAG (</w:t>
      </w:r>
      <w:r w:rsidR="000F0773">
        <w:rPr>
          <w:rFonts w:cstheme="minorHAnsi"/>
          <w:sz w:val="22"/>
          <w:szCs w:val="22"/>
        </w:rPr>
        <w:t>6/12</w:t>
      </w:r>
      <w:r w:rsidR="009B071E" w:rsidRPr="00992ACF">
        <w:rPr>
          <w:rFonts w:cstheme="minorHAnsi"/>
          <w:sz w:val="22"/>
          <w:szCs w:val="22"/>
        </w:rPr>
        <w:t xml:space="preserve">), </w:t>
      </w:r>
      <w:r w:rsidR="00A827A7" w:rsidRPr="00992ACF">
        <w:rPr>
          <w:rFonts w:cstheme="minorHAnsi"/>
          <w:sz w:val="22"/>
          <w:szCs w:val="22"/>
        </w:rPr>
        <w:t>0%</w:t>
      </w:r>
      <w:r w:rsidR="00A827A7">
        <w:rPr>
          <w:rFonts w:cstheme="minorHAnsi"/>
          <w:sz w:val="22"/>
          <w:szCs w:val="22"/>
        </w:rPr>
        <w:t xml:space="preserve"> for </w:t>
      </w:r>
      <w:r w:rsidR="009B071E" w:rsidRPr="00992ACF">
        <w:rPr>
          <w:rFonts w:cstheme="minorHAnsi"/>
          <w:sz w:val="22"/>
          <w:szCs w:val="22"/>
        </w:rPr>
        <w:t>TA (</w:t>
      </w:r>
      <w:r w:rsidR="000F0773">
        <w:rPr>
          <w:rFonts w:cstheme="minorHAnsi"/>
          <w:sz w:val="22"/>
          <w:szCs w:val="22"/>
        </w:rPr>
        <w:t>0/</w:t>
      </w:r>
      <w:r w:rsidR="00995211">
        <w:rPr>
          <w:rFonts w:cstheme="minorHAnsi"/>
          <w:sz w:val="22"/>
          <w:szCs w:val="22"/>
        </w:rPr>
        <w:t>11</w:t>
      </w:r>
      <w:r w:rsidR="007A0FB4">
        <w:rPr>
          <w:rFonts w:cstheme="minorHAnsi"/>
          <w:sz w:val="22"/>
          <w:szCs w:val="22"/>
        </w:rPr>
        <w:t>)</w:t>
      </w:r>
      <w:r w:rsidR="009B071E" w:rsidRPr="00992ACF">
        <w:rPr>
          <w:rFonts w:cstheme="minorHAnsi"/>
          <w:sz w:val="22"/>
          <w:szCs w:val="22"/>
        </w:rPr>
        <w:t xml:space="preserve">, and </w:t>
      </w:r>
      <w:r w:rsidR="00A827A7" w:rsidRPr="00992ACF">
        <w:rPr>
          <w:rFonts w:cstheme="minorHAnsi"/>
          <w:sz w:val="22"/>
          <w:szCs w:val="22"/>
        </w:rPr>
        <w:t>0%</w:t>
      </w:r>
      <w:r w:rsidR="00A827A7">
        <w:rPr>
          <w:rFonts w:cstheme="minorHAnsi"/>
          <w:sz w:val="22"/>
          <w:szCs w:val="22"/>
        </w:rPr>
        <w:t xml:space="preserve"> for </w:t>
      </w:r>
      <w:r w:rsidR="009B071E" w:rsidRPr="00992ACF">
        <w:rPr>
          <w:rFonts w:cstheme="minorHAnsi"/>
          <w:sz w:val="22"/>
          <w:szCs w:val="22"/>
        </w:rPr>
        <w:t>HA (</w:t>
      </w:r>
      <w:r w:rsidR="000F0773">
        <w:rPr>
          <w:rFonts w:cstheme="minorHAnsi"/>
          <w:sz w:val="22"/>
          <w:szCs w:val="22"/>
        </w:rPr>
        <w:t>0/</w:t>
      </w:r>
      <w:r w:rsidR="00995211">
        <w:rPr>
          <w:rFonts w:cstheme="minorHAnsi"/>
          <w:sz w:val="22"/>
          <w:szCs w:val="22"/>
        </w:rPr>
        <w:t>1</w:t>
      </w:r>
      <w:r w:rsidR="00013578">
        <w:rPr>
          <w:rFonts w:cstheme="minorHAnsi"/>
          <w:sz w:val="22"/>
          <w:szCs w:val="22"/>
        </w:rPr>
        <w:t>0</w:t>
      </w:r>
      <w:r w:rsidR="009B071E" w:rsidRPr="00992ACF">
        <w:rPr>
          <w:rFonts w:cstheme="minorHAnsi"/>
          <w:sz w:val="22"/>
          <w:szCs w:val="22"/>
        </w:rPr>
        <w:t>)</w:t>
      </w:r>
      <w:r w:rsidR="00AE7A14">
        <w:rPr>
          <w:rFonts w:cstheme="minorHAnsi"/>
          <w:sz w:val="22"/>
          <w:szCs w:val="22"/>
        </w:rPr>
        <w:t xml:space="preserve">. </w:t>
      </w:r>
    </w:p>
    <w:p w14:paraId="7A470134" w14:textId="0918BE10" w:rsidR="008B74EB" w:rsidRPr="005E7DA1" w:rsidRDefault="00F45D92" w:rsidP="003232A4">
      <w:pPr>
        <w:spacing w:line="480" w:lineRule="auto"/>
        <w:rPr>
          <w:rFonts w:cstheme="minorHAnsi"/>
          <w:sz w:val="22"/>
          <w:szCs w:val="22"/>
          <w:lang w:val="en-US"/>
        </w:rPr>
      </w:pPr>
      <w:r>
        <w:rPr>
          <w:rFonts w:cstheme="minorHAnsi"/>
          <w:sz w:val="22"/>
          <w:szCs w:val="22"/>
        </w:rPr>
        <w:t>At</w:t>
      </w:r>
      <w:r w:rsidR="00D567BC" w:rsidRPr="00992ACF">
        <w:rPr>
          <w:rFonts w:cstheme="minorHAnsi"/>
          <w:sz w:val="22"/>
          <w:szCs w:val="22"/>
        </w:rPr>
        <w:t xml:space="preserve"> 6-weeks</w:t>
      </w:r>
      <w:r w:rsidR="000E1E77">
        <w:rPr>
          <w:rFonts w:cstheme="minorHAnsi"/>
          <w:sz w:val="22"/>
          <w:szCs w:val="22"/>
        </w:rPr>
        <w:t xml:space="preserve"> </w:t>
      </w:r>
      <w:r w:rsidR="00BC72E8" w:rsidRPr="00AF3261">
        <w:rPr>
          <w:rFonts w:cstheme="minorHAnsi"/>
          <w:sz w:val="22"/>
          <w:szCs w:val="22"/>
        </w:rPr>
        <w:t>(</w:t>
      </w:r>
      <w:r w:rsidR="00BC72E8">
        <w:rPr>
          <w:rFonts w:cstheme="minorHAnsi"/>
          <w:sz w:val="22"/>
          <w:szCs w:val="22"/>
          <w:u w:val="single"/>
        </w:rPr>
        <w:t>Table 3</w:t>
      </w:r>
      <w:r w:rsidR="00BC72E8" w:rsidRPr="00AF3261">
        <w:rPr>
          <w:rFonts w:cstheme="minorHAnsi"/>
          <w:sz w:val="22"/>
          <w:szCs w:val="22"/>
        </w:rPr>
        <w:t xml:space="preserve">; </w:t>
      </w:r>
      <w:r w:rsidR="00C87326">
        <w:rPr>
          <w:rFonts w:cstheme="minorHAnsi"/>
          <w:sz w:val="22"/>
          <w:szCs w:val="22"/>
        </w:rPr>
        <w:t xml:space="preserve">Figure </w:t>
      </w:r>
      <w:r w:rsidR="003C0063">
        <w:rPr>
          <w:rFonts w:cstheme="minorHAnsi"/>
          <w:sz w:val="22"/>
          <w:szCs w:val="22"/>
        </w:rPr>
        <w:t>3</w:t>
      </w:r>
      <w:r w:rsidR="00C87326">
        <w:rPr>
          <w:rFonts w:cstheme="minorHAnsi"/>
          <w:sz w:val="22"/>
          <w:szCs w:val="22"/>
        </w:rPr>
        <w:t>)</w:t>
      </w:r>
      <w:r>
        <w:rPr>
          <w:rFonts w:cstheme="minorHAnsi"/>
          <w:sz w:val="22"/>
          <w:szCs w:val="22"/>
        </w:rPr>
        <w:t>,</w:t>
      </w:r>
      <w:r w:rsidR="000E1E77">
        <w:rPr>
          <w:rFonts w:cstheme="minorHAnsi"/>
          <w:sz w:val="22"/>
          <w:szCs w:val="22"/>
        </w:rPr>
        <w:t xml:space="preserve"> </w:t>
      </w:r>
      <w:r w:rsidR="00A827A7">
        <w:rPr>
          <w:rFonts w:cstheme="minorHAnsi"/>
          <w:sz w:val="22"/>
          <w:szCs w:val="22"/>
        </w:rPr>
        <w:t xml:space="preserve">it was </w:t>
      </w:r>
      <w:r w:rsidR="00A827A7" w:rsidRPr="00992ACF">
        <w:rPr>
          <w:rFonts w:cstheme="minorHAnsi"/>
          <w:sz w:val="22"/>
          <w:szCs w:val="22"/>
        </w:rPr>
        <w:t>50%</w:t>
      </w:r>
      <w:r w:rsidR="00A827A7">
        <w:rPr>
          <w:rFonts w:cstheme="minorHAnsi"/>
          <w:sz w:val="22"/>
          <w:szCs w:val="22"/>
        </w:rPr>
        <w:t xml:space="preserve"> for </w:t>
      </w:r>
      <w:r w:rsidR="009C3160" w:rsidRPr="00992ACF">
        <w:rPr>
          <w:rFonts w:cstheme="minorHAnsi"/>
          <w:sz w:val="22"/>
          <w:szCs w:val="22"/>
        </w:rPr>
        <w:t>2.5% PAAG (</w:t>
      </w:r>
      <w:r w:rsidR="00121D89">
        <w:rPr>
          <w:rFonts w:cstheme="minorHAnsi"/>
          <w:sz w:val="22"/>
          <w:szCs w:val="22"/>
        </w:rPr>
        <w:t>6/12</w:t>
      </w:r>
      <w:r w:rsidR="009C3160" w:rsidRPr="00992ACF">
        <w:rPr>
          <w:rFonts w:cstheme="minorHAnsi"/>
          <w:sz w:val="22"/>
          <w:szCs w:val="22"/>
        </w:rPr>
        <w:t xml:space="preserve">), </w:t>
      </w:r>
      <w:r w:rsidR="00A827A7" w:rsidRPr="00992ACF">
        <w:rPr>
          <w:rFonts w:cstheme="minorHAnsi"/>
          <w:sz w:val="22"/>
          <w:szCs w:val="22"/>
        </w:rPr>
        <w:t>0%</w:t>
      </w:r>
      <w:r w:rsidR="00A827A7">
        <w:rPr>
          <w:rFonts w:cstheme="minorHAnsi"/>
          <w:sz w:val="22"/>
          <w:szCs w:val="22"/>
        </w:rPr>
        <w:t xml:space="preserve"> for </w:t>
      </w:r>
      <w:r w:rsidR="009C3160" w:rsidRPr="00992ACF">
        <w:rPr>
          <w:rFonts w:cstheme="minorHAnsi"/>
          <w:sz w:val="22"/>
          <w:szCs w:val="22"/>
        </w:rPr>
        <w:t>TA (</w:t>
      </w:r>
      <w:r w:rsidR="00995211">
        <w:rPr>
          <w:rFonts w:cstheme="minorHAnsi"/>
          <w:sz w:val="22"/>
          <w:szCs w:val="22"/>
        </w:rPr>
        <w:t>0/1</w:t>
      </w:r>
      <w:r w:rsidR="00013578">
        <w:rPr>
          <w:rFonts w:cstheme="minorHAnsi"/>
          <w:sz w:val="22"/>
          <w:szCs w:val="22"/>
        </w:rPr>
        <w:t>1</w:t>
      </w:r>
      <w:r w:rsidR="009C3160" w:rsidRPr="00992ACF">
        <w:rPr>
          <w:rFonts w:cstheme="minorHAnsi"/>
          <w:sz w:val="22"/>
          <w:szCs w:val="22"/>
        </w:rPr>
        <w:t>)</w:t>
      </w:r>
      <w:r w:rsidR="00D4162D">
        <w:rPr>
          <w:rFonts w:cstheme="minorHAnsi"/>
          <w:sz w:val="22"/>
          <w:szCs w:val="22"/>
        </w:rPr>
        <w:t xml:space="preserve"> </w:t>
      </w:r>
      <w:r w:rsidR="009C3160" w:rsidRPr="00992ACF">
        <w:rPr>
          <w:rFonts w:cstheme="minorHAnsi"/>
          <w:sz w:val="22"/>
          <w:szCs w:val="22"/>
        </w:rPr>
        <w:t xml:space="preserve">and </w:t>
      </w:r>
      <w:r w:rsidR="00A827A7" w:rsidRPr="00992ACF">
        <w:rPr>
          <w:rFonts w:cstheme="minorHAnsi"/>
          <w:sz w:val="22"/>
          <w:szCs w:val="22"/>
        </w:rPr>
        <w:t>0%</w:t>
      </w:r>
      <w:r w:rsidR="00A827A7">
        <w:rPr>
          <w:rFonts w:cstheme="minorHAnsi"/>
          <w:sz w:val="22"/>
          <w:szCs w:val="22"/>
        </w:rPr>
        <w:t xml:space="preserve"> for </w:t>
      </w:r>
      <w:r w:rsidR="009C3160" w:rsidRPr="00992ACF">
        <w:rPr>
          <w:rFonts w:cstheme="minorHAnsi"/>
          <w:sz w:val="22"/>
          <w:szCs w:val="22"/>
        </w:rPr>
        <w:t>HA (</w:t>
      </w:r>
      <w:r w:rsidR="00995211">
        <w:rPr>
          <w:rFonts w:cstheme="minorHAnsi"/>
          <w:sz w:val="22"/>
          <w:szCs w:val="22"/>
        </w:rPr>
        <w:t>0/10</w:t>
      </w:r>
      <w:r w:rsidR="009C3160" w:rsidRPr="00992ACF">
        <w:rPr>
          <w:rFonts w:cstheme="minorHAnsi"/>
          <w:sz w:val="22"/>
          <w:szCs w:val="22"/>
        </w:rPr>
        <w:t>)</w:t>
      </w:r>
      <w:r w:rsidR="00FE4517">
        <w:rPr>
          <w:rFonts w:cstheme="minorHAnsi"/>
          <w:sz w:val="22"/>
          <w:szCs w:val="22"/>
        </w:rPr>
        <w:t xml:space="preserve">, </w:t>
      </w:r>
      <w:r w:rsidR="003C4D2F" w:rsidRPr="006832C9">
        <w:rPr>
          <w:rFonts w:cstheme="minorHAnsi"/>
          <w:sz w:val="22"/>
          <w:szCs w:val="22"/>
        </w:rPr>
        <w:t xml:space="preserve">with </w:t>
      </w:r>
      <w:r w:rsidR="003C4D2F">
        <w:rPr>
          <w:rFonts w:cstheme="minorHAnsi"/>
          <w:sz w:val="22"/>
          <w:szCs w:val="22"/>
        </w:rPr>
        <w:t>a</w:t>
      </w:r>
      <w:r w:rsidR="003C4D2F" w:rsidRPr="006832C9">
        <w:rPr>
          <w:rFonts w:cstheme="minorHAnsi"/>
          <w:sz w:val="22"/>
          <w:szCs w:val="22"/>
        </w:rPr>
        <w:t xml:space="preserve"> statistical </w:t>
      </w:r>
      <w:r w:rsidR="003C4D2F">
        <w:rPr>
          <w:rFonts w:cstheme="minorHAnsi"/>
          <w:sz w:val="22"/>
          <w:szCs w:val="22"/>
        </w:rPr>
        <w:t>difference</w:t>
      </w:r>
      <w:r w:rsidR="003C4D2F" w:rsidRPr="006832C9">
        <w:rPr>
          <w:rFonts w:cstheme="minorHAnsi"/>
          <w:sz w:val="22"/>
          <w:szCs w:val="22"/>
        </w:rPr>
        <w:t xml:space="preserve"> (p</w:t>
      </w:r>
      <w:r w:rsidR="006A69BC">
        <w:rPr>
          <w:rFonts w:cstheme="minorHAnsi"/>
          <w:sz w:val="22"/>
          <w:szCs w:val="22"/>
        </w:rPr>
        <w:t>=</w:t>
      </w:r>
      <w:r w:rsidR="003C4D2F" w:rsidRPr="006832C9">
        <w:rPr>
          <w:rFonts w:cstheme="minorHAnsi"/>
          <w:sz w:val="22"/>
          <w:szCs w:val="22"/>
        </w:rPr>
        <w:t>0.0</w:t>
      </w:r>
      <w:r w:rsidR="006A69BC">
        <w:rPr>
          <w:rFonts w:cstheme="minorHAnsi"/>
          <w:sz w:val="22"/>
          <w:szCs w:val="22"/>
        </w:rPr>
        <w:t xml:space="preserve">02) </w:t>
      </w:r>
      <w:r w:rsidR="003C4D2F">
        <w:rPr>
          <w:rFonts w:cstheme="minorHAnsi"/>
          <w:sz w:val="22"/>
          <w:szCs w:val="22"/>
        </w:rPr>
        <w:t>between groups</w:t>
      </w:r>
      <w:r w:rsidR="006A69BC">
        <w:rPr>
          <w:rFonts w:cstheme="minorHAnsi"/>
          <w:sz w:val="22"/>
          <w:szCs w:val="22"/>
        </w:rPr>
        <w:t xml:space="preserve"> in favour of the 2.5% PAAG</w:t>
      </w:r>
      <w:r w:rsidR="004F78AE">
        <w:rPr>
          <w:rFonts w:cstheme="minorHAnsi"/>
          <w:sz w:val="22"/>
          <w:szCs w:val="22"/>
        </w:rPr>
        <w:t xml:space="preserve"> treated group</w:t>
      </w:r>
      <w:r w:rsidR="009C3160" w:rsidRPr="00992ACF">
        <w:rPr>
          <w:rFonts w:cstheme="minorHAnsi"/>
          <w:sz w:val="22"/>
          <w:szCs w:val="22"/>
        </w:rPr>
        <w:t xml:space="preserve">. </w:t>
      </w:r>
      <w:r w:rsidR="003C4D2F">
        <w:rPr>
          <w:rFonts w:cstheme="minorHAnsi"/>
          <w:sz w:val="22"/>
          <w:szCs w:val="22"/>
        </w:rPr>
        <w:t xml:space="preserve">Pairwise comparison indicated a significantly higher success rate for joint effusion in the 2.5% PAAG group versus TA </w:t>
      </w:r>
      <w:r w:rsidR="003C4D2F" w:rsidRPr="00366846">
        <w:rPr>
          <w:rFonts w:cstheme="minorHAnsi"/>
          <w:sz w:val="22"/>
          <w:szCs w:val="22"/>
          <w:lang w:val="en-US"/>
        </w:rPr>
        <w:t>(p&lt;0.05; difference=50%, 95%CI</w:t>
      </w:r>
      <w:r w:rsidR="005E7DA1">
        <w:rPr>
          <w:rFonts w:cstheme="minorHAnsi"/>
          <w:sz w:val="22"/>
          <w:szCs w:val="22"/>
          <w:lang w:val="en-US"/>
        </w:rPr>
        <w:t xml:space="preserve"> </w:t>
      </w:r>
      <w:r w:rsidR="003C4D2F" w:rsidRPr="00366846">
        <w:rPr>
          <w:rFonts w:cstheme="minorHAnsi"/>
          <w:sz w:val="22"/>
          <w:szCs w:val="22"/>
          <w:lang w:val="en-US"/>
        </w:rPr>
        <w:t>22-78%)</w:t>
      </w:r>
      <w:r w:rsidR="003C4D2F">
        <w:rPr>
          <w:rFonts w:cstheme="minorHAnsi"/>
          <w:sz w:val="22"/>
          <w:szCs w:val="22"/>
        </w:rPr>
        <w:t xml:space="preserve"> and versus HA </w:t>
      </w:r>
      <w:r w:rsidR="003C4D2F" w:rsidRPr="00366846">
        <w:rPr>
          <w:rFonts w:cstheme="minorHAnsi"/>
          <w:sz w:val="22"/>
          <w:szCs w:val="22"/>
          <w:lang w:val="en-US"/>
        </w:rPr>
        <w:t>(p&lt;0.05; difference=50%, 95%CI 22-78%)</w:t>
      </w:r>
      <w:r w:rsidR="003C4D2F">
        <w:rPr>
          <w:rFonts w:cstheme="minorHAnsi"/>
          <w:sz w:val="22"/>
          <w:szCs w:val="22"/>
        </w:rPr>
        <w:t>.</w:t>
      </w:r>
    </w:p>
    <w:p w14:paraId="2C07117E" w14:textId="5DD10553" w:rsidR="008B74EB" w:rsidRPr="00366846" w:rsidRDefault="008B74EB" w:rsidP="003232A4">
      <w:pPr>
        <w:spacing w:line="480" w:lineRule="auto"/>
        <w:rPr>
          <w:rFonts w:cstheme="minorHAnsi"/>
          <w:sz w:val="22"/>
          <w:szCs w:val="22"/>
          <w:lang w:val="en-US"/>
        </w:rPr>
      </w:pPr>
    </w:p>
    <w:p w14:paraId="073D58C5" w14:textId="4DA8D6D3" w:rsidR="008270A5" w:rsidRPr="00FF719C" w:rsidRDefault="00FF719C" w:rsidP="003232A4">
      <w:pPr>
        <w:spacing w:line="480" w:lineRule="auto"/>
        <w:rPr>
          <w:rFonts w:cstheme="minorHAnsi"/>
          <w:b/>
          <w:bCs/>
          <w:sz w:val="22"/>
          <w:szCs w:val="22"/>
          <w:lang w:val="en-NZ"/>
        </w:rPr>
      </w:pPr>
      <w:r>
        <w:rPr>
          <w:rFonts w:cstheme="minorHAnsi"/>
          <w:b/>
          <w:bCs/>
          <w:sz w:val="22"/>
          <w:szCs w:val="22"/>
        </w:rPr>
        <w:t xml:space="preserve">3.6 </w:t>
      </w:r>
      <w:r w:rsidR="00F45D92" w:rsidRPr="00FF719C">
        <w:rPr>
          <w:rFonts w:cstheme="minorHAnsi"/>
          <w:b/>
          <w:bCs/>
          <w:sz w:val="22"/>
          <w:szCs w:val="22"/>
        </w:rPr>
        <w:t>Response to flexion</w:t>
      </w:r>
      <w:r w:rsidR="00794B7B">
        <w:rPr>
          <w:rFonts w:cstheme="minorHAnsi"/>
          <w:b/>
          <w:bCs/>
          <w:sz w:val="22"/>
          <w:szCs w:val="22"/>
        </w:rPr>
        <w:t xml:space="preserve"> test</w:t>
      </w:r>
    </w:p>
    <w:p w14:paraId="4CD2002B" w14:textId="32FEB9AB" w:rsidR="00BC72E8" w:rsidRDefault="00F45D92" w:rsidP="003232A4">
      <w:pPr>
        <w:spacing w:line="480" w:lineRule="auto"/>
        <w:rPr>
          <w:rFonts w:cstheme="minorHAnsi"/>
          <w:sz w:val="22"/>
          <w:szCs w:val="22"/>
          <w:lang w:val="en-NZ"/>
        </w:rPr>
      </w:pPr>
      <w:r>
        <w:rPr>
          <w:rFonts w:cstheme="minorHAnsi"/>
          <w:sz w:val="22"/>
          <w:szCs w:val="22"/>
          <w:lang w:val="en-NZ"/>
        </w:rPr>
        <w:t>At</w:t>
      </w:r>
      <w:r w:rsidRPr="00992ACF">
        <w:rPr>
          <w:rFonts w:cstheme="minorHAnsi"/>
          <w:sz w:val="22"/>
          <w:szCs w:val="22"/>
          <w:lang w:val="en-NZ"/>
        </w:rPr>
        <w:t xml:space="preserve"> 2-weeks</w:t>
      </w:r>
      <w:r>
        <w:rPr>
          <w:rFonts w:cstheme="minorHAnsi"/>
          <w:sz w:val="22"/>
          <w:szCs w:val="22"/>
          <w:lang w:val="en-NZ"/>
        </w:rPr>
        <w:t>,</w:t>
      </w:r>
      <w:r w:rsidRPr="00992ACF">
        <w:rPr>
          <w:rFonts w:cstheme="minorHAnsi"/>
          <w:sz w:val="22"/>
          <w:szCs w:val="22"/>
          <w:lang w:val="en-NZ"/>
        </w:rPr>
        <w:t xml:space="preserve"> </w:t>
      </w:r>
      <w:r>
        <w:rPr>
          <w:rFonts w:cstheme="minorHAnsi"/>
          <w:sz w:val="22"/>
          <w:szCs w:val="22"/>
        </w:rPr>
        <w:t>t</w:t>
      </w:r>
      <w:r w:rsidR="00C93A7C" w:rsidRPr="00992ACF">
        <w:rPr>
          <w:rFonts w:cstheme="minorHAnsi"/>
          <w:sz w:val="22"/>
          <w:szCs w:val="22"/>
        </w:rPr>
        <w:t xml:space="preserve">he </w:t>
      </w:r>
      <w:r w:rsidR="00C14377" w:rsidRPr="007D7C65">
        <w:rPr>
          <w:rFonts w:cstheme="minorHAnsi"/>
          <w:sz w:val="22"/>
          <w:szCs w:val="22"/>
          <w:lang w:val="en-NZ"/>
        </w:rPr>
        <w:t>percentage</w:t>
      </w:r>
      <w:r w:rsidR="008E575A">
        <w:rPr>
          <w:rFonts w:cstheme="minorHAnsi"/>
          <w:sz w:val="22"/>
          <w:szCs w:val="22"/>
          <w:lang w:val="en-NZ"/>
        </w:rPr>
        <w:t xml:space="preserve"> and number</w:t>
      </w:r>
      <w:r w:rsidR="00C14377" w:rsidRPr="007D7C65">
        <w:rPr>
          <w:rFonts w:cstheme="minorHAnsi"/>
          <w:sz w:val="22"/>
          <w:szCs w:val="22"/>
          <w:lang w:val="en-NZ"/>
        </w:rPr>
        <w:t xml:space="preserve"> of successful cases for</w:t>
      </w:r>
      <w:r w:rsidR="002653E8" w:rsidRPr="007D7C65">
        <w:rPr>
          <w:rFonts w:cstheme="minorHAnsi"/>
          <w:sz w:val="22"/>
          <w:szCs w:val="22"/>
          <w:lang w:val="en-NZ"/>
        </w:rPr>
        <w:t xml:space="preserve"> </w:t>
      </w:r>
      <w:r>
        <w:rPr>
          <w:rFonts w:cstheme="minorHAnsi"/>
          <w:sz w:val="22"/>
          <w:szCs w:val="22"/>
          <w:lang w:val="en-NZ"/>
        </w:rPr>
        <w:t xml:space="preserve">the </w:t>
      </w:r>
      <w:r w:rsidR="00C14377" w:rsidRPr="007D7C65">
        <w:rPr>
          <w:rFonts w:cstheme="minorHAnsi"/>
          <w:sz w:val="22"/>
          <w:szCs w:val="22"/>
          <w:lang w:val="en-NZ"/>
        </w:rPr>
        <w:t>reaction t</w:t>
      </w:r>
      <w:r w:rsidR="007A0FB4">
        <w:rPr>
          <w:rFonts w:cstheme="minorHAnsi"/>
          <w:sz w:val="22"/>
          <w:szCs w:val="22"/>
          <w:lang w:val="en-NZ"/>
        </w:rPr>
        <w:t>o</w:t>
      </w:r>
      <w:r w:rsidR="009F4B32" w:rsidRPr="007D7C65">
        <w:rPr>
          <w:rFonts w:cstheme="minorHAnsi"/>
          <w:sz w:val="22"/>
          <w:szCs w:val="22"/>
          <w:lang w:val="en-NZ"/>
        </w:rPr>
        <w:t xml:space="preserve"> </w:t>
      </w:r>
      <w:r w:rsidR="00C14377" w:rsidRPr="007D7C65">
        <w:rPr>
          <w:rFonts w:cstheme="minorHAnsi"/>
          <w:sz w:val="22"/>
          <w:szCs w:val="22"/>
          <w:lang w:val="en-NZ"/>
        </w:rPr>
        <w:t xml:space="preserve">flexion </w:t>
      </w:r>
      <w:r w:rsidR="00794B7B">
        <w:rPr>
          <w:rFonts w:cstheme="minorHAnsi"/>
          <w:sz w:val="22"/>
          <w:szCs w:val="22"/>
          <w:lang w:val="en-NZ"/>
        </w:rPr>
        <w:t xml:space="preserve">test </w:t>
      </w:r>
      <w:r>
        <w:rPr>
          <w:rFonts w:cstheme="minorHAnsi"/>
          <w:sz w:val="22"/>
          <w:szCs w:val="22"/>
          <w:lang w:val="en-NZ"/>
        </w:rPr>
        <w:t xml:space="preserve">parameter </w:t>
      </w:r>
      <w:r w:rsidR="00C93A7C" w:rsidRPr="00992ACF">
        <w:rPr>
          <w:rFonts w:cstheme="minorHAnsi"/>
          <w:sz w:val="22"/>
          <w:szCs w:val="22"/>
          <w:lang w:val="en-NZ"/>
        </w:rPr>
        <w:t>was</w:t>
      </w:r>
      <w:r>
        <w:rPr>
          <w:rFonts w:cstheme="minorHAnsi"/>
          <w:sz w:val="22"/>
          <w:szCs w:val="22"/>
          <w:lang w:val="en-NZ"/>
        </w:rPr>
        <w:t xml:space="preserve"> </w:t>
      </w:r>
      <w:r w:rsidRPr="006832C9">
        <w:rPr>
          <w:rFonts w:cstheme="minorHAnsi"/>
          <w:sz w:val="22"/>
          <w:szCs w:val="22"/>
          <w:lang w:val="en-NZ"/>
        </w:rPr>
        <w:t>25%</w:t>
      </w:r>
      <w:r w:rsidR="00C14377" w:rsidRPr="007D7C65">
        <w:rPr>
          <w:rFonts w:cstheme="minorHAnsi"/>
          <w:sz w:val="22"/>
          <w:szCs w:val="22"/>
          <w:lang w:val="en-NZ"/>
        </w:rPr>
        <w:t xml:space="preserve"> </w:t>
      </w:r>
      <w:r>
        <w:rPr>
          <w:rFonts w:cstheme="minorHAnsi"/>
          <w:sz w:val="22"/>
          <w:szCs w:val="22"/>
          <w:lang w:val="en-NZ"/>
        </w:rPr>
        <w:t xml:space="preserve">for </w:t>
      </w:r>
      <w:r w:rsidR="00C14377" w:rsidRPr="007D7C65">
        <w:rPr>
          <w:rFonts w:cstheme="minorHAnsi"/>
          <w:sz w:val="22"/>
          <w:szCs w:val="22"/>
          <w:lang w:val="en-NZ"/>
        </w:rPr>
        <w:t xml:space="preserve">2.5% PAAG </w:t>
      </w:r>
      <w:r w:rsidR="00C93A7C" w:rsidRPr="006832C9">
        <w:rPr>
          <w:rFonts w:cstheme="minorHAnsi"/>
          <w:sz w:val="22"/>
          <w:szCs w:val="22"/>
          <w:lang w:val="en-NZ"/>
        </w:rPr>
        <w:t>(</w:t>
      </w:r>
      <w:r w:rsidR="0009770A">
        <w:rPr>
          <w:rFonts w:cstheme="minorHAnsi"/>
          <w:sz w:val="22"/>
          <w:szCs w:val="22"/>
          <w:lang w:val="en-NZ"/>
        </w:rPr>
        <w:t>3/12</w:t>
      </w:r>
      <w:r w:rsidR="00E64EFA" w:rsidRPr="006832C9">
        <w:rPr>
          <w:rFonts w:cstheme="minorHAnsi"/>
          <w:sz w:val="22"/>
          <w:szCs w:val="22"/>
          <w:lang w:val="en-NZ"/>
        </w:rPr>
        <w:t>)</w:t>
      </w:r>
      <w:r w:rsidR="007064EC" w:rsidRPr="006832C9">
        <w:rPr>
          <w:rFonts w:cstheme="minorHAnsi"/>
          <w:sz w:val="22"/>
          <w:szCs w:val="22"/>
          <w:lang w:val="en-NZ"/>
        </w:rPr>
        <w:t xml:space="preserve">, </w:t>
      </w:r>
      <w:r w:rsidRPr="006832C9">
        <w:rPr>
          <w:rFonts w:cstheme="minorHAnsi"/>
          <w:sz w:val="22"/>
          <w:szCs w:val="22"/>
          <w:lang w:val="en-NZ"/>
        </w:rPr>
        <w:t>18%</w:t>
      </w:r>
      <w:r>
        <w:rPr>
          <w:rFonts w:cstheme="minorHAnsi"/>
          <w:sz w:val="22"/>
          <w:szCs w:val="22"/>
          <w:lang w:val="en-NZ"/>
        </w:rPr>
        <w:t xml:space="preserve"> for </w:t>
      </w:r>
      <w:r w:rsidR="007064EC" w:rsidRPr="006832C9">
        <w:rPr>
          <w:rFonts w:cstheme="minorHAnsi"/>
          <w:sz w:val="22"/>
          <w:szCs w:val="22"/>
          <w:lang w:val="en-NZ"/>
        </w:rPr>
        <w:t>TA (</w:t>
      </w:r>
      <w:r w:rsidR="00312824">
        <w:rPr>
          <w:rFonts w:cstheme="minorHAnsi"/>
          <w:sz w:val="22"/>
          <w:szCs w:val="22"/>
          <w:lang w:val="en-NZ"/>
        </w:rPr>
        <w:t>2/11</w:t>
      </w:r>
      <w:r w:rsidR="007064EC" w:rsidRPr="006832C9">
        <w:rPr>
          <w:rFonts w:cstheme="minorHAnsi"/>
          <w:sz w:val="22"/>
          <w:szCs w:val="22"/>
          <w:lang w:val="en-NZ"/>
        </w:rPr>
        <w:t xml:space="preserve">), and </w:t>
      </w:r>
      <w:r w:rsidRPr="006832C9">
        <w:rPr>
          <w:rFonts w:cstheme="minorHAnsi"/>
          <w:sz w:val="22"/>
          <w:szCs w:val="22"/>
          <w:lang w:val="en-NZ"/>
        </w:rPr>
        <w:t>30%</w:t>
      </w:r>
      <w:r>
        <w:rPr>
          <w:rFonts w:cstheme="minorHAnsi"/>
          <w:sz w:val="22"/>
          <w:szCs w:val="22"/>
          <w:lang w:val="en-NZ"/>
        </w:rPr>
        <w:t xml:space="preserve"> for </w:t>
      </w:r>
      <w:r w:rsidR="007064EC" w:rsidRPr="006832C9">
        <w:rPr>
          <w:rFonts w:cstheme="minorHAnsi"/>
          <w:sz w:val="22"/>
          <w:szCs w:val="22"/>
          <w:lang w:val="en-NZ"/>
        </w:rPr>
        <w:t>HA (</w:t>
      </w:r>
      <w:r w:rsidR="00312824">
        <w:rPr>
          <w:rFonts w:cstheme="minorHAnsi"/>
          <w:sz w:val="22"/>
          <w:szCs w:val="22"/>
          <w:lang w:val="en-NZ"/>
        </w:rPr>
        <w:t>3/10</w:t>
      </w:r>
      <w:r w:rsidR="007064EC" w:rsidRPr="006832C9">
        <w:rPr>
          <w:rFonts w:cstheme="minorHAnsi"/>
          <w:sz w:val="22"/>
          <w:szCs w:val="22"/>
          <w:lang w:val="en-NZ"/>
        </w:rPr>
        <w:t>)</w:t>
      </w:r>
      <w:r w:rsidR="00AE7A14">
        <w:rPr>
          <w:rFonts w:cstheme="minorHAnsi"/>
          <w:sz w:val="22"/>
          <w:szCs w:val="22"/>
          <w:lang w:val="en-NZ"/>
        </w:rPr>
        <w:t xml:space="preserve">. </w:t>
      </w:r>
    </w:p>
    <w:p w14:paraId="4EAD18ED" w14:textId="77777777" w:rsidR="00BC72E8" w:rsidRDefault="00F45D92" w:rsidP="003232A4">
      <w:pPr>
        <w:spacing w:line="480" w:lineRule="auto"/>
        <w:rPr>
          <w:rFonts w:cstheme="minorHAnsi"/>
          <w:sz w:val="22"/>
          <w:szCs w:val="22"/>
          <w:lang w:val="en-NZ"/>
        </w:rPr>
      </w:pPr>
      <w:r>
        <w:rPr>
          <w:rFonts w:cstheme="minorHAnsi"/>
          <w:sz w:val="22"/>
          <w:szCs w:val="22"/>
          <w:lang w:val="en-NZ"/>
        </w:rPr>
        <w:t>At</w:t>
      </w:r>
      <w:r w:rsidR="0073078D">
        <w:rPr>
          <w:rFonts w:cstheme="minorHAnsi"/>
          <w:sz w:val="22"/>
          <w:szCs w:val="22"/>
          <w:lang w:val="en-NZ"/>
        </w:rPr>
        <w:t xml:space="preserve"> </w:t>
      </w:r>
      <w:r w:rsidR="007064EC" w:rsidRPr="00992ACF">
        <w:rPr>
          <w:rFonts w:cstheme="minorHAnsi"/>
          <w:sz w:val="22"/>
          <w:szCs w:val="22"/>
          <w:lang w:val="en-NZ"/>
        </w:rPr>
        <w:t>4-weeks</w:t>
      </w:r>
      <w:r w:rsidR="000D1F41">
        <w:rPr>
          <w:rFonts w:cstheme="minorHAnsi"/>
          <w:sz w:val="22"/>
          <w:szCs w:val="22"/>
          <w:lang w:val="en-NZ"/>
        </w:rPr>
        <w:t>,</w:t>
      </w:r>
      <w:r w:rsidR="007064EC" w:rsidRPr="00992ACF">
        <w:rPr>
          <w:rFonts w:cstheme="minorHAnsi"/>
          <w:sz w:val="22"/>
          <w:szCs w:val="22"/>
          <w:lang w:val="en-NZ"/>
        </w:rPr>
        <w:t xml:space="preserve"> </w:t>
      </w:r>
      <w:r>
        <w:rPr>
          <w:rFonts w:cstheme="minorHAnsi"/>
          <w:sz w:val="22"/>
          <w:szCs w:val="22"/>
          <w:lang w:val="en-NZ"/>
        </w:rPr>
        <w:t xml:space="preserve">it was </w:t>
      </w:r>
      <w:r w:rsidR="000D1F41" w:rsidRPr="003C0063">
        <w:rPr>
          <w:rFonts w:cstheme="minorHAnsi"/>
          <w:sz w:val="22"/>
          <w:szCs w:val="22"/>
          <w:lang w:val="en-NZ"/>
        </w:rPr>
        <w:t xml:space="preserve">42% for </w:t>
      </w:r>
      <w:r w:rsidR="007064EC" w:rsidRPr="003C0063">
        <w:rPr>
          <w:rFonts w:cstheme="minorHAnsi"/>
          <w:sz w:val="22"/>
          <w:szCs w:val="22"/>
          <w:lang w:val="en-NZ"/>
        </w:rPr>
        <w:t>2.5% PAAG (</w:t>
      </w:r>
      <w:r w:rsidR="008E1F37" w:rsidRPr="003C0063">
        <w:rPr>
          <w:rFonts w:cstheme="minorHAnsi"/>
          <w:sz w:val="22"/>
          <w:szCs w:val="22"/>
          <w:lang w:val="en-NZ"/>
        </w:rPr>
        <w:t>5/12</w:t>
      </w:r>
      <w:r w:rsidR="007064EC" w:rsidRPr="003C0063">
        <w:rPr>
          <w:rFonts w:cstheme="minorHAnsi"/>
          <w:sz w:val="22"/>
          <w:szCs w:val="22"/>
          <w:lang w:val="en-NZ"/>
        </w:rPr>
        <w:t xml:space="preserve">), </w:t>
      </w:r>
      <w:r w:rsidR="000D1F41" w:rsidRPr="003C0063">
        <w:rPr>
          <w:rFonts w:cstheme="minorHAnsi"/>
          <w:sz w:val="22"/>
          <w:szCs w:val="22"/>
          <w:lang w:val="en-NZ"/>
        </w:rPr>
        <w:t>9%</w:t>
      </w:r>
      <w:r w:rsidR="000D1F41" w:rsidRPr="00075A86">
        <w:rPr>
          <w:rFonts w:cstheme="minorHAnsi"/>
          <w:sz w:val="22"/>
          <w:szCs w:val="22"/>
          <w:lang w:val="en-NZ"/>
        </w:rPr>
        <w:t xml:space="preserve"> for </w:t>
      </w:r>
      <w:r w:rsidR="007064EC" w:rsidRPr="00075A86">
        <w:rPr>
          <w:rFonts w:cstheme="minorHAnsi"/>
          <w:sz w:val="22"/>
          <w:szCs w:val="22"/>
          <w:lang w:val="en-NZ"/>
        </w:rPr>
        <w:t>TA (</w:t>
      </w:r>
      <w:r w:rsidR="00E17CFF" w:rsidRPr="00075A86">
        <w:rPr>
          <w:rFonts w:cstheme="minorHAnsi"/>
          <w:sz w:val="22"/>
          <w:szCs w:val="22"/>
          <w:lang w:val="en-NZ"/>
        </w:rPr>
        <w:t>1/11</w:t>
      </w:r>
      <w:r w:rsidR="00080E9D" w:rsidRPr="00075A86">
        <w:rPr>
          <w:rFonts w:cstheme="minorHAnsi"/>
          <w:sz w:val="22"/>
          <w:szCs w:val="22"/>
          <w:lang w:val="en-NZ"/>
        </w:rPr>
        <w:t xml:space="preserve">), and </w:t>
      </w:r>
      <w:r w:rsidR="000D1F41" w:rsidRPr="00075A86">
        <w:rPr>
          <w:rFonts w:cstheme="minorHAnsi"/>
          <w:sz w:val="22"/>
          <w:szCs w:val="22"/>
          <w:lang w:val="en-NZ"/>
        </w:rPr>
        <w:t xml:space="preserve">20% for </w:t>
      </w:r>
      <w:r w:rsidR="00080E9D" w:rsidRPr="00075A86">
        <w:rPr>
          <w:rFonts w:cstheme="minorHAnsi"/>
          <w:sz w:val="22"/>
          <w:szCs w:val="22"/>
          <w:lang w:val="en-NZ"/>
        </w:rPr>
        <w:t>HA (</w:t>
      </w:r>
      <w:r w:rsidR="00E17CFF" w:rsidRPr="00075A86">
        <w:rPr>
          <w:rFonts w:cstheme="minorHAnsi"/>
          <w:sz w:val="22"/>
          <w:szCs w:val="22"/>
          <w:lang w:val="en-NZ"/>
        </w:rPr>
        <w:t>2/10</w:t>
      </w:r>
      <w:r w:rsidR="00080E9D" w:rsidRPr="00075A86">
        <w:rPr>
          <w:rFonts w:cstheme="minorHAnsi"/>
          <w:sz w:val="22"/>
          <w:szCs w:val="22"/>
          <w:lang w:val="en-NZ"/>
        </w:rPr>
        <w:t>)</w:t>
      </w:r>
      <w:r w:rsidRPr="00075A86">
        <w:rPr>
          <w:rFonts w:cstheme="minorHAnsi"/>
          <w:sz w:val="22"/>
          <w:szCs w:val="22"/>
          <w:lang w:val="en-NZ"/>
        </w:rPr>
        <w:t xml:space="preserve">. </w:t>
      </w:r>
    </w:p>
    <w:p w14:paraId="7B37CBB2" w14:textId="42D1F0FE" w:rsidR="00915F4D" w:rsidRPr="008200EA" w:rsidRDefault="00F45D92" w:rsidP="003232A4">
      <w:pPr>
        <w:spacing w:line="480" w:lineRule="auto"/>
        <w:rPr>
          <w:lang w:val="en-NZ"/>
        </w:rPr>
      </w:pPr>
      <w:r w:rsidRPr="00075A86">
        <w:rPr>
          <w:rFonts w:cstheme="minorHAnsi"/>
          <w:sz w:val="22"/>
          <w:szCs w:val="22"/>
          <w:lang w:val="en-NZ"/>
        </w:rPr>
        <w:t>A</w:t>
      </w:r>
      <w:r w:rsidR="00080E9D" w:rsidRPr="00075A86">
        <w:rPr>
          <w:rFonts w:cstheme="minorHAnsi"/>
          <w:sz w:val="22"/>
          <w:szCs w:val="22"/>
          <w:lang w:val="en-NZ"/>
        </w:rPr>
        <w:t>t 6-weeks</w:t>
      </w:r>
      <w:r w:rsidR="00C87326" w:rsidRPr="00075A86">
        <w:rPr>
          <w:rFonts w:cstheme="minorHAnsi"/>
          <w:sz w:val="22"/>
          <w:szCs w:val="22"/>
          <w:lang w:val="en-NZ"/>
        </w:rPr>
        <w:t xml:space="preserve"> </w:t>
      </w:r>
      <w:r w:rsidR="000E1E77" w:rsidRPr="00075A86">
        <w:rPr>
          <w:rFonts w:cstheme="minorHAnsi"/>
          <w:sz w:val="22"/>
          <w:szCs w:val="22"/>
          <w:lang w:val="en-NZ"/>
        </w:rPr>
        <w:t>(</w:t>
      </w:r>
      <w:r w:rsidR="00BC72E8">
        <w:rPr>
          <w:rFonts w:cstheme="minorHAnsi"/>
          <w:sz w:val="22"/>
          <w:szCs w:val="22"/>
          <w:lang w:val="en-NZ"/>
        </w:rPr>
        <w:t xml:space="preserve">Table 3; </w:t>
      </w:r>
      <w:r w:rsidR="00C87326" w:rsidRPr="00075A86">
        <w:rPr>
          <w:rFonts w:cstheme="minorHAnsi"/>
          <w:sz w:val="22"/>
          <w:szCs w:val="22"/>
          <w:lang w:val="en-NZ"/>
        </w:rPr>
        <w:t xml:space="preserve">Figure </w:t>
      </w:r>
      <w:r w:rsidR="003C0063">
        <w:rPr>
          <w:rFonts w:cstheme="minorHAnsi"/>
          <w:sz w:val="22"/>
          <w:szCs w:val="22"/>
          <w:lang w:val="en-NZ"/>
        </w:rPr>
        <w:t>4</w:t>
      </w:r>
      <w:r w:rsidR="00C87326" w:rsidRPr="00075A86">
        <w:rPr>
          <w:rFonts w:cstheme="minorHAnsi"/>
          <w:sz w:val="22"/>
          <w:szCs w:val="22"/>
          <w:lang w:val="en-NZ"/>
        </w:rPr>
        <w:t>)</w:t>
      </w:r>
      <w:r w:rsidR="000D1F41" w:rsidRPr="00075A86">
        <w:rPr>
          <w:rFonts w:cstheme="minorHAnsi"/>
          <w:sz w:val="22"/>
          <w:szCs w:val="22"/>
          <w:lang w:val="en-NZ"/>
        </w:rPr>
        <w:t>,</w:t>
      </w:r>
      <w:r w:rsidR="000E1E77" w:rsidRPr="00075A86">
        <w:rPr>
          <w:rFonts w:cstheme="minorHAnsi"/>
          <w:sz w:val="22"/>
          <w:szCs w:val="22"/>
          <w:lang w:val="en-NZ"/>
        </w:rPr>
        <w:t xml:space="preserve"> </w:t>
      </w:r>
      <w:r w:rsidRPr="00075A86">
        <w:rPr>
          <w:rFonts w:cstheme="minorHAnsi"/>
          <w:sz w:val="22"/>
          <w:szCs w:val="22"/>
          <w:lang w:val="en-NZ"/>
        </w:rPr>
        <w:t xml:space="preserve">it was </w:t>
      </w:r>
      <w:r w:rsidR="000D1F41" w:rsidRPr="00075A86">
        <w:rPr>
          <w:rFonts w:cstheme="minorHAnsi"/>
          <w:sz w:val="22"/>
          <w:szCs w:val="22"/>
          <w:lang w:val="en-NZ"/>
        </w:rPr>
        <w:t xml:space="preserve">50% for </w:t>
      </w:r>
      <w:r w:rsidR="00080E9D" w:rsidRPr="00075A86">
        <w:rPr>
          <w:rFonts w:cstheme="minorHAnsi"/>
          <w:sz w:val="22"/>
          <w:szCs w:val="22"/>
          <w:lang w:val="en-NZ"/>
        </w:rPr>
        <w:t>2.5% PAAG (</w:t>
      </w:r>
      <w:r w:rsidR="00E17CFF" w:rsidRPr="00075A86">
        <w:rPr>
          <w:rFonts w:cstheme="minorHAnsi"/>
          <w:sz w:val="22"/>
          <w:szCs w:val="22"/>
          <w:lang w:val="en-NZ"/>
        </w:rPr>
        <w:t>6/12</w:t>
      </w:r>
      <w:r w:rsidR="00C04836" w:rsidRPr="00075A86">
        <w:rPr>
          <w:rFonts w:cstheme="minorHAnsi"/>
          <w:sz w:val="22"/>
          <w:szCs w:val="22"/>
          <w:lang w:val="en-NZ"/>
        </w:rPr>
        <w:t xml:space="preserve">), </w:t>
      </w:r>
      <w:r w:rsidR="000D1F41" w:rsidRPr="00075A86">
        <w:rPr>
          <w:rFonts w:cstheme="minorHAnsi"/>
          <w:sz w:val="22"/>
          <w:szCs w:val="22"/>
          <w:lang w:val="en-NZ"/>
        </w:rPr>
        <w:t xml:space="preserve">9% for </w:t>
      </w:r>
      <w:r w:rsidR="00C04836" w:rsidRPr="00075A86">
        <w:rPr>
          <w:rFonts w:cstheme="minorHAnsi"/>
          <w:sz w:val="22"/>
          <w:szCs w:val="22"/>
          <w:lang w:val="en-NZ"/>
        </w:rPr>
        <w:t>TA (</w:t>
      </w:r>
      <w:r w:rsidR="004B32B8" w:rsidRPr="00075A86">
        <w:rPr>
          <w:rFonts w:cstheme="minorHAnsi"/>
          <w:sz w:val="22"/>
          <w:szCs w:val="22"/>
          <w:lang w:val="en-NZ"/>
        </w:rPr>
        <w:t>1/11</w:t>
      </w:r>
      <w:r w:rsidR="00735F8D" w:rsidRPr="00075A86">
        <w:rPr>
          <w:rFonts w:cstheme="minorHAnsi"/>
          <w:sz w:val="22"/>
          <w:szCs w:val="22"/>
          <w:lang w:val="en-NZ"/>
        </w:rPr>
        <w:t xml:space="preserve">) and </w:t>
      </w:r>
      <w:r w:rsidR="000D1F41" w:rsidRPr="00075A86">
        <w:rPr>
          <w:rFonts w:cstheme="minorHAnsi"/>
          <w:sz w:val="22"/>
          <w:szCs w:val="22"/>
          <w:lang w:val="en-NZ"/>
        </w:rPr>
        <w:t xml:space="preserve">20% for </w:t>
      </w:r>
      <w:r w:rsidR="00735F8D" w:rsidRPr="00075A86">
        <w:rPr>
          <w:rFonts w:cstheme="minorHAnsi"/>
          <w:sz w:val="22"/>
          <w:szCs w:val="22"/>
          <w:lang w:val="en-NZ"/>
        </w:rPr>
        <w:t>HA (</w:t>
      </w:r>
      <w:r w:rsidR="004B32B8" w:rsidRPr="00075A86">
        <w:rPr>
          <w:rFonts w:cstheme="minorHAnsi"/>
          <w:sz w:val="22"/>
          <w:szCs w:val="22"/>
          <w:lang w:val="en-NZ"/>
        </w:rPr>
        <w:t>2/10</w:t>
      </w:r>
      <w:r w:rsidR="00735F8D" w:rsidRPr="00075A86">
        <w:rPr>
          <w:rFonts w:cstheme="minorHAnsi"/>
          <w:sz w:val="22"/>
          <w:szCs w:val="22"/>
          <w:lang w:val="en-NZ"/>
        </w:rPr>
        <w:t>)</w:t>
      </w:r>
      <w:r w:rsidR="00444BF9" w:rsidRPr="00075A86">
        <w:rPr>
          <w:rFonts w:cstheme="minorHAnsi"/>
          <w:sz w:val="22"/>
          <w:szCs w:val="22"/>
          <w:lang w:val="en-NZ"/>
        </w:rPr>
        <w:t>, with no statistical difference between group</w:t>
      </w:r>
      <w:r w:rsidR="00366846" w:rsidRPr="00075A86">
        <w:rPr>
          <w:rFonts w:cstheme="minorHAnsi"/>
          <w:sz w:val="22"/>
          <w:szCs w:val="22"/>
          <w:lang w:val="en-NZ"/>
        </w:rPr>
        <w:t>s</w:t>
      </w:r>
      <w:r w:rsidR="00444BF9" w:rsidRPr="00075A86">
        <w:rPr>
          <w:rFonts w:cstheme="minorHAnsi"/>
          <w:sz w:val="22"/>
          <w:szCs w:val="22"/>
          <w:lang w:val="en-NZ"/>
        </w:rPr>
        <w:t xml:space="preserve"> (p=0.073).</w:t>
      </w:r>
    </w:p>
    <w:p w14:paraId="3F5D83DE" w14:textId="77777777" w:rsidR="006A2CD2" w:rsidRDefault="006A2CD2" w:rsidP="003232A4">
      <w:pPr>
        <w:spacing w:line="480" w:lineRule="auto"/>
        <w:rPr>
          <w:rFonts w:cstheme="minorHAnsi"/>
          <w:sz w:val="22"/>
          <w:szCs w:val="22"/>
          <w:lang w:val="en-NZ"/>
        </w:rPr>
      </w:pPr>
    </w:p>
    <w:p w14:paraId="4B28EED4" w14:textId="07B887D5" w:rsidR="00366846" w:rsidRPr="00FF719C" w:rsidRDefault="00FF719C" w:rsidP="003232A4">
      <w:pPr>
        <w:spacing w:line="480" w:lineRule="auto"/>
        <w:rPr>
          <w:rFonts w:cstheme="minorHAnsi"/>
          <w:b/>
          <w:bCs/>
          <w:sz w:val="22"/>
          <w:szCs w:val="22"/>
          <w:lang w:val="en-NZ"/>
        </w:rPr>
      </w:pPr>
      <w:r w:rsidRPr="00FF719C">
        <w:rPr>
          <w:rFonts w:cstheme="minorHAnsi"/>
          <w:b/>
          <w:bCs/>
          <w:sz w:val="22"/>
          <w:szCs w:val="22"/>
          <w:lang w:val="en-NZ"/>
        </w:rPr>
        <w:t xml:space="preserve">3.7 </w:t>
      </w:r>
      <w:r w:rsidR="00F45D92" w:rsidRPr="00FF719C">
        <w:rPr>
          <w:rFonts w:cstheme="minorHAnsi"/>
          <w:b/>
          <w:bCs/>
          <w:sz w:val="22"/>
          <w:szCs w:val="22"/>
          <w:lang w:val="en-NZ"/>
        </w:rPr>
        <w:t>Summary</w:t>
      </w:r>
    </w:p>
    <w:p w14:paraId="636589FA" w14:textId="52DF0B25" w:rsidR="00830755" w:rsidRDefault="00F45D92" w:rsidP="003232A4">
      <w:pPr>
        <w:spacing w:line="480" w:lineRule="auto"/>
        <w:rPr>
          <w:rFonts w:cstheme="minorHAnsi"/>
          <w:sz w:val="22"/>
          <w:szCs w:val="22"/>
        </w:rPr>
      </w:pPr>
      <w:r w:rsidRPr="00075A86">
        <w:rPr>
          <w:rFonts w:cstheme="minorHAnsi"/>
          <w:sz w:val="22"/>
          <w:szCs w:val="22"/>
          <w:lang w:val="en-NZ"/>
        </w:rPr>
        <w:lastRenderedPageBreak/>
        <w:t xml:space="preserve">Treatment results at 6 weeks </w:t>
      </w:r>
      <w:r w:rsidR="00682DB7">
        <w:rPr>
          <w:rFonts w:cstheme="minorHAnsi"/>
          <w:sz w:val="22"/>
          <w:szCs w:val="22"/>
          <w:lang w:val="en-NZ"/>
        </w:rPr>
        <w:t>are summarised in Table 3</w:t>
      </w:r>
      <w:r w:rsidRPr="00075A86">
        <w:rPr>
          <w:rFonts w:cstheme="minorHAnsi"/>
          <w:sz w:val="22"/>
          <w:szCs w:val="22"/>
          <w:lang w:val="en-NZ"/>
        </w:rPr>
        <w:t xml:space="preserve">. </w:t>
      </w:r>
      <w:r w:rsidR="00A827A7" w:rsidRPr="00075A86">
        <w:rPr>
          <w:rFonts w:cstheme="minorHAnsi"/>
          <w:sz w:val="22"/>
          <w:szCs w:val="22"/>
          <w:lang w:val="en-NZ"/>
        </w:rPr>
        <w:t>O</w:t>
      </w:r>
      <w:r w:rsidR="0073078D" w:rsidRPr="00075A86">
        <w:rPr>
          <w:rFonts w:cstheme="minorHAnsi"/>
          <w:sz w:val="22"/>
          <w:szCs w:val="22"/>
          <w:lang w:val="en-NZ"/>
        </w:rPr>
        <w:t xml:space="preserve">verall </w:t>
      </w:r>
      <w:r w:rsidR="00474739" w:rsidRPr="00075A86">
        <w:rPr>
          <w:rFonts w:cstheme="minorHAnsi"/>
          <w:sz w:val="22"/>
          <w:szCs w:val="22"/>
          <w:lang w:val="en-NZ"/>
        </w:rPr>
        <w:t>t</w:t>
      </w:r>
      <w:r w:rsidR="00304A4D" w:rsidRPr="00075A86">
        <w:rPr>
          <w:rFonts w:cstheme="minorHAnsi"/>
          <w:sz w:val="22"/>
          <w:szCs w:val="22"/>
          <w:lang w:val="en-NZ"/>
        </w:rPr>
        <w:t xml:space="preserve">here was </w:t>
      </w:r>
      <w:r w:rsidR="00270349" w:rsidRPr="00075A86">
        <w:rPr>
          <w:rFonts w:cstheme="minorHAnsi"/>
          <w:sz w:val="22"/>
          <w:szCs w:val="22"/>
          <w:lang w:val="en-NZ"/>
        </w:rPr>
        <w:t xml:space="preserve">no </w:t>
      </w:r>
      <w:r w:rsidR="00910164" w:rsidRPr="00075A86">
        <w:rPr>
          <w:rFonts w:cstheme="minorHAnsi"/>
          <w:sz w:val="22"/>
          <w:szCs w:val="22"/>
          <w:lang w:val="en-NZ"/>
        </w:rPr>
        <w:t xml:space="preserve">statistical difference </w:t>
      </w:r>
      <w:r w:rsidR="0073078D" w:rsidRPr="00075A86">
        <w:rPr>
          <w:rFonts w:cstheme="minorHAnsi"/>
          <w:sz w:val="22"/>
          <w:szCs w:val="22"/>
          <w:lang w:val="en-NZ"/>
        </w:rPr>
        <w:t xml:space="preserve">between any </w:t>
      </w:r>
      <w:r w:rsidR="00304A4D" w:rsidRPr="00075A86">
        <w:rPr>
          <w:rFonts w:cstheme="minorHAnsi"/>
          <w:sz w:val="22"/>
          <w:szCs w:val="22"/>
          <w:lang w:val="en-NZ"/>
        </w:rPr>
        <w:t xml:space="preserve">of the </w:t>
      </w:r>
      <w:r w:rsidR="0073078D" w:rsidRPr="00075A86">
        <w:rPr>
          <w:rFonts w:cstheme="minorHAnsi"/>
          <w:sz w:val="22"/>
          <w:szCs w:val="22"/>
          <w:lang w:val="en-NZ"/>
        </w:rPr>
        <w:t xml:space="preserve">groups </w:t>
      </w:r>
      <w:r w:rsidR="00910164" w:rsidRPr="00075A86">
        <w:rPr>
          <w:rFonts w:cstheme="minorHAnsi"/>
          <w:sz w:val="22"/>
          <w:szCs w:val="22"/>
          <w:lang w:val="en-NZ"/>
        </w:rPr>
        <w:t>at 2</w:t>
      </w:r>
      <w:r w:rsidR="00A827A7" w:rsidRPr="00075A86">
        <w:rPr>
          <w:rFonts w:cstheme="minorHAnsi"/>
          <w:sz w:val="22"/>
          <w:szCs w:val="22"/>
          <w:lang w:val="en-NZ"/>
        </w:rPr>
        <w:t>-</w:t>
      </w:r>
      <w:r w:rsidR="00910164" w:rsidRPr="00BD0EF1">
        <w:rPr>
          <w:rFonts w:cstheme="minorHAnsi"/>
          <w:sz w:val="22"/>
          <w:szCs w:val="22"/>
          <w:lang w:val="en-NZ"/>
        </w:rPr>
        <w:t>weeks</w:t>
      </w:r>
      <w:r w:rsidR="00682DB7" w:rsidRPr="00BD0EF1">
        <w:rPr>
          <w:rFonts w:cstheme="minorHAnsi"/>
          <w:sz w:val="22"/>
          <w:szCs w:val="22"/>
        </w:rPr>
        <w:t>.</w:t>
      </w:r>
      <w:r w:rsidR="00E52716" w:rsidRPr="00BD0EF1">
        <w:rPr>
          <w:rFonts w:cstheme="minorHAnsi"/>
          <w:sz w:val="22"/>
          <w:szCs w:val="22"/>
        </w:rPr>
        <w:t xml:space="preserve"> </w:t>
      </w:r>
      <w:r w:rsidR="00457DBD">
        <w:rPr>
          <w:rFonts w:cstheme="minorHAnsi"/>
          <w:sz w:val="22"/>
          <w:szCs w:val="22"/>
        </w:rPr>
        <w:t xml:space="preserve">By </w:t>
      </w:r>
      <w:r w:rsidR="00A854EE" w:rsidRPr="00BD0EF1">
        <w:rPr>
          <w:rFonts w:cstheme="minorHAnsi"/>
          <w:sz w:val="22"/>
          <w:szCs w:val="22"/>
        </w:rPr>
        <w:t>6</w:t>
      </w:r>
      <w:r w:rsidR="003560C0">
        <w:rPr>
          <w:rFonts w:cstheme="minorHAnsi"/>
          <w:sz w:val="22"/>
          <w:szCs w:val="22"/>
        </w:rPr>
        <w:t>-</w:t>
      </w:r>
      <w:r w:rsidR="00A854EE" w:rsidRPr="00BD0EF1">
        <w:rPr>
          <w:rFonts w:cstheme="minorHAnsi"/>
          <w:sz w:val="22"/>
          <w:szCs w:val="22"/>
        </w:rPr>
        <w:t>weeks</w:t>
      </w:r>
      <w:r w:rsidR="003560C0">
        <w:rPr>
          <w:rFonts w:cstheme="minorHAnsi"/>
          <w:sz w:val="22"/>
          <w:szCs w:val="22"/>
        </w:rPr>
        <w:t>,</w:t>
      </w:r>
      <w:r w:rsidR="00A854EE" w:rsidRPr="00BD0EF1">
        <w:rPr>
          <w:rFonts w:cstheme="minorHAnsi"/>
          <w:sz w:val="22"/>
          <w:szCs w:val="22"/>
        </w:rPr>
        <w:t xml:space="preserve"> </w:t>
      </w:r>
      <w:r w:rsidR="003560C0">
        <w:rPr>
          <w:rFonts w:cstheme="minorHAnsi"/>
          <w:sz w:val="22"/>
          <w:szCs w:val="22"/>
        </w:rPr>
        <w:t>a</w:t>
      </w:r>
      <w:r w:rsidR="00682DB7" w:rsidRPr="00BD0EF1">
        <w:rPr>
          <w:rFonts w:cstheme="minorHAnsi"/>
          <w:sz w:val="22"/>
          <w:szCs w:val="22"/>
        </w:rPr>
        <w:t xml:space="preserve"> significant </w:t>
      </w:r>
      <w:r w:rsidR="005E7DA1">
        <w:rPr>
          <w:rFonts w:cstheme="minorHAnsi"/>
          <w:sz w:val="22"/>
          <w:szCs w:val="22"/>
        </w:rPr>
        <w:t>reduction</w:t>
      </w:r>
      <w:r w:rsidR="003560C0">
        <w:rPr>
          <w:rFonts w:cstheme="minorHAnsi"/>
          <w:sz w:val="22"/>
          <w:szCs w:val="22"/>
        </w:rPr>
        <w:t xml:space="preserve"> </w:t>
      </w:r>
      <w:r w:rsidR="005E7DA1">
        <w:rPr>
          <w:rFonts w:cstheme="minorHAnsi"/>
          <w:sz w:val="22"/>
          <w:szCs w:val="22"/>
        </w:rPr>
        <w:t>in</w:t>
      </w:r>
      <w:r w:rsidR="00682DB7" w:rsidRPr="00BD0EF1">
        <w:rPr>
          <w:rFonts w:cstheme="minorHAnsi"/>
          <w:sz w:val="22"/>
          <w:szCs w:val="22"/>
        </w:rPr>
        <w:t xml:space="preserve"> lameness</w:t>
      </w:r>
      <w:r w:rsidR="006A69BC">
        <w:rPr>
          <w:rFonts w:cstheme="minorHAnsi"/>
          <w:sz w:val="22"/>
          <w:szCs w:val="22"/>
        </w:rPr>
        <w:t xml:space="preserve"> and</w:t>
      </w:r>
      <w:r w:rsidR="00A854EE" w:rsidRPr="00BD0EF1">
        <w:rPr>
          <w:rFonts w:cstheme="minorHAnsi"/>
          <w:sz w:val="22"/>
          <w:szCs w:val="22"/>
        </w:rPr>
        <w:t xml:space="preserve"> joint effusion</w:t>
      </w:r>
      <w:r w:rsidR="006A69BC">
        <w:rPr>
          <w:rFonts w:cstheme="minorHAnsi"/>
          <w:sz w:val="22"/>
          <w:szCs w:val="22"/>
        </w:rPr>
        <w:t xml:space="preserve"> </w:t>
      </w:r>
      <w:r w:rsidR="005E7DA1">
        <w:rPr>
          <w:rFonts w:cstheme="minorHAnsi"/>
          <w:sz w:val="22"/>
          <w:szCs w:val="22"/>
        </w:rPr>
        <w:t xml:space="preserve">with </w:t>
      </w:r>
      <w:r w:rsidR="005E7DA1" w:rsidRPr="00BD0EF1">
        <w:rPr>
          <w:rFonts w:cstheme="minorHAnsi"/>
          <w:sz w:val="22"/>
          <w:szCs w:val="22"/>
        </w:rPr>
        <w:t xml:space="preserve">2.5% PAAG </w:t>
      </w:r>
      <w:r w:rsidR="005E7DA1">
        <w:rPr>
          <w:rFonts w:cstheme="minorHAnsi"/>
          <w:sz w:val="22"/>
          <w:szCs w:val="22"/>
        </w:rPr>
        <w:t>was noted</w:t>
      </w:r>
      <w:r w:rsidR="00A854EE" w:rsidRPr="00BD0EF1">
        <w:rPr>
          <w:rFonts w:cstheme="minorHAnsi"/>
          <w:sz w:val="22"/>
          <w:szCs w:val="22"/>
        </w:rPr>
        <w:t xml:space="preserve">. </w:t>
      </w:r>
      <w:r w:rsidR="00682DB7" w:rsidRPr="00BD0EF1">
        <w:rPr>
          <w:rFonts w:cstheme="minorHAnsi"/>
          <w:sz w:val="22"/>
          <w:szCs w:val="22"/>
        </w:rPr>
        <w:t>T</w:t>
      </w:r>
      <w:r w:rsidR="00A827A7" w:rsidRPr="00BD0EF1">
        <w:rPr>
          <w:rFonts w:cstheme="minorHAnsi"/>
          <w:sz w:val="22"/>
          <w:szCs w:val="22"/>
        </w:rPr>
        <w:t>here</w:t>
      </w:r>
      <w:r w:rsidR="00A827A7" w:rsidRPr="00075A86">
        <w:rPr>
          <w:rFonts w:cstheme="minorHAnsi"/>
          <w:sz w:val="22"/>
          <w:szCs w:val="22"/>
        </w:rPr>
        <w:t xml:space="preserve"> </w:t>
      </w:r>
      <w:r w:rsidR="005A18C4" w:rsidRPr="00075A86">
        <w:rPr>
          <w:rFonts w:cstheme="minorHAnsi"/>
          <w:sz w:val="22"/>
          <w:szCs w:val="22"/>
        </w:rPr>
        <w:t>was</w:t>
      </w:r>
      <w:r w:rsidR="00A827A7" w:rsidRPr="00075A86">
        <w:rPr>
          <w:rFonts w:cstheme="minorHAnsi"/>
          <w:sz w:val="22"/>
          <w:szCs w:val="22"/>
        </w:rPr>
        <w:t xml:space="preserve"> no significant diff</w:t>
      </w:r>
      <w:r w:rsidR="00570DA4" w:rsidRPr="00075A86">
        <w:rPr>
          <w:rFonts w:cstheme="minorHAnsi"/>
          <w:sz w:val="22"/>
          <w:szCs w:val="22"/>
        </w:rPr>
        <w:t xml:space="preserve">erence in </w:t>
      </w:r>
      <w:r w:rsidR="00A827A7" w:rsidRPr="00075A86">
        <w:rPr>
          <w:rFonts w:cstheme="minorHAnsi"/>
          <w:sz w:val="22"/>
          <w:szCs w:val="22"/>
        </w:rPr>
        <w:t>outcome</w:t>
      </w:r>
      <w:r w:rsidR="008A0188" w:rsidRPr="00075A86">
        <w:rPr>
          <w:rFonts w:cstheme="minorHAnsi"/>
          <w:sz w:val="22"/>
          <w:szCs w:val="22"/>
        </w:rPr>
        <w:t>s</w:t>
      </w:r>
      <w:r w:rsidR="00A827A7" w:rsidRPr="00075A86">
        <w:rPr>
          <w:rFonts w:cstheme="minorHAnsi"/>
          <w:sz w:val="22"/>
          <w:szCs w:val="22"/>
        </w:rPr>
        <w:t xml:space="preserve"> between the </w:t>
      </w:r>
      <w:r w:rsidR="004632D7" w:rsidRPr="00075A86">
        <w:rPr>
          <w:rFonts w:cstheme="minorHAnsi"/>
          <w:sz w:val="22"/>
          <w:szCs w:val="22"/>
        </w:rPr>
        <w:t>TA</w:t>
      </w:r>
      <w:r w:rsidR="00570DA4" w:rsidRPr="00075A86">
        <w:rPr>
          <w:rFonts w:cstheme="minorHAnsi"/>
          <w:sz w:val="22"/>
          <w:szCs w:val="22"/>
        </w:rPr>
        <w:t xml:space="preserve"> </w:t>
      </w:r>
      <w:r w:rsidR="00A827A7" w:rsidRPr="00075A86">
        <w:rPr>
          <w:rFonts w:cstheme="minorHAnsi"/>
          <w:sz w:val="22"/>
          <w:szCs w:val="22"/>
        </w:rPr>
        <w:t xml:space="preserve">and </w:t>
      </w:r>
      <w:r w:rsidR="004632D7" w:rsidRPr="00075A86">
        <w:rPr>
          <w:rFonts w:cstheme="minorHAnsi"/>
          <w:sz w:val="22"/>
          <w:szCs w:val="22"/>
        </w:rPr>
        <w:t>HA</w:t>
      </w:r>
      <w:r w:rsidR="00570DA4" w:rsidRPr="00075A86">
        <w:rPr>
          <w:rFonts w:cstheme="minorHAnsi"/>
          <w:sz w:val="22"/>
          <w:szCs w:val="22"/>
        </w:rPr>
        <w:t xml:space="preserve"> </w:t>
      </w:r>
      <w:r w:rsidR="00A827A7" w:rsidRPr="00075A86">
        <w:rPr>
          <w:rFonts w:cstheme="minorHAnsi"/>
          <w:sz w:val="22"/>
          <w:szCs w:val="22"/>
        </w:rPr>
        <w:t>groups</w:t>
      </w:r>
      <w:r w:rsidR="00570DA4" w:rsidRPr="00075A86">
        <w:rPr>
          <w:rFonts w:cstheme="minorHAnsi"/>
          <w:sz w:val="22"/>
          <w:szCs w:val="22"/>
        </w:rPr>
        <w:t xml:space="preserve"> </w:t>
      </w:r>
      <w:r w:rsidR="005A18C4" w:rsidRPr="00075A86">
        <w:rPr>
          <w:rFonts w:cstheme="minorHAnsi"/>
          <w:sz w:val="22"/>
          <w:szCs w:val="22"/>
        </w:rPr>
        <w:t>at any time poi</w:t>
      </w:r>
      <w:r w:rsidR="00304A4D" w:rsidRPr="00075A86">
        <w:rPr>
          <w:rFonts w:cstheme="minorHAnsi"/>
          <w:sz w:val="22"/>
          <w:szCs w:val="22"/>
        </w:rPr>
        <w:t>n</w:t>
      </w:r>
      <w:r w:rsidR="00304A4D" w:rsidRPr="00BE1BFA">
        <w:rPr>
          <w:rFonts w:cstheme="minorHAnsi"/>
          <w:sz w:val="22"/>
          <w:szCs w:val="22"/>
        </w:rPr>
        <w:t>t</w:t>
      </w:r>
      <w:r w:rsidR="000C6A8E" w:rsidRPr="00BE1BFA">
        <w:rPr>
          <w:rFonts w:cstheme="minorHAnsi"/>
          <w:sz w:val="22"/>
          <w:szCs w:val="22"/>
        </w:rPr>
        <w:t>.</w:t>
      </w:r>
      <w:r w:rsidR="00BE1BFA" w:rsidRPr="00BE1BFA">
        <w:rPr>
          <w:rFonts w:cstheme="minorHAnsi"/>
          <w:sz w:val="22"/>
          <w:szCs w:val="22"/>
        </w:rPr>
        <w:t xml:space="preserve"> </w:t>
      </w:r>
      <w:r>
        <w:rPr>
          <w:rFonts w:cstheme="minorHAnsi"/>
          <w:sz w:val="22"/>
          <w:szCs w:val="22"/>
        </w:rPr>
        <w:br w:type="page"/>
      </w:r>
    </w:p>
    <w:p w14:paraId="66F5A743" w14:textId="71EDFB8A" w:rsidR="00203D93" w:rsidRPr="004C6504" w:rsidRDefault="00FF719C" w:rsidP="003232A4">
      <w:pPr>
        <w:spacing w:line="480" w:lineRule="auto"/>
        <w:outlineLvl w:val="0"/>
        <w:rPr>
          <w:b/>
          <w:sz w:val="28"/>
          <w:szCs w:val="28"/>
        </w:rPr>
      </w:pPr>
      <w:r>
        <w:rPr>
          <w:b/>
          <w:sz w:val="28"/>
          <w:szCs w:val="28"/>
        </w:rPr>
        <w:lastRenderedPageBreak/>
        <w:t xml:space="preserve">4. </w:t>
      </w:r>
      <w:r w:rsidR="00F45D92" w:rsidRPr="004C6504">
        <w:rPr>
          <w:b/>
          <w:sz w:val="28"/>
          <w:szCs w:val="28"/>
        </w:rPr>
        <w:t>Discussion</w:t>
      </w:r>
    </w:p>
    <w:p w14:paraId="791EB324" w14:textId="459F0B42" w:rsidR="00203D93" w:rsidRPr="00F01411" w:rsidRDefault="00F45D92" w:rsidP="003232A4">
      <w:pPr>
        <w:spacing w:line="480" w:lineRule="auto"/>
        <w:rPr>
          <w:rFonts w:cstheme="minorHAnsi"/>
          <w:sz w:val="22"/>
          <w:szCs w:val="22"/>
        </w:rPr>
      </w:pPr>
      <w:r w:rsidRPr="00F01411">
        <w:rPr>
          <w:rFonts w:cstheme="minorHAnsi"/>
          <w:sz w:val="22"/>
          <w:szCs w:val="22"/>
        </w:rPr>
        <w:t>This study showed a significantly better response of 2.5% PAAG when compared to conventional treatments (TA and HA) for the management of naturally</w:t>
      </w:r>
      <w:r w:rsidR="00E478C4" w:rsidRPr="00F01411">
        <w:rPr>
          <w:rFonts w:cstheme="minorHAnsi"/>
          <w:sz w:val="22"/>
          <w:szCs w:val="22"/>
        </w:rPr>
        <w:t xml:space="preserve"> </w:t>
      </w:r>
      <w:r w:rsidRPr="00F01411">
        <w:rPr>
          <w:rFonts w:cstheme="minorHAnsi"/>
          <w:sz w:val="22"/>
          <w:szCs w:val="22"/>
        </w:rPr>
        <w:t xml:space="preserve">occurring </w:t>
      </w:r>
      <w:r w:rsidR="002E6C76" w:rsidRPr="00F01411">
        <w:rPr>
          <w:rFonts w:cstheme="minorHAnsi"/>
          <w:sz w:val="22"/>
          <w:szCs w:val="22"/>
        </w:rPr>
        <w:t xml:space="preserve">middle </w:t>
      </w:r>
      <w:r w:rsidRPr="00F01411">
        <w:rPr>
          <w:rFonts w:cstheme="minorHAnsi"/>
          <w:sz w:val="22"/>
          <w:szCs w:val="22"/>
        </w:rPr>
        <w:t>carpal joint disease over a 6-week</w:t>
      </w:r>
      <w:r w:rsidR="00864E02" w:rsidRPr="00F01411">
        <w:rPr>
          <w:rFonts w:cstheme="minorHAnsi"/>
          <w:sz w:val="22"/>
          <w:szCs w:val="22"/>
        </w:rPr>
        <w:t>s</w:t>
      </w:r>
      <w:r w:rsidRPr="00F01411">
        <w:rPr>
          <w:rFonts w:cstheme="minorHAnsi"/>
          <w:sz w:val="22"/>
          <w:szCs w:val="22"/>
        </w:rPr>
        <w:t xml:space="preserve"> period. Prolonged activity of 2.5% PAAG up to 12 weeks was also noted. </w:t>
      </w:r>
      <w:r w:rsidR="002E6C76" w:rsidRPr="00F01411">
        <w:rPr>
          <w:rFonts w:cstheme="minorHAnsi"/>
          <w:sz w:val="22"/>
          <w:szCs w:val="22"/>
        </w:rPr>
        <w:t xml:space="preserve">Middle </w:t>
      </w:r>
      <w:r w:rsidRPr="00F01411">
        <w:rPr>
          <w:rFonts w:cstheme="minorHAnsi"/>
          <w:sz w:val="22"/>
          <w:szCs w:val="22"/>
        </w:rPr>
        <w:t>carpal joint disease</w:t>
      </w:r>
      <w:r w:rsidR="00C866F1" w:rsidRPr="00F01411">
        <w:rPr>
          <w:rFonts w:cstheme="minorHAnsi"/>
          <w:sz w:val="22"/>
          <w:szCs w:val="22"/>
        </w:rPr>
        <w:t xml:space="preserve"> (osteoarthritis)</w:t>
      </w:r>
      <w:r w:rsidRPr="00F01411">
        <w:rPr>
          <w:rFonts w:cstheme="minorHAnsi"/>
          <w:sz w:val="22"/>
          <w:szCs w:val="22"/>
        </w:rPr>
        <w:t xml:space="preserve">, characterized by lameness, joint effusion and pain on flexion, is the most common joint </w:t>
      </w:r>
      <w:r w:rsidR="00C866F1" w:rsidRPr="00F01411">
        <w:rPr>
          <w:rFonts w:cstheme="minorHAnsi"/>
          <w:sz w:val="22"/>
          <w:szCs w:val="22"/>
        </w:rPr>
        <w:t>pathology encountered</w:t>
      </w:r>
      <w:r w:rsidRPr="00F01411">
        <w:rPr>
          <w:rFonts w:cstheme="minorHAnsi"/>
          <w:sz w:val="22"/>
          <w:szCs w:val="22"/>
        </w:rPr>
        <w:t xml:space="preserve"> at the training facility participating in the study, and often requires repeated treatments with conventional therapies such as TA and HA [11]</w:t>
      </w:r>
      <w:r w:rsidR="00002090" w:rsidRPr="00F01411">
        <w:rPr>
          <w:rFonts w:cstheme="minorHAnsi"/>
          <w:sz w:val="22"/>
          <w:szCs w:val="22"/>
        </w:rPr>
        <w:t>, resulting in a significant number of days lost to training</w:t>
      </w:r>
      <w:r w:rsidRPr="00F01411">
        <w:rPr>
          <w:rFonts w:cstheme="minorHAnsi"/>
          <w:sz w:val="22"/>
          <w:szCs w:val="22"/>
        </w:rPr>
        <w:t xml:space="preserve">.   </w:t>
      </w:r>
    </w:p>
    <w:p w14:paraId="29CB6B4F" w14:textId="77777777" w:rsidR="00203D93" w:rsidRPr="00F01411" w:rsidRDefault="00203D93" w:rsidP="003232A4">
      <w:pPr>
        <w:spacing w:line="480" w:lineRule="auto"/>
        <w:rPr>
          <w:rFonts w:cstheme="minorHAnsi"/>
          <w:sz w:val="22"/>
          <w:szCs w:val="22"/>
        </w:rPr>
      </w:pPr>
    </w:p>
    <w:p w14:paraId="7BE079A8" w14:textId="169DB563" w:rsidR="00203D93" w:rsidRPr="00F01411" w:rsidRDefault="00F45D92" w:rsidP="003232A4">
      <w:pPr>
        <w:spacing w:line="480" w:lineRule="auto"/>
        <w:rPr>
          <w:rFonts w:cstheme="minorHAnsi"/>
          <w:sz w:val="22"/>
          <w:szCs w:val="22"/>
        </w:rPr>
      </w:pPr>
      <w:r w:rsidRPr="00F01411">
        <w:rPr>
          <w:rFonts w:cstheme="minorHAnsi"/>
          <w:sz w:val="22"/>
          <w:szCs w:val="22"/>
        </w:rPr>
        <w:t xml:space="preserve">The study investigated </w:t>
      </w:r>
      <w:r w:rsidR="00864E02" w:rsidRPr="00F01411">
        <w:rPr>
          <w:rFonts w:cstheme="minorHAnsi"/>
          <w:sz w:val="22"/>
          <w:szCs w:val="22"/>
        </w:rPr>
        <w:t xml:space="preserve">a </w:t>
      </w:r>
      <w:r w:rsidRPr="00F01411">
        <w:rPr>
          <w:rFonts w:cstheme="minorHAnsi"/>
          <w:sz w:val="22"/>
          <w:szCs w:val="22"/>
        </w:rPr>
        <w:t>naturally</w:t>
      </w:r>
      <w:r w:rsidR="00E478C4" w:rsidRPr="00F01411">
        <w:rPr>
          <w:rFonts w:cstheme="minorHAnsi"/>
          <w:sz w:val="22"/>
          <w:szCs w:val="22"/>
        </w:rPr>
        <w:t xml:space="preserve"> </w:t>
      </w:r>
      <w:r w:rsidRPr="00F01411">
        <w:rPr>
          <w:rFonts w:cstheme="minorHAnsi"/>
          <w:sz w:val="22"/>
          <w:szCs w:val="22"/>
        </w:rPr>
        <w:t xml:space="preserve">occurring disease, as it was more applicable in the clinical setting than a carpal chip model. The results of the pre-admission variables (Table 2) indicate that the </w:t>
      </w:r>
      <w:r w:rsidR="00C3081F" w:rsidRPr="00F01411">
        <w:rPr>
          <w:rFonts w:cstheme="minorHAnsi"/>
          <w:sz w:val="22"/>
          <w:szCs w:val="22"/>
        </w:rPr>
        <w:t xml:space="preserve">severity </w:t>
      </w:r>
      <w:r w:rsidRPr="00F01411">
        <w:rPr>
          <w:rFonts w:cstheme="minorHAnsi"/>
          <w:sz w:val="22"/>
          <w:szCs w:val="22"/>
        </w:rPr>
        <w:t>of disease was relatively mild on admission</w:t>
      </w:r>
      <w:r w:rsidR="00C3081F" w:rsidRPr="00F01411">
        <w:rPr>
          <w:rFonts w:cstheme="minorHAnsi"/>
          <w:sz w:val="22"/>
          <w:szCs w:val="22"/>
        </w:rPr>
        <w:t xml:space="preserve"> and was likely the result of synovitis/capsulitis</w:t>
      </w:r>
      <w:r w:rsidR="00C866F1" w:rsidRPr="00F01411">
        <w:rPr>
          <w:rFonts w:cstheme="minorHAnsi"/>
          <w:sz w:val="22"/>
          <w:szCs w:val="22"/>
        </w:rPr>
        <w:t xml:space="preserve"> or early osteoarthritis</w:t>
      </w:r>
      <w:r w:rsidR="00C3081F" w:rsidRPr="00F01411">
        <w:rPr>
          <w:rFonts w:cstheme="minorHAnsi"/>
          <w:sz w:val="22"/>
          <w:szCs w:val="22"/>
        </w:rPr>
        <w:t xml:space="preserve"> [12]</w:t>
      </w:r>
      <w:r w:rsidR="00C866F1" w:rsidRPr="00F01411">
        <w:rPr>
          <w:rFonts w:cstheme="minorHAnsi"/>
          <w:sz w:val="22"/>
          <w:szCs w:val="22"/>
        </w:rPr>
        <w:t xml:space="preserve"> more than advanced osteoarthritis</w:t>
      </w:r>
      <w:r w:rsidR="00C3081F" w:rsidRPr="00F01411">
        <w:rPr>
          <w:rFonts w:cstheme="minorHAnsi"/>
          <w:sz w:val="22"/>
          <w:szCs w:val="22"/>
        </w:rPr>
        <w:t>.</w:t>
      </w:r>
      <w:r w:rsidRPr="00F01411">
        <w:rPr>
          <w:rFonts w:cstheme="minorHAnsi"/>
          <w:sz w:val="22"/>
          <w:szCs w:val="22"/>
        </w:rPr>
        <w:t xml:space="preserve"> </w:t>
      </w:r>
      <w:r w:rsidR="00C3081F" w:rsidRPr="00F01411">
        <w:rPr>
          <w:rFonts w:cstheme="minorHAnsi"/>
          <w:sz w:val="22"/>
          <w:szCs w:val="22"/>
        </w:rPr>
        <w:t xml:space="preserve">Thirty </w:t>
      </w:r>
      <w:r w:rsidR="00AD5157" w:rsidRPr="00F01411">
        <w:rPr>
          <w:rFonts w:cstheme="minorHAnsi"/>
          <w:sz w:val="22"/>
          <w:szCs w:val="22"/>
        </w:rPr>
        <w:t xml:space="preserve">one </w:t>
      </w:r>
      <w:r w:rsidR="00C3081F" w:rsidRPr="00F01411">
        <w:rPr>
          <w:rFonts w:cstheme="minorHAnsi"/>
          <w:sz w:val="22"/>
          <w:szCs w:val="22"/>
        </w:rPr>
        <w:t>out of 33 joints (9</w:t>
      </w:r>
      <w:r w:rsidR="00AD5157" w:rsidRPr="00F01411">
        <w:rPr>
          <w:rFonts w:cstheme="minorHAnsi"/>
          <w:sz w:val="22"/>
          <w:szCs w:val="22"/>
        </w:rPr>
        <w:t>4</w:t>
      </w:r>
      <w:r w:rsidR="00C3081F" w:rsidRPr="00F01411">
        <w:rPr>
          <w:rFonts w:cstheme="minorHAnsi"/>
          <w:sz w:val="22"/>
          <w:szCs w:val="22"/>
        </w:rPr>
        <w:t xml:space="preserve">%) had no or only mild radiographic changes (grade 0-1) indicative of repetitive </w:t>
      </w:r>
      <w:r w:rsidR="00FC35AD" w:rsidRPr="00F01411">
        <w:rPr>
          <w:rFonts w:cstheme="minorHAnsi"/>
          <w:sz w:val="22"/>
          <w:szCs w:val="22"/>
        </w:rPr>
        <w:t xml:space="preserve">cartilage and </w:t>
      </w:r>
      <w:r w:rsidR="00C3081F" w:rsidRPr="00F01411">
        <w:rPr>
          <w:rFonts w:cstheme="minorHAnsi"/>
          <w:sz w:val="22"/>
          <w:szCs w:val="22"/>
        </w:rPr>
        <w:t xml:space="preserve">subchondral bone trauma and secondary osteoarthritis. </w:t>
      </w:r>
      <w:r w:rsidRPr="00F01411">
        <w:rPr>
          <w:rFonts w:cstheme="minorHAnsi"/>
          <w:sz w:val="22"/>
          <w:szCs w:val="22"/>
        </w:rPr>
        <w:t xml:space="preserve">In contrast, previous studies of 2.5% PAAG [5-8] had cases with more advanced osteoarthritic changes, and with a majority having had previous intra-articular medications over a prolonged period before medication with 2.5% PAAG. </w:t>
      </w:r>
      <w:r w:rsidR="00697C53" w:rsidRPr="00F01411">
        <w:rPr>
          <w:rFonts w:cstheme="minorHAnsi"/>
          <w:sz w:val="22"/>
          <w:szCs w:val="22"/>
        </w:rPr>
        <w:t xml:space="preserve">The breed, age, athletic use of the horses and treated joints were also different in previous studies investigating </w:t>
      </w:r>
      <w:r w:rsidR="00BF2FAA" w:rsidRPr="00F01411">
        <w:rPr>
          <w:rFonts w:cstheme="minorHAnsi"/>
          <w:sz w:val="22"/>
          <w:szCs w:val="22"/>
        </w:rPr>
        <w:t xml:space="preserve">the effects of </w:t>
      </w:r>
      <w:r w:rsidR="00697C53" w:rsidRPr="00F01411">
        <w:rPr>
          <w:rFonts w:cstheme="minorHAnsi"/>
          <w:sz w:val="22"/>
          <w:szCs w:val="22"/>
        </w:rPr>
        <w:t>2.5% PAAG [5-8]</w:t>
      </w:r>
      <w:r w:rsidR="00BB7004" w:rsidRPr="00F01411">
        <w:rPr>
          <w:rFonts w:cstheme="minorHAnsi"/>
          <w:sz w:val="22"/>
          <w:szCs w:val="22"/>
        </w:rPr>
        <w:t>. T</w:t>
      </w:r>
      <w:r w:rsidR="00697C53" w:rsidRPr="00F01411">
        <w:rPr>
          <w:rFonts w:cstheme="minorHAnsi"/>
          <w:sz w:val="22"/>
          <w:szCs w:val="22"/>
        </w:rPr>
        <w:t xml:space="preserve">he horses were older, </w:t>
      </w:r>
      <w:r w:rsidR="00467B21" w:rsidRPr="00F01411">
        <w:rPr>
          <w:rFonts w:cstheme="minorHAnsi"/>
          <w:sz w:val="22"/>
          <w:szCs w:val="22"/>
        </w:rPr>
        <w:t xml:space="preserve">only </w:t>
      </w:r>
      <w:r w:rsidR="00697C53" w:rsidRPr="00F01411">
        <w:rPr>
          <w:rFonts w:cstheme="minorHAnsi"/>
          <w:sz w:val="22"/>
          <w:szCs w:val="22"/>
        </w:rPr>
        <w:t xml:space="preserve">8/115 were racing Thoroughbreds and </w:t>
      </w:r>
      <w:r w:rsidR="00AD5157" w:rsidRPr="00F01411">
        <w:rPr>
          <w:rFonts w:cstheme="minorHAnsi"/>
          <w:sz w:val="22"/>
          <w:szCs w:val="22"/>
        </w:rPr>
        <w:t xml:space="preserve">just </w:t>
      </w:r>
      <w:r w:rsidR="00467B21" w:rsidRPr="00F01411">
        <w:rPr>
          <w:rFonts w:cstheme="minorHAnsi"/>
          <w:sz w:val="22"/>
          <w:szCs w:val="22"/>
        </w:rPr>
        <w:t>3</w:t>
      </w:r>
      <w:r w:rsidR="005D21A9" w:rsidRPr="00F01411">
        <w:rPr>
          <w:rFonts w:cstheme="minorHAnsi"/>
          <w:sz w:val="22"/>
          <w:szCs w:val="22"/>
        </w:rPr>
        <w:t>/115</w:t>
      </w:r>
      <w:r w:rsidR="00467B21" w:rsidRPr="00F01411">
        <w:rPr>
          <w:rFonts w:cstheme="minorHAnsi"/>
          <w:sz w:val="22"/>
          <w:szCs w:val="22"/>
        </w:rPr>
        <w:t xml:space="preserve"> </w:t>
      </w:r>
      <w:r w:rsidR="00697C53" w:rsidRPr="00F01411">
        <w:rPr>
          <w:rFonts w:cstheme="minorHAnsi"/>
          <w:sz w:val="22"/>
          <w:szCs w:val="22"/>
        </w:rPr>
        <w:t xml:space="preserve">of the treated joints </w:t>
      </w:r>
      <w:r w:rsidR="00467B21" w:rsidRPr="00F01411">
        <w:rPr>
          <w:rFonts w:cstheme="minorHAnsi"/>
          <w:sz w:val="22"/>
          <w:szCs w:val="22"/>
        </w:rPr>
        <w:t>were carpal joints</w:t>
      </w:r>
      <w:r w:rsidR="00697C53" w:rsidRPr="00F01411">
        <w:rPr>
          <w:rFonts w:cstheme="minorHAnsi"/>
          <w:sz w:val="22"/>
          <w:szCs w:val="22"/>
        </w:rPr>
        <w:t xml:space="preserve">. </w:t>
      </w:r>
      <w:r w:rsidR="001142AB" w:rsidRPr="00F01411">
        <w:rPr>
          <w:rFonts w:cstheme="minorHAnsi"/>
          <w:sz w:val="22"/>
          <w:szCs w:val="22"/>
        </w:rPr>
        <w:t xml:space="preserve">Our double blinded randomised study </w:t>
      </w:r>
      <w:r w:rsidRPr="00F01411">
        <w:rPr>
          <w:rFonts w:cstheme="minorHAnsi"/>
          <w:sz w:val="22"/>
          <w:szCs w:val="22"/>
        </w:rPr>
        <w:t xml:space="preserve">suggests </w:t>
      </w:r>
      <w:r w:rsidR="001142AB" w:rsidRPr="00F01411">
        <w:rPr>
          <w:rFonts w:cstheme="minorHAnsi"/>
          <w:sz w:val="22"/>
          <w:szCs w:val="22"/>
        </w:rPr>
        <w:t xml:space="preserve">that </w:t>
      </w:r>
      <w:r w:rsidRPr="00F01411">
        <w:rPr>
          <w:rFonts w:cstheme="minorHAnsi"/>
          <w:sz w:val="22"/>
          <w:szCs w:val="22"/>
        </w:rPr>
        <w:t>2.5% PAAG may be indicated earlier in the naturally</w:t>
      </w:r>
      <w:r w:rsidR="00E478C4" w:rsidRPr="00F01411">
        <w:rPr>
          <w:rFonts w:cstheme="minorHAnsi"/>
          <w:sz w:val="22"/>
          <w:szCs w:val="22"/>
        </w:rPr>
        <w:t xml:space="preserve"> </w:t>
      </w:r>
      <w:r w:rsidRPr="00F01411">
        <w:rPr>
          <w:rFonts w:cstheme="minorHAnsi"/>
          <w:sz w:val="22"/>
          <w:szCs w:val="22"/>
        </w:rPr>
        <w:t xml:space="preserve">occurring disease process than previously </w:t>
      </w:r>
      <w:r w:rsidR="003273EF" w:rsidRPr="00F01411">
        <w:rPr>
          <w:rFonts w:cstheme="minorHAnsi"/>
          <w:sz w:val="22"/>
          <w:szCs w:val="22"/>
        </w:rPr>
        <w:t>thought</w:t>
      </w:r>
      <w:r w:rsidR="00457DBD" w:rsidRPr="00F01411">
        <w:rPr>
          <w:rFonts w:cstheme="minorHAnsi"/>
          <w:sz w:val="22"/>
          <w:szCs w:val="22"/>
        </w:rPr>
        <w:t>,</w:t>
      </w:r>
      <w:r w:rsidR="003273EF" w:rsidRPr="00F01411">
        <w:rPr>
          <w:rFonts w:cstheme="minorHAnsi"/>
          <w:sz w:val="22"/>
          <w:szCs w:val="22"/>
        </w:rPr>
        <w:t xml:space="preserve"> a</w:t>
      </w:r>
      <w:r w:rsidR="001142AB" w:rsidRPr="00F01411">
        <w:rPr>
          <w:rFonts w:cstheme="minorHAnsi"/>
          <w:sz w:val="22"/>
          <w:szCs w:val="22"/>
        </w:rPr>
        <w:t>nd as</w:t>
      </w:r>
      <w:r w:rsidRPr="00F01411">
        <w:rPr>
          <w:rFonts w:cstheme="minorHAnsi"/>
          <w:sz w:val="22"/>
          <w:szCs w:val="22"/>
        </w:rPr>
        <w:t xml:space="preserve"> </w:t>
      </w:r>
      <w:r w:rsidR="005F6E86" w:rsidRPr="00F01411">
        <w:rPr>
          <w:rFonts w:cstheme="minorHAnsi"/>
          <w:sz w:val="22"/>
          <w:szCs w:val="22"/>
        </w:rPr>
        <w:t>proposed</w:t>
      </w:r>
      <w:r w:rsidRPr="00F01411">
        <w:rPr>
          <w:rFonts w:cstheme="minorHAnsi"/>
          <w:sz w:val="22"/>
          <w:szCs w:val="22"/>
        </w:rPr>
        <w:t xml:space="preserve"> in </w:t>
      </w:r>
      <w:r w:rsidR="002F304A" w:rsidRPr="00F01411">
        <w:rPr>
          <w:rFonts w:cstheme="minorHAnsi"/>
          <w:sz w:val="22"/>
          <w:szCs w:val="22"/>
        </w:rPr>
        <w:t xml:space="preserve">a </w:t>
      </w:r>
      <w:r w:rsidRPr="00F01411">
        <w:rPr>
          <w:rFonts w:cstheme="minorHAnsi"/>
          <w:sz w:val="22"/>
          <w:szCs w:val="22"/>
        </w:rPr>
        <w:t>more recent stud</w:t>
      </w:r>
      <w:r w:rsidR="002F304A" w:rsidRPr="00F01411">
        <w:rPr>
          <w:rFonts w:cstheme="minorHAnsi"/>
          <w:sz w:val="22"/>
          <w:szCs w:val="22"/>
        </w:rPr>
        <w:t xml:space="preserve">y </w:t>
      </w:r>
      <w:r w:rsidR="005F6E86" w:rsidRPr="00F01411">
        <w:rPr>
          <w:rFonts w:cstheme="minorHAnsi"/>
          <w:sz w:val="22"/>
          <w:szCs w:val="22"/>
        </w:rPr>
        <w:t>in racing Thoroughbreds</w:t>
      </w:r>
      <w:r w:rsidRPr="00F01411">
        <w:rPr>
          <w:rFonts w:cstheme="minorHAnsi"/>
          <w:sz w:val="22"/>
          <w:szCs w:val="22"/>
        </w:rPr>
        <w:t xml:space="preserve"> [9]. </w:t>
      </w:r>
    </w:p>
    <w:p w14:paraId="6DA81891" w14:textId="77777777" w:rsidR="00203D93" w:rsidRPr="00F01411" w:rsidRDefault="00203D93" w:rsidP="003232A4">
      <w:pPr>
        <w:spacing w:line="480" w:lineRule="auto"/>
        <w:rPr>
          <w:rFonts w:cstheme="minorHAnsi"/>
          <w:sz w:val="22"/>
          <w:szCs w:val="22"/>
        </w:rPr>
      </w:pPr>
    </w:p>
    <w:p w14:paraId="5265A46F" w14:textId="4CC1D269" w:rsidR="005D21A9" w:rsidRPr="00F01411" w:rsidRDefault="00F45D92" w:rsidP="003232A4">
      <w:pPr>
        <w:spacing w:line="480" w:lineRule="auto"/>
        <w:rPr>
          <w:rFonts w:cstheme="minorHAnsi"/>
          <w:sz w:val="22"/>
          <w:szCs w:val="22"/>
        </w:rPr>
      </w:pPr>
      <w:r w:rsidRPr="00F01411">
        <w:rPr>
          <w:rFonts w:cstheme="minorHAnsi"/>
          <w:color w:val="000000" w:themeColor="text1"/>
          <w:sz w:val="22"/>
          <w:szCs w:val="22"/>
        </w:rPr>
        <w:t>The outcome measure of lameness was considered the primary clinical</w:t>
      </w:r>
      <w:r w:rsidRPr="00F01411">
        <w:rPr>
          <w:rFonts w:cstheme="minorHAnsi"/>
          <w:sz w:val="22"/>
          <w:szCs w:val="22"/>
        </w:rPr>
        <w:t xml:space="preserve"> parameter in our study as it would be the primary presenting complaint and resolution of lameness the primary goal </w:t>
      </w:r>
      <w:r w:rsidRPr="00F01411">
        <w:rPr>
          <w:rFonts w:cstheme="minorHAnsi"/>
          <w:sz w:val="22"/>
          <w:szCs w:val="22"/>
        </w:rPr>
        <w:lastRenderedPageBreak/>
        <w:t>of treatment. The 2.5% PAAG treated group showed a statistically stronger improvement in lameness scores (p&lt;0.05) when compared to both TA and HA treated groups at 4 and 6 weeks</w:t>
      </w:r>
      <w:r w:rsidR="002E6C76" w:rsidRPr="00F01411">
        <w:rPr>
          <w:rFonts w:cstheme="minorHAnsi"/>
          <w:sz w:val="22"/>
          <w:szCs w:val="22"/>
        </w:rPr>
        <w:t xml:space="preserve"> w</w:t>
      </w:r>
      <w:r w:rsidRPr="00F01411">
        <w:rPr>
          <w:rFonts w:cstheme="minorHAnsi"/>
          <w:sz w:val="22"/>
          <w:szCs w:val="22"/>
        </w:rPr>
        <w:t>ith 83% of the joints lame</w:t>
      </w:r>
      <w:r w:rsidR="001142AB" w:rsidRPr="00F01411">
        <w:rPr>
          <w:rFonts w:cstheme="minorHAnsi"/>
          <w:sz w:val="22"/>
          <w:szCs w:val="22"/>
        </w:rPr>
        <w:t xml:space="preserve"> </w:t>
      </w:r>
      <w:r w:rsidRPr="00F01411">
        <w:rPr>
          <w:rFonts w:cstheme="minorHAnsi"/>
          <w:sz w:val="22"/>
          <w:szCs w:val="22"/>
        </w:rPr>
        <w:t>free</w:t>
      </w:r>
      <w:r w:rsidR="002E6C76" w:rsidRPr="00F01411">
        <w:rPr>
          <w:rFonts w:cstheme="minorHAnsi"/>
          <w:sz w:val="22"/>
          <w:szCs w:val="22"/>
        </w:rPr>
        <w:t>. T</w:t>
      </w:r>
      <w:r w:rsidRPr="00F01411">
        <w:rPr>
          <w:rFonts w:cstheme="minorHAnsi"/>
          <w:sz w:val="22"/>
          <w:szCs w:val="22"/>
        </w:rPr>
        <w:t xml:space="preserve">hese results are consistent with previous studies of 2.5% PAAG [5-9]. </w:t>
      </w:r>
    </w:p>
    <w:p w14:paraId="0848AB24" w14:textId="77777777" w:rsidR="005D21A9" w:rsidRPr="00F01411" w:rsidRDefault="005D21A9" w:rsidP="003232A4">
      <w:pPr>
        <w:spacing w:line="480" w:lineRule="auto"/>
        <w:rPr>
          <w:rFonts w:cstheme="minorHAnsi"/>
          <w:sz w:val="22"/>
          <w:szCs w:val="22"/>
        </w:rPr>
      </w:pPr>
    </w:p>
    <w:p w14:paraId="059097E2" w14:textId="6475757B" w:rsidR="004938DE" w:rsidRPr="00F01411" w:rsidRDefault="00F45D92" w:rsidP="003232A4">
      <w:pPr>
        <w:spacing w:line="480" w:lineRule="auto"/>
        <w:rPr>
          <w:rFonts w:cstheme="minorHAnsi"/>
          <w:sz w:val="22"/>
          <w:szCs w:val="22"/>
        </w:rPr>
      </w:pPr>
      <w:r w:rsidRPr="00F01411">
        <w:rPr>
          <w:rFonts w:cstheme="minorHAnsi"/>
          <w:sz w:val="22"/>
          <w:szCs w:val="22"/>
        </w:rPr>
        <w:t>Our study used positive controls, and a statistical difference was noted between treatments from 4 weeks post-admission, indicating a superior relative efficacy of 2.5% PAAG versus TA or HA by that time point.  Previous studies have also shown that 2.5% PAAG takes between 2 to 4 weeks to have an effect [5-9], due to its proposed mechanism of action [13]; 2.5% PAAG takes between 2 to 4 weeks to integrate and increase the elastic resistance of osteoarthritic-affected joint capsules through deposition of collagen fibres into the intima/sub-intima of the synovium. This leads to a reduction and then stabilisation of osteoarthritic changes, as detected by magnetic resonance imaging, returning the joint capsule elasticity to a pre-diseased state and increasing functionality to withstand the forces placed upon the joint during locomotion [14]. Recent human research investigating 2.5% PAAG in the management of femorotibial joint osteoarthritis also showed statistically significant improvement in joint stiffness, pain and functionality from 4-weeks after intra-articular administration [15]. Our findings support that a 4 to 6-week period is necessary before clinicians should draw any quantifiable conclusions relative to a joint's response to 2.5% PAAG treatment.</w:t>
      </w:r>
    </w:p>
    <w:p w14:paraId="563612C5" w14:textId="77777777" w:rsidR="004938DE" w:rsidRPr="00F01411" w:rsidRDefault="004938DE" w:rsidP="003232A4">
      <w:pPr>
        <w:spacing w:line="480" w:lineRule="auto"/>
        <w:rPr>
          <w:rFonts w:cstheme="minorHAnsi"/>
          <w:sz w:val="22"/>
          <w:szCs w:val="22"/>
        </w:rPr>
      </w:pPr>
    </w:p>
    <w:p w14:paraId="2B6E9486" w14:textId="400C485A" w:rsidR="000E38A1" w:rsidRPr="00F01411" w:rsidRDefault="00F45D92" w:rsidP="003232A4">
      <w:pPr>
        <w:spacing w:line="480" w:lineRule="auto"/>
        <w:rPr>
          <w:rFonts w:cstheme="minorHAnsi"/>
          <w:sz w:val="22"/>
          <w:szCs w:val="22"/>
        </w:rPr>
      </w:pPr>
      <w:r w:rsidRPr="00F01411">
        <w:rPr>
          <w:rFonts w:cstheme="minorHAnsi"/>
          <w:sz w:val="22"/>
          <w:szCs w:val="22"/>
        </w:rPr>
        <w:t xml:space="preserve">A reduction in effusion and reaction to flexion was noted in 50% (6/12) of the joints treated with 2.5% PAAG in our study. Although not as marked at 6 weeks this effect was present and consistent with what is reported elsewhere [7,9]. It is known that upon injection into joints 2.5% PAAG adheres to the synovial lining through its ability to exchange water molecules [1,2,3]. This </w:t>
      </w:r>
      <w:r w:rsidR="000D12D4" w:rsidRPr="00F01411">
        <w:rPr>
          <w:rFonts w:cstheme="minorHAnsi"/>
          <w:sz w:val="22"/>
          <w:szCs w:val="22"/>
        </w:rPr>
        <w:t>could</w:t>
      </w:r>
      <w:r w:rsidR="00BB159C" w:rsidRPr="00F01411">
        <w:rPr>
          <w:rFonts w:cstheme="minorHAnsi"/>
          <w:sz w:val="22"/>
          <w:szCs w:val="22"/>
        </w:rPr>
        <w:t xml:space="preserve"> </w:t>
      </w:r>
      <w:r w:rsidRPr="00F01411">
        <w:rPr>
          <w:rFonts w:cstheme="minorHAnsi"/>
          <w:sz w:val="22"/>
          <w:szCs w:val="22"/>
        </w:rPr>
        <w:t xml:space="preserve">immediately act to reduce exposure of synoviocytes to pro-inflammatory cytokines in the inflamed or diseased </w:t>
      </w:r>
      <w:r w:rsidR="00BB7004" w:rsidRPr="00F01411">
        <w:rPr>
          <w:rFonts w:cstheme="minorHAnsi"/>
          <w:sz w:val="22"/>
          <w:szCs w:val="22"/>
        </w:rPr>
        <w:t>joint,</w:t>
      </w:r>
      <w:r w:rsidR="00BB159C" w:rsidRPr="00F01411">
        <w:rPr>
          <w:rFonts w:cstheme="minorHAnsi"/>
          <w:sz w:val="22"/>
          <w:szCs w:val="22"/>
        </w:rPr>
        <w:t xml:space="preserve"> but this mechanism of action remains to be proven</w:t>
      </w:r>
      <w:r w:rsidRPr="00F01411">
        <w:rPr>
          <w:rFonts w:cstheme="minorHAnsi"/>
          <w:sz w:val="22"/>
          <w:szCs w:val="22"/>
        </w:rPr>
        <w:t xml:space="preserve">. </w:t>
      </w:r>
      <w:r w:rsidRPr="00F01411">
        <w:rPr>
          <w:rFonts w:cstheme="minorHAnsi"/>
          <w:sz w:val="22"/>
          <w:szCs w:val="22"/>
        </w:rPr>
        <w:lastRenderedPageBreak/>
        <w:t xml:space="preserve">It is also known that mononuclear cells infiltrate the synovium in response to 2.5% PAAG [4]. </w:t>
      </w:r>
      <w:proofErr w:type="spellStart"/>
      <w:r w:rsidRPr="00F01411">
        <w:rPr>
          <w:rFonts w:cstheme="minorHAnsi"/>
          <w:sz w:val="22"/>
          <w:szCs w:val="22"/>
        </w:rPr>
        <w:t>Wehling</w:t>
      </w:r>
      <w:proofErr w:type="spellEnd"/>
      <w:r w:rsidRPr="00F01411">
        <w:rPr>
          <w:rFonts w:cstheme="minorHAnsi"/>
          <w:sz w:val="22"/>
          <w:szCs w:val="22"/>
        </w:rPr>
        <w:t xml:space="preserve"> </w:t>
      </w:r>
      <w:r w:rsidRPr="00F01411">
        <w:rPr>
          <w:rFonts w:cstheme="minorHAnsi"/>
          <w:i/>
          <w:sz w:val="22"/>
          <w:szCs w:val="22"/>
        </w:rPr>
        <w:t>et al</w:t>
      </w:r>
      <w:r w:rsidRPr="00F01411">
        <w:rPr>
          <w:rFonts w:cstheme="minorHAnsi"/>
          <w:sz w:val="22"/>
          <w:szCs w:val="22"/>
        </w:rPr>
        <w:t>. (2007) showed that mononuclear cells respond to a pyrogenic-free substance, such as 2.5% PAAG, with the release of anti-inflammatory cytokines interleukin-1 receptor antagonist protein, transforming growth factor-</w:t>
      </w:r>
      <w:r w:rsidRPr="00F01411">
        <w:rPr>
          <w:rFonts w:cstheme="minorHAnsi"/>
          <w:sz w:val="22"/>
          <w:szCs w:val="22"/>
        </w:rPr>
        <w:sym w:font="Symbol" w:char="F062"/>
      </w:r>
      <w:r w:rsidRPr="00F01411">
        <w:rPr>
          <w:rFonts w:cstheme="minorHAnsi"/>
          <w:sz w:val="22"/>
          <w:szCs w:val="22"/>
        </w:rPr>
        <w:t>1, and insulin-like growth factor 1, amongst other cytokines [16]. This may</w:t>
      </w:r>
      <w:r w:rsidR="00BF761F" w:rsidRPr="00F01411">
        <w:rPr>
          <w:rFonts w:cstheme="minorHAnsi"/>
          <w:sz w:val="22"/>
          <w:szCs w:val="22"/>
        </w:rPr>
        <w:t xml:space="preserve"> </w:t>
      </w:r>
      <w:r w:rsidRPr="00F01411">
        <w:rPr>
          <w:rFonts w:cstheme="minorHAnsi"/>
          <w:sz w:val="22"/>
          <w:szCs w:val="22"/>
        </w:rPr>
        <w:t xml:space="preserve">explain the reduction in joint effusion noted before augmentation of the joint capsule elastance is known to occur. </w:t>
      </w:r>
    </w:p>
    <w:p w14:paraId="0A2D897B" w14:textId="58D0AE36" w:rsidR="004938DE" w:rsidRPr="00F01411" w:rsidRDefault="004938DE" w:rsidP="003232A4">
      <w:pPr>
        <w:spacing w:line="480" w:lineRule="auto"/>
        <w:rPr>
          <w:rFonts w:cstheme="minorHAnsi"/>
          <w:sz w:val="22"/>
          <w:szCs w:val="22"/>
        </w:rPr>
      </w:pPr>
    </w:p>
    <w:p w14:paraId="60F44BAE" w14:textId="11E2081F" w:rsidR="00B8381B" w:rsidRDefault="000C6A8E" w:rsidP="003232A4">
      <w:pPr>
        <w:spacing w:line="480" w:lineRule="auto"/>
        <w:rPr>
          <w:rFonts w:cstheme="minorHAnsi"/>
          <w:sz w:val="22"/>
          <w:szCs w:val="22"/>
        </w:rPr>
      </w:pPr>
      <w:r>
        <w:rPr>
          <w:rFonts w:cstheme="minorHAnsi"/>
          <w:sz w:val="22"/>
          <w:szCs w:val="22"/>
        </w:rPr>
        <w:t xml:space="preserve">Histological studies </w:t>
      </w:r>
      <w:r w:rsidRPr="00F01411">
        <w:rPr>
          <w:rFonts w:cstheme="minorHAnsi"/>
          <w:sz w:val="22"/>
          <w:szCs w:val="22"/>
        </w:rPr>
        <w:t>[4]</w:t>
      </w:r>
      <w:r>
        <w:rPr>
          <w:rFonts w:cstheme="minorHAnsi"/>
          <w:sz w:val="22"/>
          <w:szCs w:val="22"/>
        </w:rPr>
        <w:t xml:space="preserve"> have shown that t</w:t>
      </w:r>
      <w:r w:rsidR="00F45D92" w:rsidRPr="00F01411">
        <w:rPr>
          <w:rFonts w:cstheme="minorHAnsi"/>
          <w:sz w:val="22"/>
          <w:szCs w:val="22"/>
        </w:rPr>
        <w:t xml:space="preserve">hroughout 14 up to 42 days the gel becomes fully integrated into the synovial lining and its immediate surrounding tissue of the inner </w:t>
      </w:r>
      <w:r w:rsidR="00BB159C" w:rsidRPr="00F01411">
        <w:rPr>
          <w:rFonts w:cstheme="minorHAnsi"/>
          <w:sz w:val="22"/>
          <w:szCs w:val="22"/>
        </w:rPr>
        <w:t xml:space="preserve">joint </w:t>
      </w:r>
      <w:r w:rsidR="00F45D92" w:rsidRPr="00F01411">
        <w:rPr>
          <w:rFonts w:cstheme="minorHAnsi"/>
          <w:sz w:val="22"/>
          <w:szCs w:val="22"/>
        </w:rPr>
        <w:t>capsule by a combination of cell migration and vessel ingrowth forming a thick, cushion-like membrane consisting of vessel integrated gel covered by a hypercellular synovial cell lining facing the joint cavity</w:t>
      </w:r>
      <w:r w:rsidR="00B8381B">
        <w:rPr>
          <w:rFonts w:cstheme="minorHAnsi"/>
          <w:sz w:val="22"/>
          <w:szCs w:val="22"/>
        </w:rPr>
        <w:t>.</w:t>
      </w:r>
      <w:r w:rsidR="00F45D92" w:rsidRPr="00F01411">
        <w:rPr>
          <w:rFonts w:cstheme="minorHAnsi"/>
          <w:sz w:val="22"/>
          <w:szCs w:val="22"/>
        </w:rPr>
        <w:t xml:space="preserve"> As a result, 2.5% PAAG has a long-lasting augmentation effect on both the joint capsule and synovium by increasing the capsule's elasticity and tensile strength and improving its capacity to transfer load [13]. </w:t>
      </w:r>
      <w:r>
        <w:rPr>
          <w:rFonts w:cstheme="minorHAnsi"/>
          <w:sz w:val="22"/>
          <w:szCs w:val="22"/>
        </w:rPr>
        <w:t xml:space="preserve">A more recent </w:t>
      </w:r>
      <w:r w:rsidRPr="00AD0DF9">
        <w:rPr>
          <w:rFonts w:cstheme="minorHAnsi"/>
          <w:i/>
          <w:iCs/>
          <w:sz w:val="22"/>
          <w:szCs w:val="22"/>
        </w:rPr>
        <w:t>in vitro</w:t>
      </w:r>
      <w:r>
        <w:rPr>
          <w:rFonts w:cstheme="minorHAnsi"/>
          <w:sz w:val="22"/>
          <w:szCs w:val="22"/>
        </w:rPr>
        <w:t xml:space="preserve"> study model demonstrated that the coefficient of friction of both damaged and native bovine cartilage was lowered by almost 60% after exposure to PAAG hydrogel, with histological samples showing retention and localisation of the gel on the cartilage surface [17]. Samples were tested seven days after exposure to the hydrogel and demonstrate a potential lubricating ability, at least in the early stages after treatment [17].</w:t>
      </w:r>
    </w:p>
    <w:p w14:paraId="7FB4AEE0" w14:textId="77777777" w:rsidR="00B8381B" w:rsidRDefault="00B8381B" w:rsidP="003232A4">
      <w:pPr>
        <w:spacing w:line="480" w:lineRule="auto"/>
        <w:rPr>
          <w:rFonts w:cstheme="minorHAnsi"/>
          <w:sz w:val="22"/>
          <w:szCs w:val="22"/>
        </w:rPr>
      </w:pPr>
    </w:p>
    <w:p w14:paraId="37774582" w14:textId="338D27D1" w:rsidR="00C61EEE" w:rsidRPr="00F01411" w:rsidRDefault="00BB159C" w:rsidP="003232A4">
      <w:pPr>
        <w:spacing w:line="480" w:lineRule="auto"/>
        <w:rPr>
          <w:rFonts w:cstheme="minorHAnsi"/>
          <w:sz w:val="22"/>
          <w:szCs w:val="22"/>
        </w:rPr>
      </w:pPr>
      <w:r w:rsidRPr="00F01411">
        <w:rPr>
          <w:rFonts w:cstheme="minorHAnsi"/>
          <w:sz w:val="22"/>
          <w:szCs w:val="22"/>
        </w:rPr>
        <w:t>Other speculative mechanism</w:t>
      </w:r>
      <w:r w:rsidR="004E698A" w:rsidRPr="00F01411">
        <w:rPr>
          <w:rFonts w:cstheme="minorHAnsi"/>
          <w:sz w:val="22"/>
          <w:szCs w:val="22"/>
        </w:rPr>
        <w:t>s</w:t>
      </w:r>
      <w:r w:rsidRPr="00F01411">
        <w:rPr>
          <w:rFonts w:cstheme="minorHAnsi"/>
          <w:sz w:val="22"/>
          <w:szCs w:val="22"/>
        </w:rPr>
        <w:t xml:space="preserve"> of actions</w:t>
      </w:r>
      <w:r w:rsidR="00BF761F" w:rsidRPr="00F01411">
        <w:rPr>
          <w:rFonts w:cstheme="minorHAnsi"/>
          <w:sz w:val="22"/>
          <w:szCs w:val="22"/>
        </w:rPr>
        <w:t xml:space="preserve"> could </w:t>
      </w:r>
      <w:r w:rsidR="00BB7004" w:rsidRPr="00F01411">
        <w:rPr>
          <w:rFonts w:cstheme="minorHAnsi"/>
          <w:sz w:val="22"/>
          <w:szCs w:val="22"/>
        </w:rPr>
        <w:t>include</w:t>
      </w:r>
      <w:r w:rsidRPr="00F01411">
        <w:rPr>
          <w:rFonts w:cstheme="minorHAnsi"/>
          <w:sz w:val="22"/>
          <w:szCs w:val="22"/>
        </w:rPr>
        <w:t xml:space="preserve"> </w:t>
      </w:r>
      <w:r w:rsidR="00BF761F" w:rsidRPr="00F01411">
        <w:rPr>
          <w:rFonts w:cstheme="minorHAnsi"/>
          <w:sz w:val="22"/>
          <w:szCs w:val="22"/>
        </w:rPr>
        <w:t>that</w:t>
      </w:r>
      <w:r w:rsidR="00F45D92" w:rsidRPr="00F01411">
        <w:rPr>
          <w:rFonts w:cstheme="minorHAnsi"/>
          <w:sz w:val="22"/>
          <w:szCs w:val="22"/>
        </w:rPr>
        <w:t xml:space="preserve"> augmentation and cushioning </w:t>
      </w:r>
      <w:r w:rsidRPr="00F01411">
        <w:rPr>
          <w:rFonts w:cstheme="minorHAnsi"/>
          <w:sz w:val="22"/>
          <w:szCs w:val="22"/>
        </w:rPr>
        <w:t>of the synovial membrane may</w:t>
      </w:r>
      <w:r w:rsidR="00F45D92" w:rsidRPr="00F01411">
        <w:rPr>
          <w:rFonts w:cstheme="minorHAnsi"/>
          <w:sz w:val="22"/>
          <w:szCs w:val="22"/>
        </w:rPr>
        <w:t xml:space="preserve"> increase the threshold for mechanoreceptor and nociceptor activation in the capsule itself, disrupting the cycle of hypersensitisation characteristic of synovitis [1</w:t>
      </w:r>
      <w:r w:rsidR="000C6A8E">
        <w:rPr>
          <w:rFonts w:cstheme="minorHAnsi"/>
          <w:sz w:val="22"/>
          <w:szCs w:val="22"/>
        </w:rPr>
        <w:t>8</w:t>
      </w:r>
      <w:r w:rsidR="00F45D92" w:rsidRPr="00F01411">
        <w:rPr>
          <w:rFonts w:cstheme="minorHAnsi"/>
          <w:sz w:val="22"/>
          <w:szCs w:val="22"/>
        </w:rPr>
        <w:t xml:space="preserve">]. </w:t>
      </w:r>
      <w:r w:rsidRPr="00F01411">
        <w:rPr>
          <w:rFonts w:cstheme="minorHAnsi"/>
          <w:sz w:val="22"/>
          <w:szCs w:val="22"/>
        </w:rPr>
        <w:t xml:space="preserve">We </w:t>
      </w:r>
      <w:r w:rsidR="004E698A" w:rsidRPr="00F01411">
        <w:rPr>
          <w:rFonts w:cstheme="minorHAnsi"/>
          <w:sz w:val="22"/>
          <w:szCs w:val="22"/>
        </w:rPr>
        <w:t>also consider</w:t>
      </w:r>
      <w:r w:rsidRPr="00F01411">
        <w:rPr>
          <w:rFonts w:cstheme="minorHAnsi"/>
          <w:sz w:val="22"/>
          <w:szCs w:val="22"/>
        </w:rPr>
        <w:t xml:space="preserve"> </w:t>
      </w:r>
      <w:r w:rsidR="004E698A" w:rsidRPr="00F01411">
        <w:rPr>
          <w:rFonts w:cstheme="minorHAnsi"/>
          <w:sz w:val="22"/>
          <w:szCs w:val="22"/>
        </w:rPr>
        <w:t xml:space="preserve">whether </w:t>
      </w:r>
      <w:r w:rsidR="00F45D92" w:rsidRPr="00F01411">
        <w:rPr>
          <w:rFonts w:cstheme="minorHAnsi"/>
          <w:sz w:val="22"/>
          <w:szCs w:val="22"/>
        </w:rPr>
        <w:t xml:space="preserve">forming a new and hypercellular synovial cell lining </w:t>
      </w:r>
      <w:r w:rsidRPr="00F01411">
        <w:rPr>
          <w:rFonts w:cstheme="minorHAnsi"/>
          <w:sz w:val="22"/>
          <w:szCs w:val="22"/>
        </w:rPr>
        <w:t>may</w:t>
      </w:r>
      <w:r w:rsidR="00F45D92" w:rsidRPr="00F01411">
        <w:rPr>
          <w:rFonts w:cstheme="minorHAnsi"/>
          <w:sz w:val="22"/>
          <w:szCs w:val="22"/>
        </w:rPr>
        <w:t xml:space="preserve"> improve the </w:t>
      </w:r>
      <w:r w:rsidR="00F45D92" w:rsidRPr="00F01411">
        <w:rPr>
          <w:rFonts w:cstheme="minorHAnsi"/>
          <w:sz w:val="22"/>
          <w:szCs w:val="22"/>
          <w:lang w:val="en-NZ"/>
        </w:rPr>
        <w:t>nature of synovial fluid within the joint itself</w:t>
      </w:r>
      <w:r w:rsidR="004E698A" w:rsidRPr="00F01411">
        <w:rPr>
          <w:rFonts w:cstheme="minorHAnsi"/>
          <w:sz w:val="22"/>
          <w:szCs w:val="22"/>
          <w:lang w:val="en-NZ"/>
        </w:rPr>
        <w:t xml:space="preserve">. </w:t>
      </w:r>
      <w:r w:rsidR="00F45D92" w:rsidRPr="00F01411">
        <w:rPr>
          <w:rFonts w:cstheme="minorHAnsi"/>
          <w:sz w:val="22"/>
          <w:szCs w:val="22"/>
          <w:lang w:val="en-NZ"/>
        </w:rPr>
        <w:t>These properties would reduce the pain and inflammation of synovitis and capsulitis</w:t>
      </w:r>
      <w:r w:rsidR="00527B86" w:rsidRPr="00F01411">
        <w:rPr>
          <w:rFonts w:cstheme="minorHAnsi"/>
          <w:sz w:val="22"/>
          <w:szCs w:val="22"/>
          <w:lang w:val="en-NZ"/>
        </w:rPr>
        <w:t>,</w:t>
      </w:r>
      <w:r w:rsidR="00F45D92" w:rsidRPr="00F01411">
        <w:rPr>
          <w:rFonts w:cstheme="minorHAnsi"/>
          <w:sz w:val="22"/>
          <w:szCs w:val="22"/>
          <w:lang w:val="en-NZ"/>
        </w:rPr>
        <w:t xml:space="preserve"> which are significant in the pathogenesis </w:t>
      </w:r>
      <w:r w:rsidR="00F45D92" w:rsidRPr="00F01411">
        <w:rPr>
          <w:rFonts w:cstheme="minorHAnsi"/>
          <w:sz w:val="22"/>
          <w:szCs w:val="22"/>
          <w:lang w:val="en-NZ"/>
        </w:rPr>
        <w:lastRenderedPageBreak/>
        <w:t>of equine OA [1</w:t>
      </w:r>
      <w:r w:rsidR="000C6A8E">
        <w:rPr>
          <w:rFonts w:cstheme="minorHAnsi"/>
          <w:sz w:val="22"/>
          <w:szCs w:val="22"/>
          <w:lang w:val="en-NZ"/>
        </w:rPr>
        <w:t>8</w:t>
      </w:r>
      <w:r w:rsidR="00F45D92" w:rsidRPr="00F01411">
        <w:rPr>
          <w:rFonts w:cstheme="minorHAnsi"/>
          <w:sz w:val="22"/>
          <w:szCs w:val="22"/>
          <w:lang w:val="en-NZ"/>
        </w:rPr>
        <w:t xml:space="preserve">]. </w:t>
      </w:r>
      <w:r w:rsidR="00BB7004" w:rsidRPr="00F01411">
        <w:rPr>
          <w:rFonts w:cstheme="minorHAnsi"/>
          <w:sz w:val="22"/>
          <w:szCs w:val="22"/>
        </w:rPr>
        <w:t xml:space="preserve">However, half </w:t>
      </w:r>
      <w:r w:rsidR="00F45D92" w:rsidRPr="00F01411">
        <w:rPr>
          <w:rFonts w:cstheme="minorHAnsi"/>
          <w:sz w:val="22"/>
          <w:szCs w:val="22"/>
        </w:rPr>
        <w:t>(6/12) of the 2.5% PAAG treated joints remained either effused or painful on flexion, even though they had become lame</w:t>
      </w:r>
      <w:r w:rsidR="009F2F1C" w:rsidRPr="00F01411">
        <w:rPr>
          <w:rFonts w:cstheme="minorHAnsi"/>
          <w:sz w:val="22"/>
          <w:szCs w:val="22"/>
        </w:rPr>
        <w:t xml:space="preserve"> </w:t>
      </w:r>
      <w:r w:rsidR="00F45D92" w:rsidRPr="00F01411">
        <w:rPr>
          <w:rFonts w:cstheme="minorHAnsi"/>
          <w:sz w:val="22"/>
          <w:szCs w:val="22"/>
        </w:rPr>
        <w:t xml:space="preserve">free. </w:t>
      </w:r>
      <w:r w:rsidRPr="00F01411">
        <w:rPr>
          <w:rFonts w:cstheme="minorHAnsi"/>
          <w:sz w:val="22"/>
          <w:szCs w:val="22"/>
        </w:rPr>
        <w:t>C</w:t>
      </w:r>
      <w:r w:rsidR="00F45D92" w:rsidRPr="00F01411">
        <w:rPr>
          <w:rFonts w:cstheme="minorHAnsi"/>
          <w:sz w:val="22"/>
          <w:szCs w:val="22"/>
        </w:rPr>
        <w:t>linicians using 2.5% PAAG may need to expect this</w:t>
      </w:r>
      <w:r w:rsidR="000C6A8E" w:rsidRPr="00F01411">
        <w:rPr>
          <w:rFonts w:cstheme="minorHAnsi"/>
          <w:sz w:val="22"/>
          <w:szCs w:val="22"/>
        </w:rPr>
        <w:t xml:space="preserve"> </w:t>
      </w:r>
      <w:r w:rsidR="000C6A8E">
        <w:rPr>
          <w:rFonts w:cstheme="minorHAnsi"/>
          <w:sz w:val="22"/>
          <w:szCs w:val="22"/>
        </w:rPr>
        <w:t xml:space="preserve">to occur </w:t>
      </w:r>
      <w:r w:rsidR="00F45D92" w:rsidRPr="00F01411">
        <w:rPr>
          <w:rFonts w:cstheme="minorHAnsi"/>
          <w:sz w:val="22"/>
          <w:szCs w:val="22"/>
        </w:rPr>
        <w:t xml:space="preserve">in a certain number of treated joints and means the exact mechanism of action </w:t>
      </w:r>
      <w:r w:rsidR="000C6A8E">
        <w:rPr>
          <w:rFonts w:cstheme="minorHAnsi"/>
          <w:sz w:val="22"/>
          <w:szCs w:val="22"/>
        </w:rPr>
        <w:t xml:space="preserve">still </w:t>
      </w:r>
      <w:r w:rsidR="00F45D92" w:rsidRPr="00F01411">
        <w:rPr>
          <w:rFonts w:cstheme="minorHAnsi"/>
          <w:sz w:val="22"/>
          <w:szCs w:val="22"/>
        </w:rPr>
        <w:t>remain</w:t>
      </w:r>
      <w:r w:rsidRPr="00F01411">
        <w:rPr>
          <w:rFonts w:cstheme="minorHAnsi"/>
          <w:sz w:val="22"/>
          <w:szCs w:val="22"/>
        </w:rPr>
        <w:t>s</w:t>
      </w:r>
      <w:r w:rsidR="00F45D92" w:rsidRPr="00F01411">
        <w:rPr>
          <w:rFonts w:cstheme="minorHAnsi"/>
          <w:sz w:val="22"/>
          <w:szCs w:val="22"/>
        </w:rPr>
        <w:t xml:space="preserve"> unclear</w:t>
      </w:r>
      <w:r w:rsidR="000C6A8E">
        <w:rPr>
          <w:rFonts w:cstheme="minorHAnsi"/>
          <w:sz w:val="22"/>
          <w:szCs w:val="22"/>
        </w:rPr>
        <w:t xml:space="preserve"> or is multifaceted</w:t>
      </w:r>
      <w:r w:rsidR="000C6A8E" w:rsidRPr="00F01411">
        <w:rPr>
          <w:rFonts w:cstheme="minorHAnsi"/>
          <w:sz w:val="22"/>
          <w:szCs w:val="22"/>
        </w:rPr>
        <w:t>.</w:t>
      </w:r>
      <w:r w:rsidR="00F45D92" w:rsidRPr="00F01411">
        <w:rPr>
          <w:rFonts w:cstheme="minorHAnsi"/>
          <w:sz w:val="22"/>
          <w:szCs w:val="22"/>
        </w:rPr>
        <w:t xml:space="preserve"> </w:t>
      </w:r>
      <w:r w:rsidR="00F45D92" w:rsidRPr="00F01411">
        <w:rPr>
          <w:rFonts w:cstheme="minorHAnsi"/>
          <w:sz w:val="22"/>
          <w:szCs w:val="22"/>
          <w:lang w:val="en-NZ"/>
        </w:rPr>
        <w:t xml:space="preserve">This </w:t>
      </w:r>
      <w:r w:rsidR="000C6A8E">
        <w:rPr>
          <w:rFonts w:cstheme="minorHAnsi"/>
          <w:sz w:val="22"/>
          <w:szCs w:val="22"/>
          <w:lang w:val="en-NZ"/>
        </w:rPr>
        <w:t xml:space="preserve">area </w:t>
      </w:r>
      <w:r w:rsidR="00F45D92" w:rsidRPr="00F01411">
        <w:rPr>
          <w:rFonts w:cstheme="minorHAnsi"/>
          <w:sz w:val="22"/>
          <w:szCs w:val="22"/>
          <w:lang w:val="en-NZ"/>
        </w:rPr>
        <w:t>should be the focus of further studies.</w:t>
      </w:r>
    </w:p>
    <w:p w14:paraId="6FB0E960" w14:textId="6612FB7E" w:rsidR="00203D93" w:rsidRPr="00F01411" w:rsidRDefault="00203D93" w:rsidP="003232A4">
      <w:pPr>
        <w:spacing w:line="480" w:lineRule="auto"/>
        <w:rPr>
          <w:rFonts w:cstheme="minorHAnsi"/>
          <w:sz w:val="22"/>
          <w:szCs w:val="22"/>
        </w:rPr>
      </w:pPr>
    </w:p>
    <w:p w14:paraId="7628D1F1" w14:textId="750ED76E" w:rsidR="000307A2" w:rsidRPr="00F01411" w:rsidRDefault="00F45D92" w:rsidP="003232A4">
      <w:pPr>
        <w:spacing w:line="480" w:lineRule="auto"/>
        <w:rPr>
          <w:rFonts w:cstheme="minorHAnsi"/>
          <w:sz w:val="22"/>
          <w:szCs w:val="22"/>
          <w:lang w:val="en-NZ"/>
        </w:rPr>
      </w:pPr>
      <w:r w:rsidRPr="00F01411">
        <w:rPr>
          <w:rFonts w:cstheme="minorHAnsi"/>
          <w:sz w:val="22"/>
          <w:szCs w:val="22"/>
        </w:rPr>
        <w:t>TA is a corticosteroid commonly used to treat non-septic lameness due to its potent anti-inflammatory properties [</w:t>
      </w:r>
      <w:r w:rsidR="00864E02" w:rsidRPr="00F01411">
        <w:rPr>
          <w:rFonts w:cstheme="minorHAnsi"/>
          <w:sz w:val="22"/>
          <w:szCs w:val="22"/>
        </w:rPr>
        <w:t>1</w:t>
      </w:r>
      <w:r w:rsidR="000C6A8E">
        <w:rPr>
          <w:rFonts w:cstheme="minorHAnsi"/>
          <w:sz w:val="22"/>
          <w:szCs w:val="22"/>
        </w:rPr>
        <w:t>9</w:t>
      </w:r>
      <w:r w:rsidRPr="00F01411">
        <w:rPr>
          <w:rFonts w:cstheme="minorHAnsi"/>
          <w:sz w:val="22"/>
          <w:szCs w:val="22"/>
        </w:rPr>
        <w:t xml:space="preserve">]. A 12mg dose of TA administered </w:t>
      </w:r>
      <w:r w:rsidR="00A51EA9" w:rsidRPr="00F01411">
        <w:rPr>
          <w:rFonts w:cstheme="minorHAnsi"/>
          <w:sz w:val="22"/>
          <w:szCs w:val="22"/>
        </w:rPr>
        <w:t>twice</w:t>
      </w:r>
      <w:r w:rsidR="000D12D4" w:rsidRPr="00F01411">
        <w:rPr>
          <w:rFonts w:cstheme="minorHAnsi"/>
          <w:sz w:val="22"/>
          <w:szCs w:val="22"/>
        </w:rPr>
        <w:t xml:space="preserve">, </w:t>
      </w:r>
      <w:r w:rsidRPr="00F01411">
        <w:rPr>
          <w:rFonts w:cstheme="minorHAnsi"/>
          <w:sz w:val="22"/>
          <w:szCs w:val="22"/>
        </w:rPr>
        <w:t>on days 13 and 27 post-surgery</w:t>
      </w:r>
      <w:r w:rsidR="00A51EA9" w:rsidRPr="00F01411">
        <w:rPr>
          <w:rFonts w:cstheme="minorHAnsi"/>
          <w:sz w:val="22"/>
          <w:szCs w:val="22"/>
        </w:rPr>
        <w:t>,</w:t>
      </w:r>
      <w:r w:rsidRPr="00F01411">
        <w:rPr>
          <w:rFonts w:cstheme="minorHAnsi"/>
          <w:sz w:val="22"/>
          <w:szCs w:val="22"/>
        </w:rPr>
        <w:t xml:space="preserve"> in a carpal osteochondral fragmentation model is shown to cause a clinically significant reduction in lameness [</w:t>
      </w:r>
      <w:r w:rsidR="000C6A8E">
        <w:rPr>
          <w:rFonts w:cstheme="minorHAnsi"/>
          <w:sz w:val="22"/>
          <w:szCs w:val="22"/>
        </w:rPr>
        <w:t>20</w:t>
      </w:r>
      <w:r w:rsidRPr="00F01411">
        <w:rPr>
          <w:rFonts w:cstheme="minorHAnsi"/>
          <w:sz w:val="22"/>
          <w:szCs w:val="22"/>
        </w:rPr>
        <w:t xml:space="preserve">]. The average lameness </w:t>
      </w:r>
      <w:r w:rsidR="00853642" w:rsidRPr="00F01411">
        <w:rPr>
          <w:rFonts w:cstheme="minorHAnsi"/>
          <w:sz w:val="22"/>
          <w:szCs w:val="22"/>
        </w:rPr>
        <w:t xml:space="preserve">grade </w:t>
      </w:r>
      <w:r w:rsidRPr="00F01411">
        <w:rPr>
          <w:rFonts w:cstheme="minorHAnsi"/>
          <w:sz w:val="22"/>
          <w:szCs w:val="22"/>
        </w:rPr>
        <w:t>at day 72 post-surgery is reported as 0.63 (AAEP scale) with 3 horses (50%) perceived to be lame-free, 2 still being grade 1 and one horse being grade 2. Although their experimental model of joint inflammation is difficult to compare to a naturally-occurring joint disease where none of the horses had osteochondral fragments, our results with TA at 42 days</w:t>
      </w:r>
      <w:r w:rsidR="000D12D4" w:rsidRPr="00F01411">
        <w:rPr>
          <w:rFonts w:cstheme="minorHAnsi"/>
          <w:sz w:val="22"/>
          <w:szCs w:val="22"/>
        </w:rPr>
        <w:t xml:space="preserve"> </w:t>
      </w:r>
      <w:r w:rsidRPr="00F01411">
        <w:rPr>
          <w:rFonts w:cstheme="minorHAnsi"/>
          <w:sz w:val="22"/>
          <w:szCs w:val="22"/>
        </w:rPr>
        <w:t>with only a single 12mg injection</w:t>
      </w:r>
      <w:r w:rsidR="000D12D4" w:rsidRPr="00F01411">
        <w:rPr>
          <w:rFonts w:cstheme="minorHAnsi"/>
          <w:sz w:val="22"/>
          <w:szCs w:val="22"/>
        </w:rPr>
        <w:t>,</w:t>
      </w:r>
      <w:r w:rsidRPr="00F01411">
        <w:rPr>
          <w:rFonts w:cstheme="minorHAnsi"/>
          <w:sz w:val="22"/>
          <w:szCs w:val="22"/>
        </w:rPr>
        <w:t xml:space="preserve"> appear less favourable (27.3% lame-free horses in our study vs. 50%</w:t>
      </w:r>
      <w:r w:rsidR="00BE660E" w:rsidRPr="00F01411">
        <w:rPr>
          <w:rFonts w:cstheme="minorHAnsi"/>
          <w:sz w:val="22"/>
          <w:szCs w:val="22"/>
        </w:rPr>
        <w:t xml:space="preserve"> </w:t>
      </w:r>
      <w:r w:rsidR="004F4139" w:rsidRPr="00F01411">
        <w:rPr>
          <w:rFonts w:cstheme="minorHAnsi"/>
          <w:sz w:val="22"/>
          <w:szCs w:val="22"/>
        </w:rPr>
        <w:t>[</w:t>
      </w:r>
      <w:r w:rsidR="000C6A8E">
        <w:rPr>
          <w:rFonts w:cstheme="minorHAnsi"/>
          <w:sz w:val="22"/>
          <w:szCs w:val="22"/>
        </w:rPr>
        <w:t>20</w:t>
      </w:r>
      <w:r w:rsidR="004F4139" w:rsidRPr="00F01411">
        <w:rPr>
          <w:rFonts w:cstheme="minorHAnsi"/>
          <w:sz w:val="22"/>
          <w:szCs w:val="22"/>
        </w:rPr>
        <w:t>]</w:t>
      </w:r>
      <w:r w:rsidRPr="00F01411">
        <w:rPr>
          <w:rFonts w:cstheme="minorHAnsi"/>
          <w:sz w:val="22"/>
          <w:szCs w:val="22"/>
        </w:rPr>
        <w:t>). Furthermore, 4 horses were withdrawn in our TA group due to intolerable deterioration of the lameness</w:t>
      </w:r>
      <w:r w:rsidR="000D12D4" w:rsidRPr="00F01411">
        <w:rPr>
          <w:rFonts w:cstheme="minorHAnsi"/>
          <w:sz w:val="22"/>
          <w:szCs w:val="22"/>
        </w:rPr>
        <w:t xml:space="preserve">. This </w:t>
      </w:r>
      <w:r w:rsidR="004F4139" w:rsidRPr="00F01411">
        <w:rPr>
          <w:rFonts w:cstheme="minorHAnsi"/>
          <w:sz w:val="22"/>
          <w:szCs w:val="22"/>
        </w:rPr>
        <w:t>suggest</w:t>
      </w:r>
      <w:r w:rsidR="000D12D4" w:rsidRPr="00F01411">
        <w:rPr>
          <w:rFonts w:cstheme="minorHAnsi"/>
          <w:sz w:val="22"/>
          <w:szCs w:val="22"/>
        </w:rPr>
        <w:t>s</w:t>
      </w:r>
      <w:r w:rsidR="004F4139" w:rsidRPr="00F01411">
        <w:rPr>
          <w:rFonts w:cstheme="minorHAnsi"/>
          <w:sz w:val="22"/>
          <w:szCs w:val="22"/>
        </w:rPr>
        <w:t xml:space="preserve"> </w:t>
      </w:r>
      <w:r w:rsidRPr="00F01411">
        <w:rPr>
          <w:rFonts w:cstheme="minorHAnsi"/>
          <w:sz w:val="22"/>
          <w:szCs w:val="22"/>
        </w:rPr>
        <w:t>TA, at least at this stage of the natural</w:t>
      </w:r>
      <w:r w:rsidR="00A51EA9" w:rsidRPr="00F01411">
        <w:rPr>
          <w:rFonts w:cstheme="minorHAnsi"/>
          <w:sz w:val="22"/>
          <w:szCs w:val="22"/>
        </w:rPr>
        <w:t xml:space="preserve">ly </w:t>
      </w:r>
      <w:r w:rsidRPr="00F01411">
        <w:rPr>
          <w:rFonts w:cstheme="minorHAnsi"/>
          <w:sz w:val="22"/>
          <w:szCs w:val="22"/>
        </w:rPr>
        <w:t>occurring carpal joint disease</w:t>
      </w:r>
      <w:r w:rsidR="004F4139" w:rsidRPr="00F01411">
        <w:rPr>
          <w:rFonts w:cstheme="minorHAnsi"/>
          <w:sz w:val="22"/>
          <w:szCs w:val="22"/>
        </w:rPr>
        <w:t>,</w:t>
      </w:r>
      <w:r w:rsidRPr="00F01411">
        <w:rPr>
          <w:rFonts w:cstheme="minorHAnsi"/>
          <w:sz w:val="22"/>
          <w:szCs w:val="22"/>
        </w:rPr>
        <w:t xml:space="preserve"> may be </w:t>
      </w:r>
      <w:r w:rsidR="004F4139" w:rsidRPr="00F01411">
        <w:rPr>
          <w:rFonts w:cstheme="minorHAnsi"/>
          <w:sz w:val="22"/>
          <w:szCs w:val="22"/>
        </w:rPr>
        <w:t xml:space="preserve">a poor option when </w:t>
      </w:r>
      <w:r w:rsidR="00BE660E" w:rsidRPr="00F01411">
        <w:rPr>
          <w:rFonts w:cstheme="minorHAnsi"/>
          <w:sz w:val="22"/>
          <w:szCs w:val="22"/>
        </w:rPr>
        <w:t xml:space="preserve">significant </w:t>
      </w:r>
      <w:r w:rsidR="004F4139" w:rsidRPr="00F01411">
        <w:rPr>
          <w:rFonts w:cstheme="minorHAnsi"/>
          <w:sz w:val="22"/>
          <w:szCs w:val="22"/>
        </w:rPr>
        <w:t>exercise is maintained</w:t>
      </w:r>
      <w:r w:rsidRPr="00F01411">
        <w:rPr>
          <w:rFonts w:cstheme="minorHAnsi"/>
          <w:sz w:val="22"/>
          <w:szCs w:val="22"/>
        </w:rPr>
        <w:t xml:space="preserve">. </w:t>
      </w:r>
      <w:r w:rsidRPr="00F01411">
        <w:rPr>
          <w:rFonts w:cstheme="minorHAnsi"/>
          <w:sz w:val="22"/>
          <w:szCs w:val="22"/>
          <w:lang w:val="en-NZ"/>
        </w:rPr>
        <w:t xml:space="preserve">It is also surprising that the TA treated group in our study did not show better results for joint effusion compared to the </w:t>
      </w:r>
      <w:r w:rsidR="00833E82" w:rsidRPr="00F01411">
        <w:rPr>
          <w:rFonts w:cstheme="minorHAnsi"/>
          <w:sz w:val="22"/>
          <w:szCs w:val="22"/>
          <w:lang w:val="en-NZ"/>
        </w:rPr>
        <w:t>2.5% PAAG</w:t>
      </w:r>
      <w:r w:rsidRPr="00F01411">
        <w:rPr>
          <w:rFonts w:cstheme="minorHAnsi"/>
          <w:sz w:val="22"/>
          <w:szCs w:val="22"/>
          <w:lang w:val="en-NZ"/>
        </w:rPr>
        <w:t xml:space="preserve"> and HA treated groups. This </w:t>
      </w:r>
      <w:r w:rsidR="00A846DB" w:rsidRPr="00F01411">
        <w:rPr>
          <w:rFonts w:cstheme="minorHAnsi"/>
          <w:sz w:val="22"/>
          <w:szCs w:val="22"/>
          <w:lang w:val="en-NZ"/>
        </w:rPr>
        <w:t>may</w:t>
      </w:r>
      <w:r w:rsidRPr="00F01411">
        <w:rPr>
          <w:rFonts w:cstheme="minorHAnsi"/>
          <w:sz w:val="22"/>
          <w:szCs w:val="22"/>
          <w:lang w:val="en-NZ"/>
        </w:rPr>
        <w:t xml:space="preserve"> reflect the low sensitivity of </w:t>
      </w:r>
      <w:r w:rsidR="00A846DB" w:rsidRPr="00F01411">
        <w:rPr>
          <w:rFonts w:cstheme="minorHAnsi"/>
          <w:sz w:val="22"/>
          <w:szCs w:val="22"/>
          <w:lang w:val="en-NZ"/>
        </w:rPr>
        <w:t>the</w:t>
      </w:r>
      <w:r w:rsidRPr="00F01411">
        <w:rPr>
          <w:rFonts w:cstheme="minorHAnsi"/>
          <w:sz w:val="22"/>
          <w:szCs w:val="22"/>
          <w:lang w:val="en-NZ"/>
        </w:rPr>
        <w:t xml:space="preserve"> subjective measure for joint effusion used in this study</w:t>
      </w:r>
      <w:r w:rsidR="000D12D4" w:rsidRPr="00F01411">
        <w:rPr>
          <w:rFonts w:cstheme="minorHAnsi"/>
          <w:sz w:val="22"/>
          <w:szCs w:val="22"/>
          <w:lang w:val="en-NZ"/>
        </w:rPr>
        <w:t>, timing of the examinations,</w:t>
      </w:r>
      <w:r w:rsidRPr="00F01411">
        <w:rPr>
          <w:rFonts w:cstheme="minorHAnsi"/>
          <w:sz w:val="22"/>
          <w:szCs w:val="22"/>
          <w:lang w:val="en-NZ"/>
        </w:rPr>
        <w:t xml:space="preserve"> and the relatively low numbers of TA cases due to </w:t>
      </w:r>
      <w:r w:rsidR="005F6E86" w:rsidRPr="00F01411">
        <w:rPr>
          <w:rFonts w:cstheme="minorHAnsi"/>
          <w:sz w:val="22"/>
          <w:szCs w:val="22"/>
          <w:lang w:val="en-NZ"/>
        </w:rPr>
        <w:t xml:space="preserve">early </w:t>
      </w:r>
      <w:r w:rsidRPr="00F01411">
        <w:rPr>
          <w:rFonts w:cstheme="minorHAnsi"/>
          <w:sz w:val="22"/>
          <w:szCs w:val="22"/>
          <w:lang w:val="en-NZ"/>
        </w:rPr>
        <w:t>withdrawal</w:t>
      </w:r>
      <w:r w:rsidR="005F6E86" w:rsidRPr="00F01411">
        <w:rPr>
          <w:rFonts w:cstheme="minorHAnsi"/>
          <w:sz w:val="22"/>
          <w:szCs w:val="22"/>
          <w:lang w:val="en-NZ"/>
        </w:rPr>
        <w:t>s</w:t>
      </w:r>
      <w:r w:rsidR="00A846DB" w:rsidRPr="00F01411">
        <w:rPr>
          <w:rFonts w:cstheme="minorHAnsi"/>
          <w:sz w:val="22"/>
          <w:szCs w:val="22"/>
          <w:lang w:val="en-NZ"/>
        </w:rPr>
        <w:t xml:space="preserve"> </w:t>
      </w:r>
      <w:r w:rsidR="006D3CE0" w:rsidRPr="00F01411">
        <w:rPr>
          <w:rFonts w:cstheme="minorHAnsi"/>
          <w:sz w:val="22"/>
          <w:szCs w:val="22"/>
          <w:lang w:val="en-NZ"/>
        </w:rPr>
        <w:t>from</w:t>
      </w:r>
      <w:r w:rsidR="00A846DB" w:rsidRPr="00F01411">
        <w:rPr>
          <w:rFonts w:cstheme="minorHAnsi"/>
          <w:sz w:val="22"/>
          <w:szCs w:val="22"/>
          <w:lang w:val="en-NZ"/>
        </w:rPr>
        <w:t xml:space="preserve"> treatment failures</w:t>
      </w:r>
      <w:r w:rsidR="005F6E86" w:rsidRPr="00F01411">
        <w:rPr>
          <w:rFonts w:cstheme="minorHAnsi"/>
          <w:sz w:val="22"/>
          <w:szCs w:val="22"/>
          <w:lang w:val="en-NZ"/>
        </w:rPr>
        <w:t>.</w:t>
      </w:r>
    </w:p>
    <w:p w14:paraId="36EE1A1C" w14:textId="077E91DD" w:rsidR="00203D93" w:rsidRPr="00F01411" w:rsidRDefault="00203D93" w:rsidP="003232A4">
      <w:pPr>
        <w:spacing w:line="480" w:lineRule="auto"/>
        <w:rPr>
          <w:rFonts w:cstheme="minorHAnsi"/>
          <w:sz w:val="22"/>
          <w:szCs w:val="22"/>
        </w:rPr>
      </w:pPr>
    </w:p>
    <w:p w14:paraId="676C850D" w14:textId="7839FADC" w:rsidR="00203D93" w:rsidRPr="00F01411" w:rsidRDefault="00F45D92" w:rsidP="003232A4">
      <w:pPr>
        <w:spacing w:line="480" w:lineRule="auto"/>
        <w:rPr>
          <w:rFonts w:cstheme="minorHAnsi"/>
          <w:sz w:val="22"/>
          <w:szCs w:val="22"/>
        </w:rPr>
      </w:pPr>
      <w:r w:rsidRPr="00F01411">
        <w:rPr>
          <w:rFonts w:cstheme="minorHAnsi"/>
          <w:sz w:val="22"/>
          <w:szCs w:val="22"/>
        </w:rPr>
        <w:t>HA is a disease-modifying agent that has shown mixed results in alleviating lameness in equine carpal osteoarthritis fragmentation models [</w:t>
      </w:r>
      <w:r w:rsidR="00DE3F84" w:rsidRPr="00F01411">
        <w:rPr>
          <w:rFonts w:cstheme="minorHAnsi"/>
          <w:sz w:val="22"/>
          <w:szCs w:val="22"/>
        </w:rPr>
        <w:t>21</w:t>
      </w:r>
      <w:r w:rsidRPr="00F01411">
        <w:rPr>
          <w:rFonts w:cstheme="minorHAnsi"/>
          <w:sz w:val="22"/>
          <w:szCs w:val="22"/>
        </w:rPr>
        <w:t>,2</w:t>
      </w:r>
      <w:r w:rsidR="00DE3F84" w:rsidRPr="00F01411">
        <w:rPr>
          <w:rFonts w:cstheme="minorHAnsi"/>
          <w:sz w:val="22"/>
          <w:szCs w:val="22"/>
        </w:rPr>
        <w:t>2</w:t>
      </w:r>
      <w:r w:rsidRPr="00F01411">
        <w:rPr>
          <w:rFonts w:cstheme="minorHAnsi"/>
          <w:sz w:val="22"/>
          <w:szCs w:val="22"/>
        </w:rPr>
        <w:t xml:space="preserve">]. The number of lame-free joints at 6 weeks in our study (40%) is superior </w:t>
      </w:r>
      <w:r w:rsidR="00CE06C7" w:rsidRPr="00F01411">
        <w:rPr>
          <w:rFonts w:cstheme="minorHAnsi"/>
          <w:sz w:val="22"/>
          <w:szCs w:val="22"/>
        </w:rPr>
        <w:t xml:space="preserve">to </w:t>
      </w:r>
      <w:r w:rsidRPr="00F01411">
        <w:rPr>
          <w:rFonts w:cstheme="minorHAnsi"/>
          <w:sz w:val="22"/>
          <w:szCs w:val="22"/>
        </w:rPr>
        <w:t xml:space="preserve">what was noted in their studies, but our horses were </w:t>
      </w:r>
      <w:r w:rsidRPr="00F01411">
        <w:rPr>
          <w:rFonts w:cstheme="minorHAnsi"/>
          <w:sz w:val="22"/>
          <w:szCs w:val="22"/>
        </w:rPr>
        <w:lastRenderedPageBreak/>
        <w:t xml:space="preserve">examined earlier (days 14 and 28) and only out to day 42. Repeated HA doses are commonly used in clinical practice and have been extrapolated from equine </w:t>
      </w:r>
      <w:r w:rsidR="00CE06C7" w:rsidRPr="00F01411">
        <w:rPr>
          <w:rFonts w:cstheme="minorHAnsi"/>
          <w:sz w:val="22"/>
          <w:szCs w:val="22"/>
        </w:rPr>
        <w:t>experiments</w:t>
      </w:r>
      <w:r w:rsidR="004F4139" w:rsidRPr="00F01411">
        <w:rPr>
          <w:rFonts w:cstheme="minorHAnsi"/>
          <w:sz w:val="22"/>
          <w:szCs w:val="22"/>
        </w:rPr>
        <w:t xml:space="preserve"> </w:t>
      </w:r>
      <w:r w:rsidRPr="00F01411">
        <w:rPr>
          <w:rFonts w:cstheme="minorHAnsi"/>
          <w:sz w:val="22"/>
          <w:szCs w:val="22"/>
        </w:rPr>
        <w:t>[</w:t>
      </w:r>
      <w:r w:rsidR="00DE3F84" w:rsidRPr="00F01411">
        <w:rPr>
          <w:rFonts w:cstheme="minorHAnsi"/>
          <w:sz w:val="22"/>
          <w:szCs w:val="22"/>
        </w:rPr>
        <w:t>21,22</w:t>
      </w:r>
      <w:r w:rsidRPr="00F01411">
        <w:rPr>
          <w:rFonts w:cstheme="minorHAnsi"/>
          <w:sz w:val="22"/>
          <w:szCs w:val="22"/>
        </w:rPr>
        <w:t xml:space="preserve">]. Interestingly, although not statically significant, HA appeared to perform better than TA in our study. This was not expected and might be explained by the fact </w:t>
      </w:r>
      <w:r w:rsidR="00BE660E" w:rsidRPr="00F01411">
        <w:rPr>
          <w:rFonts w:cstheme="minorHAnsi"/>
          <w:sz w:val="22"/>
          <w:szCs w:val="22"/>
        </w:rPr>
        <w:t xml:space="preserve">the </w:t>
      </w:r>
      <w:r w:rsidRPr="00F01411">
        <w:rPr>
          <w:rFonts w:cstheme="minorHAnsi"/>
          <w:sz w:val="22"/>
          <w:szCs w:val="22"/>
        </w:rPr>
        <w:t>horses enrolled in our study were mildly affected, giving a chance for a disease-modifying drug to alter the course of the naturally</w:t>
      </w:r>
      <w:r w:rsidR="00DE3F84" w:rsidRPr="00F01411">
        <w:rPr>
          <w:rFonts w:cstheme="minorHAnsi"/>
          <w:sz w:val="22"/>
          <w:szCs w:val="22"/>
        </w:rPr>
        <w:t xml:space="preserve"> </w:t>
      </w:r>
      <w:r w:rsidRPr="00F01411">
        <w:rPr>
          <w:rFonts w:cstheme="minorHAnsi"/>
          <w:sz w:val="22"/>
          <w:szCs w:val="22"/>
        </w:rPr>
        <w:t>occurring disease and subsequently improve clinical symptoms, at least in the short term. Testing the combination of HA and TA could have been interesting, as this represents a common practice in the equine industry, although the efficacy of this combination has recently been questioned versus TA alone [2</w:t>
      </w:r>
      <w:r w:rsidR="00DE3F84" w:rsidRPr="00F01411">
        <w:rPr>
          <w:rFonts w:cstheme="minorHAnsi"/>
          <w:sz w:val="22"/>
          <w:szCs w:val="22"/>
        </w:rPr>
        <w:t>3</w:t>
      </w:r>
      <w:r w:rsidRPr="00F01411">
        <w:rPr>
          <w:rFonts w:cstheme="minorHAnsi"/>
          <w:sz w:val="22"/>
          <w:szCs w:val="22"/>
        </w:rPr>
        <w:t xml:space="preserve">]. </w:t>
      </w:r>
    </w:p>
    <w:p w14:paraId="49393E9B" w14:textId="77777777" w:rsidR="00203D93" w:rsidRPr="00F01411" w:rsidRDefault="00203D93" w:rsidP="003232A4">
      <w:pPr>
        <w:spacing w:line="480" w:lineRule="auto"/>
        <w:rPr>
          <w:rFonts w:cstheme="minorHAnsi"/>
          <w:sz w:val="22"/>
          <w:szCs w:val="22"/>
        </w:rPr>
      </w:pPr>
    </w:p>
    <w:p w14:paraId="342395F4" w14:textId="4DA7223C" w:rsidR="00203D93" w:rsidRPr="00F01411" w:rsidRDefault="00F45D92" w:rsidP="003232A4">
      <w:pPr>
        <w:spacing w:line="480" w:lineRule="auto"/>
        <w:rPr>
          <w:rFonts w:cstheme="minorHAnsi"/>
          <w:i/>
          <w:iCs/>
          <w:sz w:val="22"/>
          <w:szCs w:val="22"/>
          <w:lang w:val="en-NZ"/>
        </w:rPr>
      </w:pPr>
      <w:r w:rsidRPr="00F01411">
        <w:rPr>
          <w:rFonts w:cstheme="minorHAnsi"/>
          <w:sz w:val="22"/>
          <w:szCs w:val="22"/>
        </w:rPr>
        <w:t xml:space="preserve">Forty-eight hours of </w:t>
      </w:r>
      <w:r w:rsidR="00C079EE" w:rsidRPr="00F01411">
        <w:rPr>
          <w:rFonts w:cstheme="minorHAnsi"/>
          <w:sz w:val="22"/>
          <w:szCs w:val="22"/>
        </w:rPr>
        <w:t xml:space="preserve">box </w:t>
      </w:r>
      <w:r w:rsidRPr="00F01411">
        <w:rPr>
          <w:rFonts w:cstheme="minorHAnsi"/>
          <w:sz w:val="22"/>
          <w:szCs w:val="22"/>
        </w:rPr>
        <w:t xml:space="preserve">rest post-injection was used as it allows sufficient time for TA and HA to penetrate </w:t>
      </w:r>
      <w:r w:rsidR="00BE660E" w:rsidRPr="00F01411">
        <w:rPr>
          <w:rFonts w:cstheme="minorHAnsi"/>
          <w:sz w:val="22"/>
          <w:szCs w:val="22"/>
        </w:rPr>
        <w:t xml:space="preserve">the </w:t>
      </w:r>
      <w:r w:rsidRPr="00F01411">
        <w:rPr>
          <w:rFonts w:cstheme="minorHAnsi"/>
          <w:sz w:val="22"/>
          <w:szCs w:val="22"/>
        </w:rPr>
        <w:t xml:space="preserve">synovial structures, reduces clearance rates, reduces the risk of hemarthrosis post-injection, and is </w:t>
      </w:r>
      <w:r w:rsidR="00CE4720" w:rsidRPr="00F01411">
        <w:rPr>
          <w:rFonts w:cstheme="minorHAnsi"/>
          <w:sz w:val="22"/>
          <w:szCs w:val="22"/>
        </w:rPr>
        <w:t xml:space="preserve">what is </w:t>
      </w:r>
      <w:r w:rsidRPr="00F01411">
        <w:rPr>
          <w:rFonts w:cstheme="minorHAnsi"/>
          <w:sz w:val="22"/>
          <w:szCs w:val="22"/>
        </w:rPr>
        <w:t>commonly adopted in clinical practice</w:t>
      </w:r>
      <w:r w:rsidR="00CE4720" w:rsidRPr="00F01411">
        <w:rPr>
          <w:rFonts w:cstheme="minorHAnsi"/>
          <w:sz w:val="22"/>
          <w:szCs w:val="22"/>
        </w:rPr>
        <w:t xml:space="preserve"> [24]. </w:t>
      </w:r>
      <w:r w:rsidRPr="00F01411">
        <w:rPr>
          <w:rFonts w:cstheme="minorHAnsi"/>
          <w:sz w:val="22"/>
          <w:szCs w:val="22"/>
        </w:rPr>
        <w:t xml:space="preserve">The same </w:t>
      </w:r>
      <w:r w:rsidR="008245CA" w:rsidRPr="00F01411">
        <w:rPr>
          <w:rFonts w:cstheme="minorHAnsi"/>
          <w:sz w:val="22"/>
          <w:szCs w:val="22"/>
        </w:rPr>
        <w:t xml:space="preserve">box </w:t>
      </w:r>
      <w:r w:rsidRPr="00F01411">
        <w:rPr>
          <w:rFonts w:cstheme="minorHAnsi"/>
          <w:sz w:val="22"/>
          <w:szCs w:val="22"/>
        </w:rPr>
        <w:t>rest</w:t>
      </w:r>
      <w:r w:rsidR="00CE06C7" w:rsidRPr="00F01411">
        <w:rPr>
          <w:rFonts w:cstheme="minorHAnsi"/>
          <w:sz w:val="22"/>
          <w:szCs w:val="22"/>
        </w:rPr>
        <w:t>ing</w:t>
      </w:r>
      <w:r w:rsidRPr="00F01411">
        <w:rPr>
          <w:rFonts w:cstheme="minorHAnsi"/>
          <w:sz w:val="22"/>
          <w:szCs w:val="22"/>
        </w:rPr>
        <w:t xml:space="preserve"> period was implemented in the 2.5% PAAG group. </w:t>
      </w:r>
      <w:r w:rsidR="00CE4720" w:rsidRPr="00F01411">
        <w:rPr>
          <w:rFonts w:cstheme="minorHAnsi"/>
          <w:sz w:val="22"/>
          <w:szCs w:val="22"/>
        </w:rPr>
        <w:t>P</w:t>
      </w:r>
      <w:r w:rsidRPr="00F01411">
        <w:rPr>
          <w:rFonts w:cstheme="minorHAnsi"/>
          <w:sz w:val="22"/>
          <w:szCs w:val="22"/>
        </w:rPr>
        <w:t>revious studies of 2.5% PAAG had varying rest</w:t>
      </w:r>
      <w:r w:rsidR="00BE660E" w:rsidRPr="00F01411">
        <w:rPr>
          <w:rFonts w:cstheme="minorHAnsi"/>
          <w:sz w:val="22"/>
          <w:szCs w:val="22"/>
        </w:rPr>
        <w:t>ing</w:t>
      </w:r>
      <w:r w:rsidRPr="00F01411">
        <w:rPr>
          <w:rFonts w:cstheme="minorHAnsi"/>
          <w:sz w:val="22"/>
          <w:szCs w:val="22"/>
        </w:rPr>
        <w:t xml:space="preserve"> periods, with anywhere from 2 weeks hand walking and 2 weeks of small paddock turn out [5,6,7], to 5 days box rest with 3 weeks hand walking [8], all followed by an increas</w:t>
      </w:r>
      <w:r w:rsidR="00CE4720" w:rsidRPr="00F01411">
        <w:rPr>
          <w:rFonts w:cstheme="minorHAnsi"/>
          <w:sz w:val="22"/>
          <w:szCs w:val="22"/>
        </w:rPr>
        <w:t>ing</w:t>
      </w:r>
      <w:r w:rsidRPr="00F01411">
        <w:rPr>
          <w:rFonts w:cstheme="minorHAnsi"/>
          <w:sz w:val="22"/>
          <w:szCs w:val="22"/>
        </w:rPr>
        <w:t xml:space="preserve"> exercise regime</w:t>
      </w:r>
      <w:r w:rsidR="00CE4720" w:rsidRPr="00F01411">
        <w:rPr>
          <w:rFonts w:cstheme="minorHAnsi"/>
          <w:sz w:val="22"/>
          <w:szCs w:val="22"/>
        </w:rPr>
        <w:t xml:space="preserve">. This does not match </w:t>
      </w:r>
      <w:r w:rsidR="008245CA" w:rsidRPr="00F01411">
        <w:rPr>
          <w:rFonts w:cstheme="minorHAnsi"/>
          <w:sz w:val="22"/>
          <w:szCs w:val="22"/>
        </w:rPr>
        <w:t>trainers and</w:t>
      </w:r>
      <w:r w:rsidR="00CE4720" w:rsidRPr="00F01411">
        <w:rPr>
          <w:rFonts w:cstheme="minorHAnsi"/>
          <w:sz w:val="22"/>
          <w:szCs w:val="22"/>
        </w:rPr>
        <w:t xml:space="preserve"> owners’ expectations in a racing environment and a criticism of th</w:t>
      </w:r>
      <w:r w:rsidR="00174844" w:rsidRPr="00F01411">
        <w:rPr>
          <w:rFonts w:cstheme="minorHAnsi"/>
          <w:sz w:val="22"/>
          <w:szCs w:val="22"/>
        </w:rPr>
        <w:t>e</w:t>
      </w:r>
      <w:r w:rsidR="00CE4720" w:rsidRPr="00F01411">
        <w:rPr>
          <w:rFonts w:cstheme="minorHAnsi"/>
          <w:sz w:val="22"/>
          <w:szCs w:val="22"/>
        </w:rPr>
        <w:t xml:space="preserve"> previous studies </w:t>
      </w:r>
      <w:r w:rsidR="008245CA" w:rsidRPr="00F01411">
        <w:rPr>
          <w:rFonts w:cstheme="minorHAnsi"/>
          <w:sz w:val="22"/>
          <w:szCs w:val="22"/>
        </w:rPr>
        <w:t xml:space="preserve">investigating the effect of 2.5% PAAG </w:t>
      </w:r>
      <w:r w:rsidR="00CE4720" w:rsidRPr="00F01411">
        <w:rPr>
          <w:rFonts w:cstheme="minorHAnsi"/>
          <w:sz w:val="22"/>
          <w:szCs w:val="22"/>
        </w:rPr>
        <w:t>is that rest alone may have alleviated the lameness</w:t>
      </w:r>
      <w:r w:rsidR="00A846DB" w:rsidRPr="00F01411">
        <w:rPr>
          <w:rFonts w:cstheme="minorHAnsi"/>
          <w:sz w:val="22"/>
          <w:szCs w:val="22"/>
        </w:rPr>
        <w:t>.</w:t>
      </w:r>
      <w:r w:rsidR="00CE4720" w:rsidRPr="00F01411">
        <w:rPr>
          <w:rFonts w:cstheme="minorHAnsi"/>
          <w:sz w:val="22"/>
          <w:szCs w:val="22"/>
        </w:rPr>
        <w:t xml:space="preserve"> </w:t>
      </w:r>
      <w:r w:rsidR="00CE4720" w:rsidRPr="00F01411">
        <w:rPr>
          <w:rFonts w:cstheme="minorHAnsi"/>
          <w:sz w:val="22"/>
          <w:szCs w:val="22"/>
          <w:lang w:val="en-NZ"/>
        </w:rPr>
        <w:t xml:space="preserve">In </w:t>
      </w:r>
      <w:r w:rsidR="008245CA" w:rsidRPr="00F01411">
        <w:rPr>
          <w:rFonts w:cstheme="minorHAnsi"/>
          <w:sz w:val="22"/>
          <w:szCs w:val="22"/>
          <w:lang w:val="en-NZ"/>
        </w:rPr>
        <w:t>our</w:t>
      </w:r>
      <w:r w:rsidR="00CE4720" w:rsidRPr="00F01411">
        <w:rPr>
          <w:rFonts w:cstheme="minorHAnsi"/>
          <w:sz w:val="22"/>
          <w:szCs w:val="22"/>
          <w:lang w:val="en-NZ"/>
        </w:rPr>
        <w:t xml:space="preserve"> study</w:t>
      </w:r>
      <w:r w:rsidR="008245CA" w:rsidRPr="00F01411">
        <w:rPr>
          <w:rFonts w:cstheme="minorHAnsi"/>
          <w:sz w:val="22"/>
          <w:szCs w:val="22"/>
          <w:lang w:val="en-NZ"/>
        </w:rPr>
        <w:t>,</w:t>
      </w:r>
      <w:r w:rsidR="00CE4720" w:rsidRPr="00F01411">
        <w:rPr>
          <w:rFonts w:cstheme="minorHAnsi"/>
          <w:sz w:val="22"/>
          <w:szCs w:val="22"/>
          <w:lang w:val="en-NZ"/>
        </w:rPr>
        <w:t xml:space="preserve"> the trainer was blinded to the treatment groups so that a continuation of galloping exercise was the expectation of the connections involved, unless the horse was unable to perform galloping exercise due to lameness or sickness. In </w:t>
      </w:r>
      <w:r w:rsidR="00A846DB" w:rsidRPr="00F01411">
        <w:rPr>
          <w:rFonts w:cstheme="minorHAnsi"/>
          <w:sz w:val="22"/>
          <w:szCs w:val="22"/>
          <w:lang w:val="en-NZ"/>
        </w:rPr>
        <w:t>those</w:t>
      </w:r>
      <w:r w:rsidR="00CE4720" w:rsidRPr="00F01411">
        <w:rPr>
          <w:rFonts w:cstheme="minorHAnsi"/>
          <w:sz w:val="22"/>
          <w:szCs w:val="22"/>
          <w:lang w:val="en-NZ"/>
        </w:rPr>
        <w:t xml:space="preserve"> case</w:t>
      </w:r>
      <w:r w:rsidR="00A846DB" w:rsidRPr="00F01411">
        <w:rPr>
          <w:rFonts w:cstheme="minorHAnsi"/>
          <w:sz w:val="22"/>
          <w:szCs w:val="22"/>
          <w:lang w:val="en-NZ"/>
        </w:rPr>
        <w:t>s</w:t>
      </w:r>
      <w:r w:rsidR="00CE4720" w:rsidRPr="00F01411">
        <w:rPr>
          <w:rFonts w:cstheme="minorHAnsi"/>
          <w:sz w:val="22"/>
          <w:szCs w:val="22"/>
          <w:lang w:val="en-NZ"/>
        </w:rPr>
        <w:t xml:space="preserve"> </w:t>
      </w:r>
      <w:r w:rsidR="00A846DB" w:rsidRPr="00F01411">
        <w:rPr>
          <w:rFonts w:cstheme="minorHAnsi"/>
          <w:sz w:val="22"/>
          <w:szCs w:val="22"/>
          <w:lang w:val="en-NZ"/>
        </w:rPr>
        <w:t>they</w:t>
      </w:r>
      <w:r w:rsidR="00CE4720" w:rsidRPr="00F01411">
        <w:rPr>
          <w:rFonts w:cstheme="minorHAnsi"/>
          <w:sz w:val="22"/>
          <w:szCs w:val="22"/>
          <w:lang w:val="en-NZ"/>
        </w:rPr>
        <w:t xml:space="preserve"> w</w:t>
      </w:r>
      <w:r w:rsidR="00174844" w:rsidRPr="00F01411">
        <w:rPr>
          <w:rFonts w:cstheme="minorHAnsi"/>
          <w:sz w:val="22"/>
          <w:szCs w:val="22"/>
          <w:lang w:val="en-NZ"/>
        </w:rPr>
        <w:t>ere</w:t>
      </w:r>
      <w:r w:rsidR="00CE4720" w:rsidRPr="00F01411">
        <w:rPr>
          <w:rFonts w:cstheme="minorHAnsi"/>
          <w:sz w:val="22"/>
          <w:szCs w:val="22"/>
          <w:lang w:val="en-NZ"/>
        </w:rPr>
        <w:t xml:space="preserve"> withdrawn (and entered as a treatment failure; 4 horses) or excluded from the study analysis (5 horses with illness or injury unrelated to treatment</w:t>
      </w:r>
      <w:r w:rsidR="00F43B7B" w:rsidRPr="00F01411">
        <w:rPr>
          <w:rFonts w:cstheme="minorHAnsi"/>
          <w:sz w:val="22"/>
          <w:szCs w:val="22"/>
          <w:lang w:val="en-NZ"/>
        </w:rPr>
        <w:t xml:space="preserve"> and excluded from the analysis</w:t>
      </w:r>
      <w:r w:rsidR="00CE4720" w:rsidRPr="00F01411">
        <w:rPr>
          <w:rFonts w:cstheme="minorHAnsi"/>
          <w:sz w:val="22"/>
          <w:szCs w:val="22"/>
          <w:lang w:val="en-NZ"/>
        </w:rPr>
        <w:t>)</w:t>
      </w:r>
      <w:r w:rsidR="00F43B7B" w:rsidRPr="00F01411">
        <w:rPr>
          <w:rFonts w:cstheme="minorHAnsi"/>
          <w:sz w:val="22"/>
          <w:szCs w:val="22"/>
          <w:lang w:val="en-NZ"/>
        </w:rPr>
        <w:t xml:space="preserve">. </w:t>
      </w:r>
      <w:r w:rsidRPr="00F01411">
        <w:rPr>
          <w:rFonts w:cstheme="minorHAnsi"/>
          <w:sz w:val="22"/>
          <w:szCs w:val="22"/>
        </w:rPr>
        <w:t xml:space="preserve">Despite the </w:t>
      </w:r>
      <w:r w:rsidR="00F43B7B" w:rsidRPr="00F01411">
        <w:rPr>
          <w:rFonts w:cstheme="minorHAnsi"/>
          <w:sz w:val="22"/>
          <w:szCs w:val="22"/>
        </w:rPr>
        <w:t xml:space="preserve">relatively </w:t>
      </w:r>
      <w:r w:rsidRPr="00F01411">
        <w:rPr>
          <w:rFonts w:cstheme="minorHAnsi"/>
          <w:sz w:val="22"/>
          <w:szCs w:val="22"/>
        </w:rPr>
        <w:t xml:space="preserve">short period of rest used in </w:t>
      </w:r>
      <w:r w:rsidR="00CE06C7" w:rsidRPr="00F01411">
        <w:rPr>
          <w:rFonts w:cstheme="minorHAnsi"/>
          <w:sz w:val="22"/>
          <w:szCs w:val="22"/>
        </w:rPr>
        <w:t xml:space="preserve">our </w:t>
      </w:r>
      <w:r w:rsidRPr="00F01411">
        <w:rPr>
          <w:rFonts w:cstheme="minorHAnsi"/>
          <w:sz w:val="22"/>
          <w:szCs w:val="22"/>
        </w:rPr>
        <w:t xml:space="preserve">study, the relative efficacy of the 2.5% PAAG was unaffected and showed superiority to </w:t>
      </w:r>
      <w:r w:rsidRPr="00F01411">
        <w:rPr>
          <w:rFonts w:cstheme="minorHAnsi"/>
          <w:sz w:val="22"/>
          <w:szCs w:val="22"/>
        </w:rPr>
        <w:lastRenderedPageBreak/>
        <w:t>the other conventional treatments</w:t>
      </w:r>
      <w:r w:rsidR="00EA3516" w:rsidRPr="00F01411">
        <w:rPr>
          <w:rFonts w:cstheme="minorHAnsi"/>
          <w:sz w:val="22"/>
          <w:szCs w:val="22"/>
        </w:rPr>
        <w:t>.  This again may indicate 2.5% PAAG is a better option for early treatment</w:t>
      </w:r>
      <w:r w:rsidR="00174844" w:rsidRPr="00F01411">
        <w:rPr>
          <w:rFonts w:cstheme="minorHAnsi"/>
          <w:sz w:val="22"/>
          <w:szCs w:val="22"/>
        </w:rPr>
        <w:t xml:space="preserve"> intervention, especially</w:t>
      </w:r>
      <w:r w:rsidR="00EA3516" w:rsidRPr="00F01411">
        <w:rPr>
          <w:rFonts w:cstheme="minorHAnsi"/>
          <w:sz w:val="22"/>
          <w:szCs w:val="22"/>
        </w:rPr>
        <w:t xml:space="preserve"> in the face of ongoing exercise</w:t>
      </w:r>
      <w:r w:rsidR="005069DD" w:rsidRPr="00F01411">
        <w:rPr>
          <w:rFonts w:cstheme="minorHAnsi"/>
          <w:sz w:val="22"/>
          <w:szCs w:val="22"/>
        </w:rPr>
        <w:t xml:space="preserve"> regime</w:t>
      </w:r>
      <w:r w:rsidR="00EA3516" w:rsidRPr="00F01411">
        <w:rPr>
          <w:rFonts w:cstheme="minorHAnsi"/>
          <w:sz w:val="22"/>
          <w:szCs w:val="22"/>
        </w:rPr>
        <w:t xml:space="preserve">. </w:t>
      </w:r>
    </w:p>
    <w:p w14:paraId="47ED62FD" w14:textId="77777777" w:rsidR="00203D93" w:rsidRPr="00F01411" w:rsidRDefault="00203D93" w:rsidP="003232A4">
      <w:pPr>
        <w:spacing w:line="480" w:lineRule="auto"/>
        <w:rPr>
          <w:rFonts w:cstheme="minorHAnsi"/>
          <w:sz w:val="22"/>
          <w:szCs w:val="22"/>
        </w:rPr>
      </w:pPr>
    </w:p>
    <w:p w14:paraId="6E10C365" w14:textId="730CEC4D" w:rsidR="00EA3516" w:rsidRPr="00F01411" w:rsidRDefault="000C6A8E" w:rsidP="003232A4">
      <w:pPr>
        <w:spacing w:line="480" w:lineRule="auto"/>
        <w:rPr>
          <w:rFonts w:cstheme="minorHAnsi"/>
          <w:sz w:val="22"/>
          <w:szCs w:val="22"/>
        </w:rPr>
      </w:pPr>
      <w:r>
        <w:rPr>
          <w:rFonts w:cstheme="minorHAnsi"/>
          <w:sz w:val="22"/>
          <w:szCs w:val="22"/>
        </w:rPr>
        <w:t>Several s</w:t>
      </w:r>
      <w:r w:rsidR="00F45D92" w:rsidRPr="00F01411">
        <w:rPr>
          <w:rFonts w:cstheme="minorHAnsi"/>
          <w:sz w:val="22"/>
          <w:szCs w:val="22"/>
        </w:rPr>
        <w:t xml:space="preserve">tudy limitations </w:t>
      </w:r>
      <w:r>
        <w:rPr>
          <w:rFonts w:cstheme="minorHAnsi"/>
          <w:sz w:val="22"/>
          <w:szCs w:val="22"/>
        </w:rPr>
        <w:t xml:space="preserve">were apparent and </w:t>
      </w:r>
      <w:r w:rsidR="00F45D92" w:rsidRPr="00F01411">
        <w:rPr>
          <w:rFonts w:cstheme="minorHAnsi"/>
          <w:sz w:val="22"/>
          <w:szCs w:val="22"/>
        </w:rPr>
        <w:t>include</w:t>
      </w:r>
      <w:r>
        <w:rPr>
          <w:rFonts w:cstheme="minorHAnsi"/>
          <w:sz w:val="22"/>
          <w:szCs w:val="22"/>
        </w:rPr>
        <w:t xml:space="preserve"> a</w:t>
      </w:r>
      <w:r w:rsidR="00F45D92" w:rsidRPr="00F01411">
        <w:rPr>
          <w:rFonts w:cstheme="minorHAnsi"/>
          <w:sz w:val="22"/>
          <w:szCs w:val="22"/>
        </w:rPr>
        <w:t xml:space="preserve"> relatively low numbers of horses. Pre-study power calculations were not used </w:t>
      </w:r>
      <w:r>
        <w:rPr>
          <w:rFonts w:cstheme="minorHAnsi"/>
          <w:sz w:val="22"/>
          <w:szCs w:val="22"/>
        </w:rPr>
        <w:t>but</w:t>
      </w:r>
      <w:r w:rsidRPr="00F01411">
        <w:rPr>
          <w:rFonts w:cstheme="minorHAnsi"/>
          <w:sz w:val="22"/>
          <w:szCs w:val="22"/>
        </w:rPr>
        <w:t xml:space="preserve"> </w:t>
      </w:r>
      <w:r w:rsidR="00F45D92" w:rsidRPr="00F01411">
        <w:rPr>
          <w:rFonts w:cstheme="minorHAnsi"/>
          <w:sz w:val="22"/>
          <w:szCs w:val="22"/>
        </w:rPr>
        <w:t>the study design allowed for the study's continuation until a statistically significant effect was achieved</w:t>
      </w:r>
      <w:r>
        <w:rPr>
          <w:rFonts w:cstheme="minorHAnsi"/>
          <w:sz w:val="22"/>
          <w:szCs w:val="22"/>
        </w:rPr>
        <w:t>. This end point was</w:t>
      </w:r>
      <w:r w:rsidR="00410EC0" w:rsidRPr="00F01411">
        <w:rPr>
          <w:rFonts w:cstheme="minorHAnsi"/>
          <w:sz w:val="22"/>
          <w:szCs w:val="22"/>
        </w:rPr>
        <w:t xml:space="preserve"> determined by an independent statistician remo</w:t>
      </w:r>
      <w:r>
        <w:rPr>
          <w:rFonts w:cstheme="minorHAnsi"/>
          <w:sz w:val="22"/>
          <w:szCs w:val="22"/>
        </w:rPr>
        <w:t>te</w:t>
      </w:r>
      <w:r w:rsidRPr="00F01411">
        <w:rPr>
          <w:rFonts w:cstheme="minorHAnsi"/>
          <w:sz w:val="22"/>
          <w:szCs w:val="22"/>
        </w:rPr>
        <w:t xml:space="preserve"> </w:t>
      </w:r>
      <w:r>
        <w:rPr>
          <w:rFonts w:cstheme="minorHAnsi"/>
          <w:sz w:val="22"/>
          <w:szCs w:val="22"/>
        </w:rPr>
        <w:t xml:space="preserve">to </w:t>
      </w:r>
      <w:r w:rsidR="00410EC0" w:rsidRPr="00F01411">
        <w:rPr>
          <w:rFonts w:cstheme="minorHAnsi"/>
          <w:sz w:val="22"/>
          <w:szCs w:val="22"/>
        </w:rPr>
        <w:t>the study</w:t>
      </w:r>
      <w:r w:rsidR="00DB7F96" w:rsidRPr="00F01411">
        <w:rPr>
          <w:rFonts w:cstheme="minorHAnsi"/>
          <w:sz w:val="22"/>
          <w:szCs w:val="22"/>
        </w:rPr>
        <w:t xml:space="preserve">. Under our legislation, </w:t>
      </w:r>
      <w:r w:rsidR="00410EC0" w:rsidRPr="00F01411">
        <w:rPr>
          <w:rFonts w:cstheme="minorHAnsi"/>
          <w:sz w:val="22"/>
          <w:szCs w:val="22"/>
        </w:rPr>
        <w:t>a</w:t>
      </w:r>
      <w:r w:rsidR="00F45D92" w:rsidRPr="00F01411">
        <w:rPr>
          <w:rFonts w:cstheme="minorHAnsi"/>
          <w:sz w:val="22"/>
          <w:szCs w:val="22"/>
        </w:rPr>
        <w:t>nimal ethics</w:t>
      </w:r>
      <w:r w:rsidR="00036011">
        <w:rPr>
          <w:rFonts w:cstheme="minorHAnsi"/>
          <w:sz w:val="22"/>
          <w:szCs w:val="22"/>
        </w:rPr>
        <w:t xml:space="preserve"> </w:t>
      </w:r>
      <w:r w:rsidR="00F45D92" w:rsidRPr="00F01411">
        <w:rPr>
          <w:rFonts w:cstheme="minorHAnsi"/>
          <w:sz w:val="22"/>
          <w:szCs w:val="22"/>
        </w:rPr>
        <w:t xml:space="preserve">guidelines </w:t>
      </w:r>
      <w:r w:rsidR="00CE06C7" w:rsidRPr="00F01411">
        <w:rPr>
          <w:rFonts w:cstheme="minorHAnsi"/>
          <w:sz w:val="22"/>
          <w:szCs w:val="22"/>
        </w:rPr>
        <w:t>s</w:t>
      </w:r>
      <w:r w:rsidR="00410EC0" w:rsidRPr="00F01411">
        <w:rPr>
          <w:rFonts w:cstheme="minorHAnsi"/>
          <w:sz w:val="22"/>
          <w:szCs w:val="22"/>
        </w:rPr>
        <w:t xml:space="preserve">tate </w:t>
      </w:r>
      <w:r w:rsidR="00F45D92" w:rsidRPr="00F01411">
        <w:rPr>
          <w:rFonts w:cstheme="minorHAnsi"/>
          <w:sz w:val="22"/>
          <w:szCs w:val="22"/>
        </w:rPr>
        <w:t xml:space="preserve">there </w:t>
      </w:r>
      <w:r w:rsidR="00410EC0" w:rsidRPr="00F01411">
        <w:rPr>
          <w:rFonts w:cstheme="minorHAnsi"/>
          <w:sz w:val="22"/>
          <w:szCs w:val="22"/>
        </w:rPr>
        <w:t>i</w:t>
      </w:r>
      <w:r w:rsidR="00F45D92" w:rsidRPr="00F01411">
        <w:rPr>
          <w:rFonts w:cstheme="minorHAnsi"/>
          <w:sz w:val="22"/>
          <w:szCs w:val="22"/>
        </w:rPr>
        <w:t xml:space="preserve">s no reason for continuing </w:t>
      </w:r>
      <w:r w:rsidR="00410EC0" w:rsidRPr="00F01411">
        <w:rPr>
          <w:rFonts w:cstheme="minorHAnsi"/>
          <w:sz w:val="22"/>
          <w:szCs w:val="22"/>
        </w:rPr>
        <w:t>a</w:t>
      </w:r>
      <w:r w:rsidR="00F45D92" w:rsidRPr="00F01411">
        <w:rPr>
          <w:rFonts w:cstheme="minorHAnsi"/>
          <w:sz w:val="22"/>
          <w:szCs w:val="22"/>
        </w:rPr>
        <w:t xml:space="preserve"> study once statistical significance </w:t>
      </w:r>
      <w:r w:rsidR="00410EC0" w:rsidRPr="00F01411">
        <w:rPr>
          <w:rFonts w:cstheme="minorHAnsi"/>
          <w:sz w:val="22"/>
          <w:szCs w:val="22"/>
        </w:rPr>
        <w:t>i</w:t>
      </w:r>
      <w:r w:rsidR="00F45D92" w:rsidRPr="00F01411">
        <w:rPr>
          <w:rFonts w:cstheme="minorHAnsi"/>
          <w:sz w:val="22"/>
          <w:szCs w:val="22"/>
        </w:rPr>
        <w:t>s achieved</w:t>
      </w:r>
      <w:r>
        <w:rPr>
          <w:rFonts w:cstheme="minorHAnsi"/>
          <w:sz w:val="22"/>
          <w:szCs w:val="22"/>
        </w:rPr>
        <w:t xml:space="preserve"> so a larger sample size was not included. </w:t>
      </w:r>
      <w:r w:rsidR="00036011">
        <w:rPr>
          <w:rFonts w:cstheme="minorHAnsi"/>
          <w:sz w:val="22"/>
          <w:szCs w:val="22"/>
        </w:rPr>
        <w:t xml:space="preserve"> </w:t>
      </w:r>
    </w:p>
    <w:p w14:paraId="4B294FBA" w14:textId="77777777" w:rsidR="00EE276A" w:rsidRPr="00F01411" w:rsidRDefault="00EE276A" w:rsidP="003232A4">
      <w:pPr>
        <w:spacing w:line="480" w:lineRule="auto"/>
        <w:rPr>
          <w:rFonts w:cstheme="minorHAnsi"/>
          <w:sz w:val="22"/>
          <w:szCs w:val="22"/>
          <w:highlight w:val="yellow"/>
        </w:rPr>
      </w:pPr>
    </w:p>
    <w:p w14:paraId="7B394C37" w14:textId="57167C88" w:rsidR="007400BA" w:rsidRDefault="00F45D92" w:rsidP="003232A4">
      <w:pPr>
        <w:spacing w:line="480" w:lineRule="auto"/>
        <w:rPr>
          <w:rFonts w:cstheme="minorHAnsi"/>
          <w:sz w:val="22"/>
          <w:szCs w:val="22"/>
          <w:lang w:val="en-NZ"/>
        </w:rPr>
      </w:pPr>
      <w:r w:rsidRPr="00F01411">
        <w:rPr>
          <w:rFonts w:cstheme="minorHAnsi"/>
          <w:sz w:val="22"/>
          <w:szCs w:val="22"/>
        </w:rPr>
        <w:t>Outcome parameters, although based on clear scoring systems, were subjective</w:t>
      </w:r>
      <w:r w:rsidR="00F43B7B" w:rsidRPr="00F01411">
        <w:rPr>
          <w:rFonts w:cstheme="minorHAnsi"/>
          <w:sz w:val="22"/>
          <w:szCs w:val="22"/>
        </w:rPr>
        <w:t>. L</w:t>
      </w:r>
      <w:r w:rsidR="00C079EE" w:rsidRPr="00F01411">
        <w:rPr>
          <w:rFonts w:cstheme="minorHAnsi"/>
          <w:sz w:val="22"/>
          <w:szCs w:val="22"/>
        </w:rPr>
        <w:t>ameness evaluation by an experienced equine veterinarian is subjective in nature, with inertial sensor systems</w:t>
      </w:r>
      <w:r w:rsidR="000C6A8E">
        <w:rPr>
          <w:rFonts w:cstheme="minorHAnsi"/>
          <w:sz w:val="22"/>
          <w:szCs w:val="22"/>
        </w:rPr>
        <w:t xml:space="preserve"> (ISS)</w:t>
      </w:r>
      <w:r w:rsidR="000C6A8E" w:rsidRPr="00F01411">
        <w:rPr>
          <w:rFonts w:cstheme="minorHAnsi"/>
          <w:sz w:val="22"/>
          <w:szCs w:val="22"/>
        </w:rPr>
        <w:t xml:space="preserve"> </w:t>
      </w:r>
      <w:r w:rsidR="000C6A8E">
        <w:rPr>
          <w:rFonts w:cstheme="minorHAnsi"/>
          <w:sz w:val="22"/>
          <w:szCs w:val="22"/>
        </w:rPr>
        <w:t xml:space="preserve">and </w:t>
      </w:r>
      <w:r w:rsidR="000C6A8E" w:rsidRPr="00F01411">
        <w:rPr>
          <w:rFonts w:cstheme="minorHAnsi"/>
          <w:sz w:val="22"/>
          <w:szCs w:val="22"/>
        </w:rPr>
        <w:t xml:space="preserve">force platforms </w:t>
      </w:r>
      <w:r w:rsidR="000C6A8E">
        <w:rPr>
          <w:rFonts w:cstheme="minorHAnsi"/>
          <w:sz w:val="22"/>
          <w:szCs w:val="22"/>
        </w:rPr>
        <w:t xml:space="preserve">(FP) </w:t>
      </w:r>
      <w:r w:rsidR="00C079EE" w:rsidRPr="00F01411">
        <w:rPr>
          <w:rFonts w:cstheme="minorHAnsi"/>
          <w:sz w:val="22"/>
          <w:szCs w:val="22"/>
        </w:rPr>
        <w:t xml:space="preserve">providing objective data. </w:t>
      </w:r>
      <w:r w:rsidR="006A6D2C" w:rsidRPr="00F01411">
        <w:rPr>
          <w:rFonts w:cstheme="minorHAnsi"/>
          <w:sz w:val="22"/>
          <w:szCs w:val="22"/>
        </w:rPr>
        <w:t xml:space="preserve">However, it </w:t>
      </w:r>
      <w:r w:rsidR="00C079EE" w:rsidRPr="00F01411">
        <w:rPr>
          <w:rFonts w:cstheme="minorHAnsi"/>
          <w:sz w:val="22"/>
          <w:szCs w:val="22"/>
        </w:rPr>
        <w:t>has been shown that</w:t>
      </w:r>
      <w:r w:rsidR="00464DB8" w:rsidRPr="00F01411">
        <w:rPr>
          <w:rFonts w:cstheme="minorHAnsi"/>
          <w:sz w:val="22"/>
          <w:szCs w:val="22"/>
        </w:rPr>
        <w:t xml:space="preserve"> </w:t>
      </w:r>
      <w:r w:rsidR="00464DB8">
        <w:rPr>
          <w:rFonts w:cstheme="minorHAnsi"/>
          <w:sz w:val="22"/>
          <w:szCs w:val="22"/>
        </w:rPr>
        <w:t xml:space="preserve">the percentage of horses identified as lame in an osteochondral fragment model, independent of time, was the highest with ISS (60%) followed by </w:t>
      </w:r>
      <w:r w:rsidR="00C079EE" w:rsidRPr="00F01411">
        <w:rPr>
          <w:rFonts w:cstheme="minorHAnsi"/>
          <w:sz w:val="22"/>
          <w:szCs w:val="22"/>
        </w:rPr>
        <w:t>blinded subjective evaluation (5</w:t>
      </w:r>
      <w:r w:rsidR="00464DB8">
        <w:rPr>
          <w:rFonts w:cstheme="minorHAnsi"/>
          <w:sz w:val="22"/>
          <w:szCs w:val="22"/>
        </w:rPr>
        <w:t>1</w:t>
      </w:r>
      <w:r w:rsidR="00C079EE" w:rsidRPr="00F01411">
        <w:rPr>
          <w:rFonts w:cstheme="minorHAnsi"/>
          <w:sz w:val="22"/>
          <w:szCs w:val="22"/>
        </w:rPr>
        <w:t>%) and force platforms (4</w:t>
      </w:r>
      <w:r w:rsidR="00464DB8">
        <w:rPr>
          <w:rFonts w:cstheme="minorHAnsi"/>
          <w:sz w:val="22"/>
          <w:szCs w:val="22"/>
        </w:rPr>
        <w:t>2</w:t>
      </w:r>
      <w:r w:rsidR="00C079EE" w:rsidRPr="00F01411">
        <w:rPr>
          <w:rFonts w:cstheme="minorHAnsi"/>
          <w:sz w:val="22"/>
          <w:szCs w:val="22"/>
        </w:rPr>
        <w:t>%), and that the difference between subjective evaluation and inertial sensor systems was not statistically different [</w:t>
      </w:r>
      <w:r w:rsidRPr="00F01411">
        <w:rPr>
          <w:rFonts w:cstheme="minorHAnsi"/>
          <w:sz w:val="22"/>
          <w:szCs w:val="22"/>
        </w:rPr>
        <w:t>25</w:t>
      </w:r>
      <w:r w:rsidR="00C079EE" w:rsidRPr="00F01411">
        <w:rPr>
          <w:rFonts w:cstheme="minorHAnsi"/>
          <w:sz w:val="22"/>
          <w:szCs w:val="22"/>
        </w:rPr>
        <w:t>].</w:t>
      </w:r>
      <w:r w:rsidR="008369E6" w:rsidRPr="008369E6">
        <w:rPr>
          <w:rFonts w:cstheme="minorHAnsi"/>
          <w:sz w:val="22"/>
          <w:szCs w:val="22"/>
          <w:lang w:val="en-NZ"/>
        </w:rPr>
        <w:t xml:space="preserve"> </w:t>
      </w:r>
      <w:r w:rsidR="008369E6" w:rsidRPr="007400BA">
        <w:rPr>
          <w:rFonts w:cstheme="minorHAnsi"/>
          <w:sz w:val="22"/>
          <w:szCs w:val="22"/>
          <w:lang w:val="en-NZ"/>
        </w:rPr>
        <w:t>Blinded subjective evaluation and the ISS agreed which forelimb was lame more often (50%)</w:t>
      </w:r>
      <w:r w:rsidR="008369E6">
        <w:rPr>
          <w:rFonts w:cstheme="minorHAnsi"/>
          <w:sz w:val="22"/>
          <w:szCs w:val="22"/>
          <w:lang w:val="en-NZ"/>
        </w:rPr>
        <w:t xml:space="preserve">. </w:t>
      </w:r>
      <w:r w:rsidR="008369E6" w:rsidRPr="00EA0ED5">
        <w:rPr>
          <w:rFonts w:cstheme="minorHAnsi"/>
          <w:sz w:val="22"/>
          <w:szCs w:val="22"/>
        </w:rPr>
        <w:t xml:space="preserve">Using a well-defined lameness scale (AAEP) in this study was </w:t>
      </w:r>
      <w:r w:rsidR="008369E6">
        <w:rPr>
          <w:rFonts w:cstheme="minorHAnsi"/>
          <w:sz w:val="22"/>
          <w:szCs w:val="22"/>
        </w:rPr>
        <w:t xml:space="preserve">also </w:t>
      </w:r>
      <w:r w:rsidR="008369E6" w:rsidRPr="00EA0ED5">
        <w:rPr>
          <w:rFonts w:cstheme="minorHAnsi"/>
          <w:sz w:val="22"/>
          <w:szCs w:val="22"/>
        </w:rPr>
        <w:t>more applicable in the clinical setting and the measure of outcome success was being ‘not lame’, which enabled the single examining veterinarian to detect large and significant lameness changes. It was also suitable for showing statistical differences between the treatment groups to assess efficacy in a naturally occurring disease model</w:t>
      </w:r>
      <w:r w:rsidR="00464DB8" w:rsidRPr="00EA0ED5">
        <w:rPr>
          <w:rFonts w:cstheme="minorHAnsi"/>
          <w:sz w:val="22"/>
          <w:szCs w:val="22"/>
        </w:rPr>
        <w:t>.</w:t>
      </w:r>
    </w:p>
    <w:p w14:paraId="235AF937" w14:textId="77777777" w:rsidR="00464DB8" w:rsidRDefault="00464DB8" w:rsidP="003232A4">
      <w:pPr>
        <w:spacing w:line="480" w:lineRule="auto"/>
        <w:rPr>
          <w:rFonts w:cstheme="minorHAnsi"/>
          <w:sz w:val="22"/>
          <w:szCs w:val="22"/>
          <w:lang w:val="en-NZ"/>
        </w:rPr>
      </w:pPr>
    </w:p>
    <w:p w14:paraId="542B8F66" w14:textId="26E5D279" w:rsidR="00CF698D" w:rsidRDefault="00BF761F" w:rsidP="003232A4">
      <w:pPr>
        <w:spacing w:line="480" w:lineRule="auto"/>
        <w:rPr>
          <w:rFonts w:cstheme="minorHAnsi"/>
          <w:sz w:val="22"/>
          <w:szCs w:val="22"/>
          <w:lang w:val="en-AU"/>
        </w:rPr>
      </w:pPr>
      <w:r w:rsidRPr="00F01411">
        <w:rPr>
          <w:rFonts w:cstheme="minorHAnsi"/>
          <w:sz w:val="22"/>
          <w:szCs w:val="22"/>
        </w:rPr>
        <w:t xml:space="preserve">Horses with bilateral lameness were included in our study as this </w:t>
      </w:r>
      <w:r w:rsidR="008369E6">
        <w:rPr>
          <w:rFonts w:cstheme="minorHAnsi"/>
          <w:sz w:val="22"/>
          <w:szCs w:val="22"/>
        </w:rPr>
        <w:t>was</w:t>
      </w:r>
      <w:r w:rsidR="008369E6" w:rsidRPr="00F01411">
        <w:rPr>
          <w:rFonts w:cstheme="minorHAnsi"/>
          <w:sz w:val="22"/>
          <w:szCs w:val="22"/>
        </w:rPr>
        <w:t xml:space="preserve"> </w:t>
      </w:r>
      <w:r w:rsidR="008369E6">
        <w:rPr>
          <w:rFonts w:cstheme="minorHAnsi"/>
          <w:sz w:val="22"/>
          <w:szCs w:val="22"/>
        </w:rPr>
        <w:t xml:space="preserve">a </w:t>
      </w:r>
      <w:r w:rsidRPr="00F01411">
        <w:rPr>
          <w:rFonts w:cstheme="minorHAnsi"/>
          <w:sz w:val="22"/>
          <w:szCs w:val="22"/>
        </w:rPr>
        <w:t xml:space="preserve">common </w:t>
      </w:r>
      <w:r w:rsidR="008369E6">
        <w:rPr>
          <w:rFonts w:cstheme="minorHAnsi"/>
          <w:sz w:val="22"/>
          <w:szCs w:val="22"/>
        </w:rPr>
        <w:t>presentation</w:t>
      </w:r>
      <w:r w:rsidR="008369E6" w:rsidRPr="00F01411">
        <w:rPr>
          <w:rFonts w:cstheme="minorHAnsi"/>
          <w:sz w:val="22"/>
          <w:szCs w:val="22"/>
        </w:rPr>
        <w:t xml:space="preserve"> </w:t>
      </w:r>
      <w:r w:rsidRPr="00F01411">
        <w:rPr>
          <w:rFonts w:cstheme="minorHAnsi"/>
          <w:sz w:val="22"/>
          <w:szCs w:val="22"/>
        </w:rPr>
        <w:t xml:space="preserve">in </w:t>
      </w:r>
      <w:r w:rsidR="008369E6">
        <w:rPr>
          <w:rFonts w:cstheme="minorHAnsi"/>
          <w:sz w:val="22"/>
          <w:szCs w:val="22"/>
        </w:rPr>
        <w:t>the</w:t>
      </w:r>
      <w:r w:rsidR="008369E6" w:rsidRPr="00F01411">
        <w:rPr>
          <w:rFonts w:cstheme="minorHAnsi"/>
          <w:sz w:val="22"/>
          <w:szCs w:val="22"/>
        </w:rPr>
        <w:t xml:space="preserve"> </w:t>
      </w:r>
      <w:r w:rsidRPr="00F01411">
        <w:rPr>
          <w:rFonts w:cstheme="minorHAnsi"/>
          <w:sz w:val="22"/>
          <w:szCs w:val="22"/>
        </w:rPr>
        <w:t>clinical setting.</w:t>
      </w:r>
      <w:r w:rsidR="00CF160E" w:rsidRPr="00CF160E">
        <w:rPr>
          <w:rFonts w:cstheme="minorHAnsi"/>
          <w:sz w:val="22"/>
          <w:szCs w:val="22"/>
        </w:rPr>
        <w:t xml:space="preserve"> </w:t>
      </w:r>
      <w:r w:rsidR="00CF160E">
        <w:rPr>
          <w:rFonts w:cstheme="minorHAnsi"/>
          <w:sz w:val="22"/>
          <w:szCs w:val="22"/>
        </w:rPr>
        <w:t>From a clinical perspective</w:t>
      </w:r>
      <w:r w:rsidR="003E0731">
        <w:rPr>
          <w:rFonts w:cstheme="minorHAnsi"/>
          <w:sz w:val="22"/>
          <w:szCs w:val="22"/>
        </w:rPr>
        <w:t xml:space="preserve">, </w:t>
      </w:r>
      <w:r w:rsidR="00CF160E">
        <w:rPr>
          <w:rFonts w:cstheme="minorHAnsi"/>
          <w:sz w:val="22"/>
          <w:szCs w:val="22"/>
        </w:rPr>
        <w:t xml:space="preserve">horses with bilateral forelimb lameness will </w:t>
      </w:r>
      <w:r w:rsidR="00CF160E">
        <w:rPr>
          <w:rFonts w:cstheme="minorHAnsi"/>
          <w:sz w:val="22"/>
          <w:szCs w:val="22"/>
        </w:rPr>
        <w:lastRenderedPageBreak/>
        <w:t xml:space="preserve">also present with bilateral joint distention, bilateral joint heat, and bilateral reaction to joint manipulation (flexion test and digital pressure), and </w:t>
      </w:r>
      <w:r w:rsidR="003E0731">
        <w:rPr>
          <w:rFonts w:cstheme="minorHAnsi"/>
          <w:sz w:val="22"/>
          <w:szCs w:val="22"/>
        </w:rPr>
        <w:t>typically</w:t>
      </w:r>
      <w:r w:rsidR="00CF160E">
        <w:rPr>
          <w:rFonts w:cstheme="minorHAnsi"/>
          <w:sz w:val="22"/>
          <w:szCs w:val="22"/>
        </w:rPr>
        <w:t xml:space="preserve"> one limb will be lamer than the other. All limbs had to respond to intraarticular analgesia of the middle carpal joint to enter into the study. Although follow</w:t>
      </w:r>
      <w:r w:rsidR="00CF698D">
        <w:rPr>
          <w:rFonts w:cstheme="minorHAnsi"/>
          <w:sz w:val="22"/>
          <w:szCs w:val="22"/>
        </w:rPr>
        <w:t>-</w:t>
      </w:r>
      <w:r w:rsidR="00CF160E">
        <w:rPr>
          <w:rFonts w:cstheme="minorHAnsi"/>
          <w:sz w:val="22"/>
          <w:szCs w:val="22"/>
        </w:rPr>
        <w:t>up examinations could have included repeating the intraarticular analgesia, this could in itself adversely affect the results by altering the joint fluid environment or causing iatrogenic trauma</w:t>
      </w:r>
      <w:r w:rsidR="00CF698D">
        <w:rPr>
          <w:rFonts w:cstheme="minorHAnsi"/>
          <w:sz w:val="22"/>
          <w:szCs w:val="22"/>
        </w:rPr>
        <w:t xml:space="preserve"> and was therefore not considered in a clinical </w:t>
      </w:r>
      <w:r w:rsidR="009D1231" w:rsidRPr="009D1231">
        <w:rPr>
          <w:rFonts w:cstheme="minorHAnsi"/>
          <w:sz w:val="22"/>
          <w:szCs w:val="22"/>
        </w:rPr>
        <w:t xml:space="preserve"> </w:t>
      </w:r>
      <w:r w:rsidR="009D1231">
        <w:rPr>
          <w:rFonts w:cstheme="minorHAnsi"/>
          <w:sz w:val="22"/>
          <w:szCs w:val="22"/>
        </w:rPr>
        <w:t xml:space="preserve">setting. </w:t>
      </w:r>
      <w:r w:rsidR="009D1231" w:rsidRPr="009D1231">
        <w:rPr>
          <w:rFonts w:cstheme="minorHAnsi"/>
          <w:sz w:val="22"/>
          <w:szCs w:val="22"/>
        </w:rPr>
        <w:t xml:space="preserve">Further statistical analysis was performed however to additionally evaluate what effect the exclusion of bilaterally lame horses would have. Although this resulted in relatively low numbers of joints included in each group (2.5% PAAG=6, TA=7, HA=6), there was still a significant difference in treatment effect in favour of the 2.5% PAAG treated group compared </w:t>
      </w:r>
      <w:r w:rsidR="009D1231" w:rsidRPr="009D1231">
        <w:rPr>
          <w:rFonts w:cstheme="minorHAnsi"/>
          <w:sz w:val="22"/>
          <w:szCs w:val="22"/>
          <w:lang w:val="en-AU"/>
        </w:rPr>
        <w:t>to both TA and HA.</w:t>
      </w:r>
    </w:p>
    <w:p w14:paraId="1117D32E" w14:textId="77777777" w:rsidR="00130AF5" w:rsidRPr="00F01411" w:rsidRDefault="00130AF5" w:rsidP="003232A4">
      <w:pPr>
        <w:spacing w:line="480" w:lineRule="auto"/>
        <w:rPr>
          <w:rFonts w:cstheme="minorHAnsi"/>
          <w:sz w:val="22"/>
          <w:szCs w:val="22"/>
          <w:highlight w:val="yellow"/>
        </w:rPr>
      </w:pPr>
    </w:p>
    <w:p w14:paraId="12B7D0EB" w14:textId="5BC6ECC9" w:rsidR="00EA3516" w:rsidRPr="00F01411" w:rsidRDefault="00F45D92" w:rsidP="003232A4">
      <w:pPr>
        <w:spacing w:line="480" w:lineRule="auto"/>
        <w:rPr>
          <w:rFonts w:cstheme="minorHAnsi"/>
          <w:sz w:val="22"/>
          <w:szCs w:val="22"/>
        </w:rPr>
      </w:pPr>
      <w:r w:rsidRPr="00F01411">
        <w:rPr>
          <w:rFonts w:cstheme="minorHAnsi"/>
          <w:sz w:val="22"/>
          <w:szCs w:val="22"/>
        </w:rPr>
        <w:t xml:space="preserve">Assessment of effusion was </w:t>
      </w:r>
      <w:r w:rsidR="00174844" w:rsidRPr="00F01411">
        <w:rPr>
          <w:rFonts w:cstheme="minorHAnsi"/>
          <w:sz w:val="22"/>
          <w:szCs w:val="22"/>
        </w:rPr>
        <w:t xml:space="preserve">also </w:t>
      </w:r>
      <w:r w:rsidRPr="00F01411">
        <w:rPr>
          <w:rFonts w:cstheme="minorHAnsi"/>
          <w:sz w:val="22"/>
          <w:szCs w:val="22"/>
        </w:rPr>
        <w:t>subjective</w:t>
      </w:r>
      <w:r w:rsidR="00221D2A" w:rsidRPr="00F01411">
        <w:rPr>
          <w:rFonts w:cstheme="minorHAnsi"/>
          <w:sz w:val="22"/>
          <w:szCs w:val="22"/>
        </w:rPr>
        <w:t>.</w:t>
      </w:r>
      <w:r w:rsidR="00702040" w:rsidRPr="00F01411">
        <w:rPr>
          <w:rFonts w:cstheme="minorHAnsi"/>
          <w:sz w:val="22"/>
          <w:szCs w:val="22"/>
        </w:rPr>
        <w:t xml:space="preserve"> I</w:t>
      </w:r>
      <w:r w:rsidRPr="00F01411">
        <w:rPr>
          <w:rFonts w:cstheme="minorHAnsi"/>
          <w:sz w:val="22"/>
          <w:szCs w:val="22"/>
        </w:rPr>
        <w:t xml:space="preserve">t is still surprising that neither the TA nor HA groups showed any </w:t>
      </w:r>
      <w:r w:rsidR="00F1045B" w:rsidRPr="00F01411">
        <w:rPr>
          <w:rFonts w:cstheme="minorHAnsi"/>
          <w:sz w:val="22"/>
          <w:szCs w:val="22"/>
        </w:rPr>
        <w:t xml:space="preserve">significant </w:t>
      </w:r>
      <w:r w:rsidRPr="00F01411">
        <w:rPr>
          <w:rFonts w:cstheme="minorHAnsi"/>
          <w:sz w:val="22"/>
          <w:szCs w:val="22"/>
        </w:rPr>
        <w:t xml:space="preserve">reduction in effusion at any time point.  This may be </w:t>
      </w:r>
      <w:r w:rsidR="00702040" w:rsidRPr="00F01411">
        <w:rPr>
          <w:rFonts w:cstheme="minorHAnsi"/>
          <w:sz w:val="22"/>
          <w:szCs w:val="22"/>
        </w:rPr>
        <w:t>a further indication of the insensitivity of the methods used, the lack of significant effusion pre-treatment</w:t>
      </w:r>
      <w:r w:rsidRPr="00F01411">
        <w:rPr>
          <w:rFonts w:cstheme="minorHAnsi"/>
          <w:sz w:val="22"/>
          <w:szCs w:val="22"/>
        </w:rPr>
        <w:t>,</w:t>
      </w:r>
      <w:r w:rsidR="00702040" w:rsidRPr="00F01411">
        <w:rPr>
          <w:rFonts w:cstheme="minorHAnsi"/>
          <w:sz w:val="22"/>
          <w:szCs w:val="22"/>
        </w:rPr>
        <w:t xml:space="preserve"> possibly due to the early stage of the disease in the horses used in the study, </w:t>
      </w:r>
      <w:r w:rsidRPr="00F01411">
        <w:rPr>
          <w:rFonts w:cstheme="minorHAnsi"/>
          <w:sz w:val="22"/>
          <w:szCs w:val="22"/>
        </w:rPr>
        <w:t>related to the timing of the examinations after treatment</w:t>
      </w:r>
      <w:r w:rsidR="00702040" w:rsidRPr="00F01411">
        <w:rPr>
          <w:rFonts w:cstheme="minorHAnsi"/>
          <w:sz w:val="22"/>
          <w:szCs w:val="22"/>
        </w:rPr>
        <w:t>, or a lower response than expected with conventional therapies in the face of ongoing exercise</w:t>
      </w:r>
      <w:r w:rsidRPr="00F01411">
        <w:rPr>
          <w:rFonts w:cstheme="minorHAnsi"/>
          <w:sz w:val="22"/>
          <w:szCs w:val="22"/>
        </w:rPr>
        <w:t>. A</w:t>
      </w:r>
      <w:r w:rsidR="00203D93" w:rsidRPr="00F01411">
        <w:rPr>
          <w:rFonts w:cstheme="minorHAnsi"/>
          <w:sz w:val="22"/>
          <w:szCs w:val="22"/>
        </w:rPr>
        <w:t xml:space="preserve">lthough less </w:t>
      </w:r>
      <w:r w:rsidR="00F63D3E" w:rsidRPr="00F01411">
        <w:rPr>
          <w:rFonts w:cstheme="minorHAnsi"/>
          <w:sz w:val="22"/>
          <w:szCs w:val="22"/>
        </w:rPr>
        <w:t xml:space="preserve">than </w:t>
      </w:r>
      <w:r w:rsidR="00203D93" w:rsidRPr="00F01411">
        <w:rPr>
          <w:rFonts w:cstheme="minorHAnsi"/>
          <w:sz w:val="22"/>
          <w:szCs w:val="22"/>
        </w:rPr>
        <w:t xml:space="preserve">ideal, the same subjective scores were used by </w:t>
      </w:r>
      <w:r w:rsidR="00DB7F96" w:rsidRPr="00F01411">
        <w:rPr>
          <w:rFonts w:cstheme="minorHAnsi"/>
          <w:sz w:val="22"/>
          <w:szCs w:val="22"/>
        </w:rPr>
        <w:t>a single</w:t>
      </w:r>
      <w:r w:rsidR="00203D93" w:rsidRPr="00F01411">
        <w:rPr>
          <w:rFonts w:cstheme="minorHAnsi"/>
          <w:sz w:val="22"/>
          <w:szCs w:val="22"/>
        </w:rPr>
        <w:t xml:space="preserve"> blinded and experienced examining veterinarian for all horses and </w:t>
      </w:r>
      <w:r w:rsidR="00F63D3E" w:rsidRPr="00F01411">
        <w:rPr>
          <w:rFonts w:cstheme="minorHAnsi"/>
          <w:sz w:val="22"/>
          <w:szCs w:val="22"/>
        </w:rPr>
        <w:t xml:space="preserve">did </w:t>
      </w:r>
      <w:r w:rsidR="00203D93" w:rsidRPr="00F01411">
        <w:rPr>
          <w:rFonts w:cstheme="minorHAnsi"/>
          <w:sz w:val="22"/>
          <w:szCs w:val="22"/>
        </w:rPr>
        <w:t xml:space="preserve">allow detection of </w:t>
      </w:r>
      <w:r w:rsidR="00F63D3E" w:rsidRPr="00F01411">
        <w:rPr>
          <w:rFonts w:cstheme="minorHAnsi"/>
          <w:sz w:val="22"/>
          <w:szCs w:val="22"/>
        </w:rPr>
        <w:t xml:space="preserve">a </w:t>
      </w:r>
      <w:r w:rsidR="00203D93" w:rsidRPr="00F01411">
        <w:rPr>
          <w:rFonts w:cstheme="minorHAnsi"/>
          <w:sz w:val="22"/>
          <w:szCs w:val="22"/>
        </w:rPr>
        <w:t xml:space="preserve">statistically significant difference between 2.5% PAAG and </w:t>
      </w:r>
      <w:r w:rsidR="00F63D3E" w:rsidRPr="00F01411">
        <w:rPr>
          <w:rFonts w:cstheme="minorHAnsi"/>
          <w:sz w:val="22"/>
          <w:szCs w:val="22"/>
        </w:rPr>
        <w:t xml:space="preserve">the </w:t>
      </w:r>
      <w:r w:rsidR="00203D93" w:rsidRPr="00F01411">
        <w:rPr>
          <w:rFonts w:cstheme="minorHAnsi"/>
          <w:sz w:val="22"/>
          <w:szCs w:val="22"/>
        </w:rPr>
        <w:t>TA/HA treatment groups</w:t>
      </w:r>
      <w:r w:rsidR="00F63D3E" w:rsidRPr="00F01411">
        <w:rPr>
          <w:rFonts w:cstheme="minorHAnsi"/>
          <w:sz w:val="22"/>
          <w:szCs w:val="22"/>
        </w:rPr>
        <w:t xml:space="preserve"> at 4 and 6 weeks (p&lt;0.05)</w:t>
      </w:r>
      <w:r w:rsidR="006D3CE0" w:rsidRPr="00F01411">
        <w:rPr>
          <w:rFonts w:cstheme="minorHAnsi"/>
          <w:sz w:val="22"/>
          <w:szCs w:val="22"/>
        </w:rPr>
        <w:t xml:space="preserve"> and is consistent with previous studies of 2.5% PAAG [7, 9].</w:t>
      </w:r>
      <w:r w:rsidR="00203D93" w:rsidRPr="00F01411">
        <w:rPr>
          <w:rFonts w:cstheme="minorHAnsi"/>
          <w:sz w:val="22"/>
          <w:szCs w:val="22"/>
        </w:rPr>
        <w:t xml:space="preserve"> Objective data </w:t>
      </w:r>
      <w:r w:rsidR="009D1231" w:rsidRPr="00F01411">
        <w:rPr>
          <w:rFonts w:cstheme="minorHAnsi"/>
          <w:sz w:val="22"/>
          <w:szCs w:val="22"/>
        </w:rPr>
        <w:t>measurement</w:t>
      </w:r>
      <w:r w:rsidR="009D1231">
        <w:rPr>
          <w:rFonts w:cstheme="minorHAnsi"/>
          <w:sz w:val="22"/>
          <w:szCs w:val="22"/>
        </w:rPr>
        <w:t xml:space="preserve"> using ultrasound or measuring joint circumference with a measuring tape </w:t>
      </w:r>
      <w:r w:rsidR="00203D93" w:rsidRPr="00F01411">
        <w:rPr>
          <w:rFonts w:cstheme="minorHAnsi"/>
          <w:sz w:val="22"/>
          <w:szCs w:val="22"/>
        </w:rPr>
        <w:t xml:space="preserve">may have allowed detection of </w:t>
      </w:r>
      <w:r w:rsidR="00DD3A33" w:rsidRPr="00F01411">
        <w:rPr>
          <w:rFonts w:cstheme="minorHAnsi"/>
          <w:sz w:val="22"/>
          <w:szCs w:val="22"/>
        </w:rPr>
        <w:t xml:space="preserve">more subtle </w:t>
      </w:r>
      <w:r w:rsidR="00203D93" w:rsidRPr="00F01411">
        <w:rPr>
          <w:rFonts w:cstheme="minorHAnsi"/>
          <w:sz w:val="22"/>
          <w:szCs w:val="22"/>
        </w:rPr>
        <w:t xml:space="preserve">differences between </w:t>
      </w:r>
      <w:r w:rsidR="00F63D3E" w:rsidRPr="00F01411">
        <w:rPr>
          <w:rFonts w:cstheme="minorHAnsi"/>
          <w:sz w:val="22"/>
          <w:szCs w:val="22"/>
        </w:rPr>
        <w:t xml:space="preserve">the </w:t>
      </w:r>
      <w:r w:rsidR="00203D93" w:rsidRPr="00F01411">
        <w:rPr>
          <w:rFonts w:cstheme="minorHAnsi"/>
          <w:sz w:val="22"/>
          <w:szCs w:val="22"/>
        </w:rPr>
        <w:t>TA</w:t>
      </w:r>
      <w:r w:rsidR="00F63D3E" w:rsidRPr="00F01411">
        <w:rPr>
          <w:rFonts w:cstheme="minorHAnsi"/>
          <w:sz w:val="22"/>
          <w:szCs w:val="22"/>
        </w:rPr>
        <w:t xml:space="preserve"> and HA groups and at other time points. </w:t>
      </w:r>
    </w:p>
    <w:p w14:paraId="6245F0FC" w14:textId="77777777" w:rsidR="0092543B" w:rsidRPr="00F01411" w:rsidRDefault="0092543B" w:rsidP="003232A4">
      <w:pPr>
        <w:spacing w:line="480" w:lineRule="auto"/>
        <w:rPr>
          <w:rFonts w:cstheme="minorHAnsi"/>
          <w:sz w:val="22"/>
          <w:szCs w:val="22"/>
          <w:highlight w:val="yellow"/>
        </w:rPr>
      </w:pPr>
    </w:p>
    <w:p w14:paraId="5A5F2564" w14:textId="1EB0D02B" w:rsidR="004045C4" w:rsidRPr="00F01411" w:rsidRDefault="009D1231" w:rsidP="003232A4">
      <w:pPr>
        <w:spacing w:line="480" w:lineRule="auto"/>
        <w:rPr>
          <w:rFonts w:cstheme="minorHAnsi"/>
          <w:sz w:val="22"/>
          <w:szCs w:val="22"/>
        </w:rPr>
      </w:pPr>
      <w:r>
        <w:rPr>
          <w:rFonts w:cstheme="minorHAnsi"/>
          <w:sz w:val="22"/>
          <w:szCs w:val="22"/>
        </w:rPr>
        <w:lastRenderedPageBreak/>
        <w:t xml:space="preserve">Assessing changes in the quality of synovial fluid could also have provided more objective measures of joint health and may be a useful focus of future studies of 2.5% PAAG. </w:t>
      </w:r>
      <w:r w:rsidR="00F45D92" w:rsidRPr="00F01411">
        <w:rPr>
          <w:rFonts w:cstheme="minorHAnsi"/>
          <w:sz w:val="22"/>
          <w:szCs w:val="22"/>
        </w:rPr>
        <w:t xml:space="preserve">A reliable biomarker for joint fluid health is not </w:t>
      </w:r>
      <w:r>
        <w:rPr>
          <w:rFonts w:cstheme="minorHAnsi"/>
          <w:sz w:val="22"/>
          <w:szCs w:val="22"/>
        </w:rPr>
        <w:t>readily</w:t>
      </w:r>
      <w:r w:rsidRPr="00F01411">
        <w:rPr>
          <w:rFonts w:cstheme="minorHAnsi"/>
          <w:sz w:val="22"/>
          <w:szCs w:val="22"/>
        </w:rPr>
        <w:t xml:space="preserve"> </w:t>
      </w:r>
      <w:r w:rsidR="00F45D92" w:rsidRPr="00F01411">
        <w:rPr>
          <w:rFonts w:cstheme="minorHAnsi"/>
          <w:sz w:val="22"/>
          <w:szCs w:val="22"/>
        </w:rPr>
        <w:t>availabl</w:t>
      </w:r>
      <w:r>
        <w:rPr>
          <w:rFonts w:cstheme="minorHAnsi"/>
          <w:sz w:val="22"/>
          <w:szCs w:val="22"/>
        </w:rPr>
        <w:t>e although d</w:t>
      </w:r>
      <w:r w:rsidR="00F45D92" w:rsidRPr="00F01411">
        <w:rPr>
          <w:rFonts w:cstheme="minorHAnsi"/>
          <w:sz w:val="22"/>
          <w:szCs w:val="22"/>
        </w:rPr>
        <w:t>irect measur</w:t>
      </w:r>
      <w:r w:rsidR="000A6CCA" w:rsidRPr="00F01411">
        <w:rPr>
          <w:rFonts w:cstheme="minorHAnsi"/>
          <w:sz w:val="22"/>
          <w:szCs w:val="22"/>
        </w:rPr>
        <w:t>ement of</w:t>
      </w:r>
      <w:r w:rsidR="00F45D92" w:rsidRPr="00F01411">
        <w:rPr>
          <w:rFonts w:cstheme="minorHAnsi"/>
          <w:sz w:val="22"/>
          <w:szCs w:val="22"/>
        </w:rPr>
        <w:t xml:space="preserve"> synovial fluid viscosity both before and after treatment </w:t>
      </w:r>
      <w:r w:rsidR="00EA3516" w:rsidRPr="00F01411">
        <w:rPr>
          <w:rFonts w:cstheme="minorHAnsi"/>
          <w:sz w:val="22"/>
          <w:szCs w:val="22"/>
        </w:rPr>
        <w:t>has been</w:t>
      </w:r>
      <w:r w:rsidR="00F45D92" w:rsidRPr="00F01411">
        <w:rPr>
          <w:rFonts w:cstheme="minorHAnsi"/>
          <w:sz w:val="22"/>
          <w:szCs w:val="22"/>
        </w:rPr>
        <w:t xml:space="preserve"> used in </w:t>
      </w:r>
      <w:r>
        <w:rPr>
          <w:rFonts w:cstheme="minorHAnsi"/>
          <w:sz w:val="22"/>
          <w:szCs w:val="22"/>
        </w:rPr>
        <w:t xml:space="preserve">a </w:t>
      </w:r>
      <w:r w:rsidR="00F45D92" w:rsidRPr="00F01411">
        <w:rPr>
          <w:rFonts w:cstheme="minorHAnsi"/>
          <w:sz w:val="22"/>
          <w:szCs w:val="22"/>
        </w:rPr>
        <w:t>recent</w:t>
      </w:r>
      <w:r>
        <w:rPr>
          <w:rFonts w:cstheme="minorHAnsi"/>
          <w:sz w:val="22"/>
          <w:szCs w:val="22"/>
        </w:rPr>
        <w:t>ly</w:t>
      </w:r>
      <w:r w:rsidR="000A6CCA" w:rsidRPr="00F01411">
        <w:rPr>
          <w:rFonts w:cstheme="minorHAnsi"/>
          <w:sz w:val="22"/>
          <w:szCs w:val="22"/>
        </w:rPr>
        <w:t xml:space="preserve"> published</w:t>
      </w:r>
      <w:r w:rsidR="00F45D92" w:rsidRPr="00F01411">
        <w:rPr>
          <w:rFonts w:cstheme="minorHAnsi"/>
          <w:sz w:val="22"/>
          <w:szCs w:val="22"/>
        </w:rPr>
        <w:t xml:space="preserve"> stud</w:t>
      </w:r>
      <w:r>
        <w:rPr>
          <w:rFonts w:cstheme="minorHAnsi"/>
          <w:sz w:val="22"/>
          <w:szCs w:val="22"/>
        </w:rPr>
        <w:t>y</w:t>
      </w:r>
      <w:r w:rsidR="00EA3516" w:rsidRPr="00F01411">
        <w:rPr>
          <w:rFonts w:cstheme="minorHAnsi"/>
          <w:sz w:val="22"/>
          <w:szCs w:val="22"/>
        </w:rPr>
        <w:t xml:space="preserve"> </w:t>
      </w:r>
      <w:r w:rsidR="000A6CCA" w:rsidRPr="00F01411">
        <w:rPr>
          <w:rFonts w:cstheme="minorHAnsi"/>
          <w:sz w:val="22"/>
          <w:szCs w:val="22"/>
        </w:rPr>
        <w:t xml:space="preserve">assessing the use </w:t>
      </w:r>
      <w:r w:rsidR="00EA3516" w:rsidRPr="00F01411">
        <w:rPr>
          <w:rFonts w:cstheme="minorHAnsi"/>
          <w:sz w:val="22"/>
          <w:szCs w:val="22"/>
        </w:rPr>
        <w:t xml:space="preserve">of </w:t>
      </w:r>
      <w:r w:rsidR="000A6CCA" w:rsidRPr="00F01411">
        <w:rPr>
          <w:rFonts w:cstheme="minorHAnsi"/>
          <w:sz w:val="22"/>
          <w:szCs w:val="22"/>
        </w:rPr>
        <w:t xml:space="preserve">equine mesenchymal </w:t>
      </w:r>
      <w:r w:rsidR="00EA3516" w:rsidRPr="00F01411">
        <w:rPr>
          <w:rFonts w:cstheme="minorHAnsi"/>
          <w:sz w:val="22"/>
          <w:szCs w:val="22"/>
        </w:rPr>
        <w:t>stem cells as a treatment for OA</w:t>
      </w:r>
      <w:r w:rsidR="00F45D92" w:rsidRPr="00F01411">
        <w:rPr>
          <w:rFonts w:cstheme="minorHAnsi"/>
          <w:sz w:val="22"/>
          <w:szCs w:val="22"/>
        </w:rPr>
        <w:t xml:space="preserve"> [2</w:t>
      </w:r>
      <w:r w:rsidR="00EA3516" w:rsidRPr="00F01411">
        <w:rPr>
          <w:rFonts w:cstheme="minorHAnsi"/>
          <w:sz w:val="22"/>
          <w:szCs w:val="22"/>
        </w:rPr>
        <w:t>9</w:t>
      </w:r>
      <w:r w:rsidR="00F45D92" w:rsidRPr="00F01411">
        <w:rPr>
          <w:rFonts w:cstheme="minorHAnsi"/>
          <w:sz w:val="22"/>
          <w:szCs w:val="22"/>
        </w:rPr>
        <w:t xml:space="preserve">]. </w:t>
      </w:r>
      <w:r>
        <w:rPr>
          <w:rFonts w:cstheme="minorHAnsi"/>
          <w:sz w:val="22"/>
          <w:szCs w:val="22"/>
        </w:rPr>
        <w:t>Other</w:t>
      </w:r>
      <w:r w:rsidRPr="00F01411">
        <w:rPr>
          <w:rFonts w:cstheme="minorHAnsi"/>
          <w:sz w:val="22"/>
          <w:szCs w:val="22"/>
        </w:rPr>
        <w:t xml:space="preserve"> </w:t>
      </w:r>
      <w:r w:rsidR="00F45D92" w:rsidRPr="00F01411">
        <w:rPr>
          <w:rFonts w:cstheme="minorHAnsi"/>
          <w:sz w:val="22"/>
          <w:szCs w:val="22"/>
        </w:rPr>
        <w:t>studies on TA and HA [18-19] have also investigated the quality of synovial fluid using laboratory parameters and histological examinations</w:t>
      </w:r>
      <w:r>
        <w:rPr>
          <w:rFonts w:cstheme="minorHAnsi"/>
          <w:sz w:val="22"/>
          <w:szCs w:val="22"/>
        </w:rPr>
        <w:t>.</w:t>
      </w:r>
      <w:r w:rsidR="00F45D92" w:rsidRPr="00F01411">
        <w:rPr>
          <w:rFonts w:cstheme="minorHAnsi"/>
          <w:sz w:val="22"/>
          <w:szCs w:val="22"/>
        </w:rPr>
        <w:t xml:space="preserve">  An</w:t>
      </w:r>
      <w:r w:rsidR="00F45D92" w:rsidRPr="00F01411">
        <w:rPr>
          <w:rFonts w:cstheme="minorHAnsi"/>
          <w:i/>
          <w:sz w:val="22"/>
          <w:szCs w:val="22"/>
        </w:rPr>
        <w:t xml:space="preserve"> antemortem</w:t>
      </w:r>
      <w:r w:rsidR="00F45D92" w:rsidRPr="00F01411">
        <w:rPr>
          <w:rFonts w:cstheme="minorHAnsi"/>
          <w:sz w:val="22"/>
          <w:szCs w:val="22"/>
        </w:rPr>
        <w:t xml:space="preserve"> synovial biopsy technique is now available for equine use in a non-clinical setting [</w:t>
      </w:r>
      <w:r w:rsidR="000A6CCA" w:rsidRPr="00F01411">
        <w:rPr>
          <w:rFonts w:cstheme="minorHAnsi"/>
          <w:sz w:val="22"/>
          <w:szCs w:val="22"/>
        </w:rPr>
        <w:t>30</w:t>
      </w:r>
      <w:r w:rsidR="00F45D92" w:rsidRPr="00F01411">
        <w:rPr>
          <w:rFonts w:cstheme="minorHAnsi"/>
          <w:sz w:val="22"/>
          <w:szCs w:val="22"/>
        </w:rPr>
        <w:t>]</w:t>
      </w:r>
      <w:r w:rsidDel="009D1231">
        <w:rPr>
          <w:rFonts w:cstheme="minorHAnsi"/>
          <w:sz w:val="22"/>
          <w:szCs w:val="22"/>
        </w:rPr>
        <w:t xml:space="preserve"> </w:t>
      </w:r>
      <w:r>
        <w:rPr>
          <w:rFonts w:cstheme="minorHAnsi"/>
          <w:sz w:val="22"/>
          <w:szCs w:val="22"/>
        </w:rPr>
        <w:t>. The authors suggest f</w:t>
      </w:r>
      <w:r w:rsidR="00F45D92" w:rsidRPr="00F01411">
        <w:rPr>
          <w:rFonts w:cstheme="minorHAnsi"/>
          <w:sz w:val="22"/>
          <w:szCs w:val="22"/>
        </w:rPr>
        <w:t xml:space="preserve">urther research </w:t>
      </w:r>
      <w:r>
        <w:rPr>
          <w:rFonts w:cstheme="minorHAnsi"/>
          <w:sz w:val="22"/>
          <w:szCs w:val="22"/>
        </w:rPr>
        <w:t>should</w:t>
      </w:r>
      <w:r w:rsidRPr="00F01411">
        <w:rPr>
          <w:rFonts w:cstheme="minorHAnsi"/>
          <w:sz w:val="22"/>
          <w:szCs w:val="22"/>
        </w:rPr>
        <w:t xml:space="preserve"> </w:t>
      </w:r>
      <w:r w:rsidR="00F45D92" w:rsidRPr="00F01411">
        <w:rPr>
          <w:rFonts w:cstheme="minorHAnsi"/>
          <w:sz w:val="22"/>
          <w:szCs w:val="22"/>
        </w:rPr>
        <w:t>include</w:t>
      </w:r>
      <w:r w:rsidR="006D3CE0" w:rsidRPr="00F01411">
        <w:rPr>
          <w:rFonts w:cstheme="minorHAnsi"/>
          <w:sz w:val="22"/>
          <w:szCs w:val="22"/>
        </w:rPr>
        <w:t xml:space="preserve"> both </w:t>
      </w:r>
      <w:r w:rsidR="00F45D92" w:rsidRPr="00F01411">
        <w:rPr>
          <w:rFonts w:cstheme="minorHAnsi"/>
          <w:sz w:val="22"/>
          <w:szCs w:val="22"/>
        </w:rPr>
        <w:t xml:space="preserve">synovial </w:t>
      </w:r>
      <w:r w:rsidR="006D3CE0" w:rsidRPr="00F01411">
        <w:rPr>
          <w:rFonts w:cstheme="minorHAnsi"/>
          <w:sz w:val="22"/>
          <w:szCs w:val="22"/>
        </w:rPr>
        <w:t xml:space="preserve">fluid viscosity </w:t>
      </w:r>
      <w:r>
        <w:rPr>
          <w:rFonts w:cstheme="minorHAnsi"/>
          <w:sz w:val="22"/>
          <w:szCs w:val="22"/>
        </w:rPr>
        <w:t xml:space="preserve">assessments </w:t>
      </w:r>
      <w:r w:rsidR="00F45D92" w:rsidRPr="00F01411">
        <w:rPr>
          <w:rFonts w:cstheme="minorHAnsi"/>
          <w:sz w:val="22"/>
          <w:szCs w:val="22"/>
        </w:rPr>
        <w:t xml:space="preserve">and </w:t>
      </w:r>
      <w:r w:rsidR="006D3CE0" w:rsidRPr="00F01411">
        <w:rPr>
          <w:rFonts w:cstheme="minorHAnsi"/>
          <w:sz w:val="22"/>
          <w:szCs w:val="22"/>
        </w:rPr>
        <w:t xml:space="preserve">synovial </w:t>
      </w:r>
      <w:r w:rsidR="00F45D92" w:rsidRPr="00F01411">
        <w:rPr>
          <w:rFonts w:cstheme="minorHAnsi"/>
          <w:sz w:val="22"/>
          <w:szCs w:val="22"/>
        </w:rPr>
        <w:t>biops</w:t>
      </w:r>
      <w:r w:rsidR="006D3CE0" w:rsidRPr="00F01411">
        <w:rPr>
          <w:rFonts w:cstheme="minorHAnsi"/>
          <w:sz w:val="22"/>
          <w:szCs w:val="22"/>
        </w:rPr>
        <w:t>ies</w:t>
      </w:r>
      <w:r>
        <w:rPr>
          <w:rFonts w:cstheme="minorHAnsi"/>
          <w:sz w:val="22"/>
          <w:szCs w:val="22"/>
        </w:rPr>
        <w:t>. These would also be useful to</w:t>
      </w:r>
      <w:r w:rsidRPr="0008629C">
        <w:rPr>
          <w:rFonts w:cstheme="minorHAnsi"/>
          <w:sz w:val="22"/>
          <w:szCs w:val="22"/>
        </w:rPr>
        <w:t xml:space="preserve"> </w:t>
      </w:r>
      <w:r w:rsidRPr="00F01411">
        <w:rPr>
          <w:rFonts w:cstheme="minorHAnsi"/>
          <w:sz w:val="22"/>
          <w:szCs w:val="22"/>
        </w:rPr>
        <w:t>investigat</w:t>
      </w:r>
      <w:r>
        <w:rPr>
          <w:rFonts w:cstheme="minorHAnsi"/>
          <w:sz w:val="22"/>
          <w:szCs w:val="22"/>
        </w:rPr>
        <w:t>e any</w:t>
      </w:r>
      <w:r w:rsidRPr="00F01411">
        <w:rPr>
          <w:rFonts w:cstheme="minorHAnsi"/>
          <w:sz w:val="22"/>
          <w:szCs w:val="22"/>
        </w:rPr>
        <w:t xml:space="preserve"> potential disease-modifying effects of </w:t>
      </w:r>
      <w:r>
        <w:rPr>
          <w:rFonts w:cstheme="minorHAnsi"/>
          <w:sz w:val="22"/>
          <w:szCs w:val="22"/>
        </w:rPr>
        <w:t xml:space="preserve">the </w:t>
      </w:r>
      <w:r w:rsidRPr="00F01411">
        <w:rPr>
          <w:rFonts w:cstheme="minorHAnsi"/>
          <w:sz w:val="22"/>
          <w:szCs w:val="22"/>
        </w:rPr>
        <w:t>2.5% PAAG</w:t>
      </w:r>
      <w:r>
        <w:rPr>
          <w:rFonts w:cstheme="minorHAnsi"/>
          <w:sz w:val="22"/>
          <w:szCs w:val="22"/>
        </w:rPr>
        <w:t xml:space="preserve">. </w:t>
      </w:r>
      <w:r w:rsidR="0008629C">
        <w:rPr>
          <w:rFonts w:cstheme="minorHAnsi"/>
          <w:sz w:val="22"/>
          <w:szCs w:val="22"/>
        </w:rPr>
        <w:t xml:space="preserve"> </w:t>
      </w:r>
    </w:p>
    <w:p w14:paraId="2D357E24" w14:textId="77777777" w:rsidR="00F1045B" w:rsidRPr="00F01411" w:rsidRDefault="00F1045B" w:rsidP="003232A4">
      <w:pPr>
        <w:spacing w:line="480" w:lineRule="auto"/>
        <w:rPr>
          <w:rFonts w:cstheme="minorHAnsi"/>
          <w:sz w:val="22"/>
          <w:szCs w:val="22"/>
        </w:rPr>
      </w:pPr>
    </w:p>
    <w:p w14:paraId="25EEE07A" w14:textId="2E42AF89" w:rsidR="00B50FB7" w:rsidRPr="00F01411" w:rsidRDefault="00F45D92" w:rsidP="003232A4">
      <w:pPr>
        <w:spacing w:line="480" w:lineRule="auto"/>
        <w:rPr>
          <w:rFonts w:cstheme="minorHAnsi"/>
          <w:sz w:val="22"/>
          <w:szCs w:val="22"/>
        </w:rPr>
      </w:pPr>
      <w:r w:rsidRPr="00F01411">
        <w:rPr>
          <w:rFonts w:cstheme="minorHAnsi"/>
          <w:sz w:val="22"/>
          <w:szCs w:val="22"/>
        </w:rPr>
        <w:t xml:space="preserve">Quantifying radiographic pathology to ensure a lack of bias across treatment groups was difficult. No standardised radiographic scoring system was available to the authors’ knowledge so one was constructed </w:t>
      </w:r>
      <w:r w:rsidR="00174844" w:rsidRPr="00F01411">
        <w:rPr>
          <w:rFonts w:cstheme="minorHAnsi"/>
          <w:sz w:val="22"/>
          <w:szCs w:val="22"/>
        </w:rPr>
        <w:t xml:space="preserve">post hoc </w:t>
      </w:r>
      <w:r w:rsidRPr="00F01411">
        <w:rPr>
          <w:rFonts w:cstheme="minorHAnsi"/>
          <w:sz w:val="22"/>
          <w:szCs w:val="22"/>
        </w:rPr>
        <w:t>for t</w:t>
      </w:r>
      <w:r w:rsidR="00B527FE" w:rsidRPr="00F01411">
        <w:rPr>
          <w:rFonts w:cstheme="minorHAnsi"/>
          <w:sz w:val="22"/>
          <w:szCs w:val="22"/>
        </w:rPr>
        <w:t>h</w:t>
      </w:r>
      <w:r w:rsidR="00174844" w:rsidRPr="00F01411">
        <w:rPr>
          <w:rFonts w:cstheme="minorHAnsi"/>
          <w:sz w:val="22"/>
          <w:szCs w:val="22"/>
        </w:rPr>
        <w:t>e</w:t>
      </w:r>
      <w:r w:rsidRPr="00F01411">
        <w:rPr>
          <w:rFonts w:cstheme="minorHAnsi"/>
          <w:sz w:val="22"/>
          <w:szCs w:val="22"/>
        </w:rPr>
        <w:t xml:space="preserve"> purpose</w:t>
      </w:r>
      <w:r w:rsidR="00174844" w:rsidRPr="00F01411">
        <w:rPr>
          <w:rFonts w:cstheme="minorHAnsi"/>
          <w:sz w:val="22"/>
          <w:szCs w:val="22"/>
        </w:rPr>
        <w:t xml:space="preserve"> of </w:t>
      </w:r>
      <w:r w:rsidR="00283F2E" w:rsidRPr="00F01411">
        <w:rPr>
          <w:rFonts w:cstheme="minorHAnsi"/>
          <w:sz w:val="22"/>
          <w:szCs w:val="22"/>
        </w:rPr>
        <w:t>this study</w:t>
      </w:r>
      <w:r w:rsidR="00F63D3E" w:rsidRPr="00F01411">
        <w:rPr>
          <w:rFonts w:cstheme="minorHAnsi"/>
          <w:sz w:val="22"/>
          <w:szCs w:val="22"/>
        </w:rPr>
        <w:t>. M</w:t>
      </w:r>
      <w:r w:rsidR="00B527FE" w:rsidRPr="00F01411">
        <w:rPr>
          <w:rFonts w:cstheme="minorHAnsi"/>
          <w:sz w:val="22"/>
          <w:szCs w:val="22"/>
        </w:rPr>
        <w:t xml:space="preserve">ost cases had none </w:t>
      </w:r>
      <w:r w:rsidR="00F63D3E" w:rsidRPr="00F01411">
        <w:rPr>
          <w:rFonts w:cstheme="minorHAnsi"/>
          <w:sz w:val="22"/>
          <w:szCs w:val="22"/>
        </w:rPr>
        <w:t>(1</w:t>
      </w:r>
      <w:r w:rsidR="00E00373" w:rsidRPr="00F01411">
        <w:rPr>
          <w:rFonts w:cstheme="minorHAnsi"/>
          <w:sz w:val="22"/>
          <w:szCs w:val="22"/>
        </w:rPr>
        <w:t>9</w:t>
      </w:r>
      <w:r w:rsidR="00F63D3E" w:rsidRPr="00F01411">
        <w:rPr>
          <w:rFonts w:cstheme="minorHAnsi"/>
          <w:sz w:val="22"/>
          <w:szCs w:val="22"/>
        </w:rPr>
        <w:t xml:space="preserve">/33) </w:t>
      </w:r>
      <w:r w:rsidR="00B527FE" w:rsidRPr="00F01411">
        <w:rPr>
          <w:rFonts w:cstheme="minorHAnsi"/>
          <w:sz w:val="22"/>
          <w:szCs w:val="22"/>
        </w:rPr>
        <w:t xml:space="preserve">or only mild </w:t>
      </w:r>
      <w:r w:rsidR="00F63D3E" w:rsidRPr="00F01411">
        <w:rPr>
          <w:rFonts w:cstheme="minorHAnsi"/>
          <w:sz w:val="22"/>
          <w:szCs w:val="22"/>
        </w:rPr>
        <w:t>(1</w:t>
      </w:r>
      <w:r w:rsidR="00174844" w:rsidRPr="00F01411">
        <w:rPr>
          <w:rFonts w:cstheme="minorHAnsi"/>
          <w:sz w:val="22"/>
          <w:szCs w:val="22"/>
        </w:rPr>
        <w:t>2</w:t>
      </w:r>
      <w:r w:rsidR="00F63D3E" w:rsidRPr="00F01411">
        <w:rPr>
          <w:rFonts w:cstheme="minorHAnsi"/>
          <w:sz w:val="22"/>
          <w:szCs w:val="22"/>
        </w:rPr>
        <w:t xml:space="preserve">/33) </w:t>
      </w:r>
      <w:r w:rsidR="002727CB" w:rsidRPr="00F01411">
        <w:rPr>
          <w:rFonts w:cstheme="minorHAnsi"/>
          <w:sz w:val="22"/>
          <w:szCs w:val="22"/>
        </w:rPr>
        <w:t xml:space="preserve">radiographic </w:t>
      </w:r>
      <w:r w:rsidR="00B527FE" w:rsidRPr="00F01411">
        <w:rPr>
          <w:rFonts w:cstheme="minorHAnsi"/>
          <w:sz w:val="22"/>
          <w:szCs w:val="22"/>
        </w:rPr>
        <w:t>changes</w:t>
      </w:r>
      <w:r w:rsidR="002727CB" w:rsidRPr="00F01411">
        <w:rPr>
          <w:rFonts w:cstheme="minorHAnsi"/>
          <w:sz w:val="22"/>
          <w:szCs w:val="22"/>
        </w:rPr>
        <w:t xml:space="preserve"> </w:t>
      </w:r>
      <w:r w:rsidR="00DB7F96" w:rsidRPr="00F01411">
        <w:rPr>
          <w:rFonts w:cstheme="minorHAnsi"/>
          <w:sz w:val="22"/>
          <w:szCs w:val="22"/>
        </w:rPr>
        <w:t>indicative of repetitive exercise-induced trauma to the cartilage and subchondral bone plate associated or not with secondary osteoarthritic changes</w:t>
      </w:r>
      <w:r w:rsidRPr="00F01411">
        <w:rPr>
          <w:rFonts w:cstheme="minorHAnsi"/>
          <w:sz w:val="22"/>
          <w:szCs w:val="22"/>
        </w:rPr>
        <w:t xml:space="preserve">. </w:t>
      </w:r>
      <w:r w:rsidR="002727CB" w:rsidRPr="00F01411">
        <w:rPr>
          <w:rFonts w:cstheme="minorHAnsi"/>
          <w:sz w:val="22"/>
          <w:szCs w:val="22"/>
        </w:rPr>
        <w:t>Although</w:t>
      </w:r>
      <w:r w:rsidR="00B527FE" w:rsidRPr="00F01411">
        <w:rPr>
          <w:rFonts w:cstheme="minorHAnsi"/>
          <w:sz w:val="22"/>
          <w:szCs w:val="22"/>
        </w:rPr>
        <w:t xml:space="preserve"> potential bias </w:t>
      </w:r>
      <w:r w:rsidR="00174844" w:rsidRPr="00F01411">
        <w:rPr>
          <w:rFonts w:cstheme="minorHAnsi"/>
          <w:sz w:val="22"/>
          <w:szCs w:val="22"/>
        </w:rPr>
        <w:t xml:space="preserve">between groups </w:t>
      </w:r>
      <w:r w:rsidR="000F77AF" w:rsidRPr="00F01411">
        <w:rPr>
          <w:rFonts w:cstheme="minorHAnsi"/>
          <w:sz w:val="22"/>
          <w:szCs w:val="22"/>
        </w:rPr>
        <w:t>may have been</w:t>
      </w:r>
      <w:r w:rsidRPr="00F01411">
        <w:rPr>
          <w:rFonts w:cstheme="minorHAnsi"/>
          <w:sz w:val="22"/>
          <w:szCs w:val="22"/>
        </w:rPr>
        <w:t xml:space="preserve"> m</w:t>
      </w:r>
      <w:r w:rsidR="00B527FE" w:rsidRPr="00F01411">
        <w:rPr>
          <w:rFonts w:cstheme="minorHAnsi"/>
          <w:sz w:val="22"/>
          <w:szCs w:val="22"/>
        </w:rPr>
        <w:t>itigated</w:t>
      </w:r>
      <w:r w:rsidRPr="00F01411">
        <w:rPr>
          <w:rFonts w:cstheme="minorHAnsi"/>
          <w:sz w:val="22"/>
          <w:szCs w:val="22"/>
        </w:rPr>
        <w:t xml:space="preserve"> by </w:t>
      </w:r>
      <w:r w:rsidR="002727CB" w:rsidRPr="00F01411">
        <w:rPr>
          <w:rFonts w:cstheme="minorHAnsi"/>
          <w:sz w:val="22"/>
          <w:szCs w:val="22"/>
        </w:rPr>
        <w:t xml:space="preserve">blinding and </w:t>
      </w:r>
      <w:r w:rsidRPr="00F01411">
        <w:rPr>
          <w:rFonts w:cstheme="minorHAnsi"/>
          <w:sz w:val="22"/>
          <w:szCs w:val="22"/>
        </w:rPr>
        <w:t xml:space="preserve">randomisation </w:t>
      </w:r>
      <w:r w:rsidR="000F77AF" w:rsidRPr="00F01411">
        <w:rPr>
          <w:rFonts w:cstheme="minorHAnsi"/>
          <w:sz w:val="22"/>
          <w:szCs w:val="22"/>
        </w:rPr>
        <w:t>and</w:t>
      </w:r>
      <w:r w:rsidR="00130AF5" w:rsidRPr="00F01411">
        <w:rPr>
          <w:rFonts w:cstheme="minorHAnsi"/>
          <w:sz w:val="22"/>
          <w:szCs w:val="22"/>
        </w:rPr>
        <w:t>,</w:t>
      </w:r>
      <w:r w:rsidRPr="00F01411">
        <w:rPr>
          <w:rFonts w:cstheme="minorHAnsi"/>
          <w:sz w:val="22"/>
          <w:szCs w:val="22"/>
        </w:rPr>
        <w:t xml:space="preserve"> </w:t>
      </w:r>
      <w:r w:rsidR="002727CB" w:rsidRPr="00F01411">
        <w:rPr>
          <w:rFonts w:cstheme="minorHAnsi"/>
          <w:sz w:val="22"/>
          <w:szCs w:val="22"/>
        </w:rPr>
        <w:t>considering</w:t>
      </w:r>
      <w:r w:rsidRPr="00F01411">
        <w:rPr>
          <w:rFonts w:cstheme="minorHAnsi"/>
          <w:sz w:val="22"/>
          <w:szCs w:val="22"/>
        </w:rPr>
        <w:t xml:space="preserve"> no statistically significant difference was noted </w:t>
      </w:r>
      <w:r w:rsidR="002727CB" w:rsidRPr="00F01411">
        <w:rPr>
          <w:rFonts w:cstheme="minorHAnsi"/>
          <w:sz w:val="22"/>
          <w:szCs w:val="22"/>
        </w:rPr>
        <w:t xml:space="preserve">between groups </w:t>
      </w:r>
      <w:r w:rsidRPr="00F01411">
        <w:rPr>
          <w:rFonts w:cstheme="minorHAnsi"/>
          <w:sz w:val="22"/>
          <w:szCs w:val="22"/>
        </w:rPr>
        <w:t>at enrolment</w:t>
      </w:r>
      <w:r w:rsidR="000F77AF" w:rsidRPr="00F01411">
        <w:rPr>
          <w:rFonts w:cstheme="minorHAnsi"/>
          <w:sz w:val="22"/>
          <w:szCs w:val="22"/>
        </w:rPr>
        <w:t xml:space="preserve">, </w:t>
      </w:r>
      <w:r w:rsidR="002727CB" w:rsidRPr="00F01411">
        <w:rPr>
          <w:rFonts w:cstheme="minorHAnsi"/>
          <w:sz w:val="22"/>
          <w:szCs w:val="22"/>
        </w:rPr>
        <w:t xml:space="preserve">this may have been </w:t>
      </w:r>
      <w:r w:rsidR="000F77AF" w:rsidRPr="00F01411">
        <w:rPr>
          <w:rFonts w:cstheme="minorHAnsi"/>
          <w:sz w:val="22"/>
          <w:szCs w:val="22"/>
        </w:rPr>
        <w:t>due to the relatively low numbers</w:t>
      </w:r>
      <w:r w:rsidR="002727CB" w:rsidRPr="00F01411">
        <w:rPr>
          <w:rFonts w:cstheme="minorHAnsi"/>
          <w:sz w:val="22"/>
          <w:szCs w:val="22"/>
        </w:rPr>
        <w:t xml:space="preserve"> in the study. T</w:t>
      </w:r>
      <w:r w:rsidRPr="00F01411">
        <w:rPr>
          <w:rFonts w:cstheme="minorHAnsi"/>
          <w:sz w:val="22"/>
          <w:szCs w:val="22"/>
        </w:rPr>
        <w:t xml:space="preserve">he TA treated group did have a slightly </w:t>
      </w:r>
      <w:r w:rsidR="00E00373" w:rsidRPr="00F01411">
        <w:rPr>
          <w:rFonts w:cstheme="minorHAnsi"/>
          <w:sz w:val="22"/>
          <w:szCs w:val="22"/>
        </w:rPr>
        <w:t>lower</w:t>
      </w:r>
      <w:r w:rsidR="00DB7F96" w:rsidRPr="00F01411">
        <w:rPr>
          <w:rFonts w:cstheme="minorHAnsi"/>
          <w:sz w:val="22"/>
          <w:szCs w:val="22"/>
        </w:rPr>
        <w:t>, although not statistically significant,</w:t>
      </w:r>
      <w:r w:rsidRPr="00F01411">
        <w:rPr>
          <w:rFonts w:cstheme="minorHAnsi"/>
          <w:sz w:val="22"/>
          <w:szCs w:val="22"/>
        </w:rPr>
        <w:t xml:space="preserve"> </w:t>
      </w:r>
      <w:r w:rsidR="00DB7F96" w:rsidRPr="00F01411">
        <w:rPr>
          <w:rFonts w:cstheme="minorHAnsi"/>
          <w:sz w:val="22"/>
          <w:szCs w:val="22"/>
        </w:rPr>
        <w:t xml:space="preserve">radiographic grade </w:t>
      </w:r>
      <w:r w:rsidRPr="00F01411">
        <w:rPr>
          <w:rFonts w:cstheme="minorHAnsi"/>
          <w:sz w:val="22"/>
          <w:szCs w:val="22"/>
        </w:rPr>
        <w:t xml:space="preserve">mean </w:t>
      </w:r>
      <w:r w:rsidR="000F77AF" w:rsidRPr="00F01411">
        <w:rPr>
          <w:rFonts w:cstheme="minorHAnsi"/>
          <w:sz w:val="22"/>
          <w:szCs w:val="22"/>
        </w:rPr>
        <w:t>(0.</w:t>
      </w:r>
      <w:r w:rsidR="00E00373" w:rsidRPr="00F01411">
        <w:rPr>
          <w:rFonts w:cstheme="minorHAnsi"/>
          <w:sz w:val="22"/>
          <w:szCs w:val="22"/>
        </w:rPr>
        <w:t>36</w:t>
      </w:r>
      <w:r w:rsidR="000F77AF" w:rsidRPr="00F01411">
        <w:rPr>
          <w:rFonts w:cstheme="minorHAnsi"/>
          <w:sz w:val="22"/>
          <w:szCs w:val="22"/>
        </w:rPr>
        <w:t xml:space="preserve">) </w:t>
      </w:r>
      <w:r w:rsidRPr="00F01411">
        <w:rPr>
          <w:rFonts w:cstheme="minorHAnsi"/>
          <w:sz w:val="22"/>
          <w:szCs w:val="22"/>
        </w:rPr>
        <w:t xml:space="preserve">compared to the </w:t>
      </w:r>
      <w:r w:rsidR="00DB7F96" w:rsidRPr="00F01411">
        <w:rPr>
          <w:rFonts w:cstheme="minorHAnsi"/>
          <w:sz w:val="22"/>
          <w:szCs w:val="22"/>
        </w:rPr>
        <w:t>2.5% PAAG</w:t>
      </w:r>
      <w:r w:rsidRPr="00F01411">
        <w:rPr>
          <w:rFonts w:cstheme="minorHAnsi"/>
          <w:sz w:val="22"/>
          <w:szCs w:val="22"/>
        </w:rPr>
        <w:t xml:space="preserve"> </w:t>
      </w:r>
      <w:r w:rsidR="000F77AF" w:rsidRPr="00F01411">
        <w:rPr>
          <w:rFonts w:cstheme="minorHAnsi"/>
          <w:sz w:val="22"/>
          <w:szCs w:val="22"/>
        </w:rPr>
        <w:t xml:space="preserve">(0.5) </w:t>
      </w:r>
      <w:r w:rsidRPr="00F01411">
        <w:rPr>
          <w:rFonts w:cstheme="minorHAnsi"/>
          <w:sz w:val="22"/>
          <w:szCs w:val="22"/>
        </w:rPr>
        <w:t>and HA</w:t>
      </w:r>
      <w:r w:rsidR="000F77AF" w:rsidRPr="00F01411">
        <w:rPr>
          <w:rFonts w:cstheme="minorHAnsi"/>
          <w:sz w:val="22"/>
          <w:szCs w:val="22"/>
        </w:rPr>
        <w:t xml:space="preserve"> (0.6)</w:t>
      </w:r>
      <w:r w:rsidRPr="00F01411">
        <w:rPr>
          <w:rFonts w:cstheme="minorHAnsi"/>
          <w:sz w:val="22"/>
          <w:szCs w:val="22"/>
        </w:rPr>
        <w:t xml:space="preserve"> treated groups</w:t>
      </w:r>
      <w:r w:rsidR="00E00373" w:rsidRPr="00F01411">
        <w:rPr>
          <w:rFonts w:cstheme="minorHAnsi"/>
          <w:sz w:val="22"/>
          <w:szCs w:val="22"/>
        </w:rPr>
        <w:t xml:space="preserve">. </w:t>
      </w:r>
      <w:r w:rsidR="002727CB" w:rsidRPr="00F01411">
        <w:rPr>
          <w:rFonts w:cstheme="minorHAnsi"/>
          <w:sz w:val="22"/>
          <w:szCs w:val="22"/>
        </w:rPr>
        <w:t>This</w:t>
      </w:r>
      <w:r w:rsidR="000A6CCA" w:rsidRPr="00F01411">
        <w:rPr>
          <w:rFonts w:cstheme="minorHAnsi"/>
          <w:sz w:val="22"/>
          <w:szCs w:val="22"/>
        </w:rPr>
        <w:t xml:space="preserve"> </w:t>
      </w:r>
      <w:r w:rsidR="00DB7F96" w:rsidRPr="00F01411">
        <w:rPr>
          <w:rFonts w:cstheme="minorHAnsi"/>
          <w:sz w:val="22"/>
          <w:szCs w:val="22"/>
        </w:rPr>
        <w:t xml:space="preserve">random allocation </w:t>
      </w:r>
      <w:r w:rsidR="000A6CCA" w:rsidRPr="00F01411">
        <w:rPr>
          <w:rFonts w:cstheme="minorHAnsi"/>
          <w:sz w:val="22"/>
          <w:szCs w:val="22"/>
        </w:rPr>
        <w:t>could potentially have impacted</w:t>
      </w:r>
      <w:r w:rsidR="000F77AF" w:rsidRPr="00F01411">
        <w:rPr>
          <w:rFonts w:cstheme="minorHAnsi"/>
          <w:sz w:val="22"/>
          <w:szCs w:val="22"/>
        </w:rPr>
        <w:t xml:space="preserve"> </w:t>
      </w:r>
      <w:r w:rsidR="00DB7F96" w:rsidRPr="00F01411">
        <w:rPr>
          <w:rFonts w:cstheme="minorHAnsi"/>
          <w:sz w:val="22"/>
          <w:szCs w:val="22"/>
        </w:rPr>
        <w:t xml:space="preserve">the </w:t>
      </w:r>
      <w:r w:rsidR="00283F2E" w:rsidRPr="00F01411">
        <w:rPr>
          <w:rFonts w:cstheme="minorHAnsi"/>
          <w:sz w:val="22"/>
          <w:szCs w:val="22"/>
        </w:rPr>
        <w:t>results</w:t>
      </w:r>
      <w:r w:rsidR="00DB7F96" w:rsidRPr="00F01411">
        <w:rPr>
          <w:rFonts w:cstheme="minorHAnsi"/>
          <w:sz w:val="22"/>
          <w:szCs w:val="22"/>
        </w:rPr>
        <w:t>. Hence, we ensured using several appropriate statistical tests</w:t>
      </w:r>
      <w:r w:rsidR="009D1231">
        <w:rPr>
          <w:rFonts w:cstheme="minorHAnsi"/>
          <w:sz w:val="22"/>
          <w:szCs w:val="22"/>
        </w:rPr>
        <w:t xml:space="preserve"> (see materials and methods)</w:t>
      </w:r>
      <w:r w:rsidR="00AF3261" w:rsidRPr="00F01411">
        <w:rPr>
          <w:rFonts w:cstheme="minorHAnsi"/>
          <w:sz w:val="22"/>
          <w:szCs w:val="22"/>
        </w:rPr>
        <w:t>,</w:t>
      </w:r>
      <w:r w:rsidR="00DB7F96" w:rsidRPr="00F01411">
        <w:rPr>
          <w:rFonts w:cstheme="minorHAnsi"/>
          <w:sz w:val="22"/>
          <w:szCs w:val="22"/>
        </w:rPr>
        <w:t xml:space="preserve"> there was no reason to believe the small variations recorded between treatment groups on admission could </w:t>
      </w:r>
      <w:r w:rsidR="00BB159C" w:rsidRPr="00F01411">
        <w:rPr>
          <w:rFonts w:cstheme="minorHAnsi"/>
          <w:sz w:val="22"/>
          <w:szCs w:val="22"/>
        </w:rPr>
        <w:t>affect</w:t>
      </w:r>
      <w:r w:rsidR="00DB7F96" w:rsidRPr="00F01411">
        <w:rPr>
          <w:rFonts w:cstheme="minorHAnsi"/>
          <w:sz w:val="22"/>
          <w:szCs w:val="22"/>
        </w:rPr>
        <w:t xml:space="preserve"> the treatment outcome. T</w:t>
      </w:r>
      <w:r w:rsidR="002727CB" w:rsidRPr="00F01411">
        <w:rPr>
          <w:rFonts w:cstheme="minorHAnsi"/>
          <w:sz w:val="22"/>
          <w:szCs w:val="22"/>
        </w:rPr>
        <w:t>he radiographs accurately reflected the population of horses typical</w:t>
      </w:r>
      <w:r w:rsidR="00DB7F96" w:rsidRPr="00F01411">
        <w:rPr>
          <w:rFonts w:cstheme="minorHAnsi"/>
          <w:sz w:val="22"/>
          <w:szCs w:val="22"/>
        </w:rPr>
        <w:t xml:space="preserve">ly seen </w:t>
      </w:r>
      <w:r w:rsidR="002727CB" w:rsidRPr="00F01411">
        <w:rPr>
          <w:rFonts w:cstheme="minorHAnsi"/>
          <w:sz w:val="22"/>
          <w:szCs w:val="22"/>
        </w:rPr>
        <w:t xml:space="preserve">in the </w:t>
      </w:r>
      <w:r w:rsidR="002727CB" w:rsidRPr="00F01411">
        <w:rPr>
          <w:rFonts w:cstheme="minorHAnsi"/>
          <w:sz w:val="22"/>
          <w:szCs w:val="22"/>
        </w:rPr>
        <w:lastRenderedPageBreak/>
        <w:t>racing environment where the study took place</w:t>
      </w:r>
      <w:r w:rsidR="00283F2E" w:rsidRPr="00F01411">
        <w:rPr>
          <w:rFonts w:cstheme="minorHAnsi"/>
          <w:sz w:val="22"/>
          <w:szCs w:val="22"/>
        </w:rPr>
        <w:t xml:space="preserve"> and</w:t>
      </w:r>
      <w:r w:rsidR="00F1045B" w:rsidRPr="00F01411">
        <w:rPr>
          <w:rFonts w:cstheme="minorHAnsi"/>
          <w:sz w:val="22"/>
          <w:szCs w:val="22"/>
        </w:rPr>
        <w:t>,</w:t>
      </w:r>
      <w:r w:rsidR="00283F2E" w:rsidRPr="00F01411">
        <w:rPr>
          <w:rFonts w:cstheme="minorHAnsi"/>
          <w:sz w:val="22"/>
          <w:szCs w:val="22"/>
        </w:rPr>
        <w:t xml:space="preserve"> t</w:t>
      </w:r>
      <w:r w:rsidR="000F77AF" w:rsidRPr="00F01411">
        <w:rPr>
          <w:rFonts w:cstheme="minorHAnsi"/>
          <w:sz w:val="22"/>
          <w:szCs w:val="22"/>
        </w:rPr>
        <w:t>he relative insensitivity of radiographs to detect early and small changes in early naturally occurring disease [12] and</w:t>
      </w:r>
      <w:r w:rsidR="00130AF5" w:rsidRPr="00F01411">
        <w:rPr>
          <w:rFonts w:cstheme="minorHAnsi"/>
          <w:sz w:val="22"/>
          <w:szCs w:val="22"/>
        </w:rPr>
        <w:t xml:space="preserve"> </w:t>
      </w:r>
      <w:r w:rsidR="000F77AF" w:rsidRPr="00F01411">
        <w:rPr>
          <w:rFonts w:cstheme="minorHAnsi"/>
          <w:sz w:val="22"/>
          <w:szCs w:val="22"/>
        </w:rPr>
        <w:t xml:space="preserve">the slow progression of OA </w:t>
      </w:r>
      <w:r w:rsidR="00E81A33">
        <w:rPr>
          <w:rFonts w:cstheme="minorHAnsi"/>
          <w:sz w:val="22"/>
          <w:szCs w:val="22"/>
        </w:rPr>
        <w:t>are</w:t>
      </w:r>
      <w:r w:rsidR="00E81A33" w:rsidRPr="00F01411">
        <w:rPr>
          <w:rFonts w:cstheme="minorHAnsi"/>
          <w:sz w:val="22"/>
          <w:szCs w:val="22"/>
        </w:rPr>
        <w:t xml:space="preserve"> </w:t>
      </w:r>
      <w:r w:rsidR="00283F2E" w:rsidRPr="00F01411">
        <w:rPr>
          <w:rFonts w:cstheme="minorHAnsi"/>
          <w:sz w:val="22"/>
          <w:szCs w:val="22"/>
        </w:rPr>
        <w:t xml:space="preserve">known to be </w:t>
      </w:r>
      <w:r w:rsidR="002727CB" w:rsidRPr="00F01411">
        <w:rPr>
          <w:rFonts w:cstheme="minorHAnsi"/>
          <w:sz w:val="22"/>
          <w:szCs w:val="22"/>
        </w:rPr>
        <w:t>problem</w:t>
      </w:r>
      <w:r w:rsidR="00283F2E" w:rsidRPr="00F01411">
        <w:rPr>
          <w:rFonts w:cstheme="minorHAnsi"/>
          <w:sz w:val="22"/>
          <w:szCs w:val="22"/>
        </w:rPr>
        <w:t>atic</w:t>
      </w:r>
      <w:r w:rsidR="000F77AF" w:rsidRPr="00F01411">
        <w:rPr>
          <w:rFonts w:cstheme="minorHAnsi"/>
          <w:sz w:val="22"/>
          <w:szCs w:val="22"/>
        </w:rPr>
        <w:t xml:space="preserve"> in clinical trials [7]. </w:t>
      </w:r>
    </w:p>
    <w:p w14:paraId="297BCF9F" w14:textId="77777777" w:rsidR="00130AF5" w:rsidRPr="00F01411" w:rsidRDefault="00130AF5" w:rsidP="003232A4">
      <w:pPr>
        <w:spacing w:line="480" w:lineRule="auto"/>
        <w:rPr>
          <w:rFonts w:cstheme="minorHAnsi"/>
          <w:sz w:val="22"/>
          <w:szCs w:val="22"/>
          <w:highlight w:val="yellow"/>
        </w:rPr>
      </w:pPr>
    </w:p>
    <w:p w14:paraId="58690210" w14:textId="6F892DB3" w:rsidR="00B50FB7" w:rsidRPr="00F01411" w:rsidRDefault="00F45D92" w:rsidP="003232A4">
      <w:pPr>
        <w:spacing w:line="480" w:lineRule="auto"/>
        <w:rPr>
          <w:rFonts w:cstheme="minorHAnsi"/>
          <w:sz w:val="22"/>
          <w:szCs w:val="22"/>
          <w:lang w:val="en-NZ"/>
        </w:rPr>
      </w:pPr>
      <w:r w:rsidRPr="00F01411">
        <w:rPr>
          <w:rFonts w:cstheme="minorHAnsi"/>
          <w:sz w:val="22"/>
          <w:szCs w:val="22"/>
        </w:rPr>
        <w:t xml:space="preserve">In the case of none or mild radiographic findings with a positive result to intra-articular anaesthesia, synovitis/ capsulitis was the most likely differential diagnosis. Acute synovitis and capsulitis </w:t>
      </w:r>
      <w:r w:rsidR="00130AF5" w:rsidRPr="00F01411">
        <w:rPr>
          <w:rFonts w:cstheme="minorHAnsi"/>
          <w:sz w:val="22"/>
          <w:szCs w:val="22"/>
        </w:rPr>
        <w:t>are</w:t>
      </w:r>
      <w:r w:rsidRPr="00F01411">
        <w:rPr>
          <w:rFonts w:cstheme="minorHAnsi"/>
          <w:sz w:val="22"/>
          <w:szCs w:val="22"/>
        </w:rPr>
        <w:t xml:space="preserve"> now recognised as the most common problem in equine athletes' high motion joints and contribute to the degradative process in articular cartilage by releasing </w:t>
      </w:r>
      <w:r w:rsidR="00F1045B" w:rsidRPr="00F01411">
        <w:rPr>
          <w:rFonts w:cstheme="minorHAnsi"/>
          <w:sz w:val="22"/>
          <w:szCs w:val="22"/>
        </w:rPr>
        <w:t xml:space="preserve">catabolic </w:t>
      </w:r>
      <w:r w:rsidRPr="00F01411">
        <w:rPr>
          <w:rFonts w:cstheme="minorHAnsi"/>
          <w:sz w:val="22"/>
          <w:szCs w:val="22"/>
        </w:rPr>
        <w:t xml:space="preserve">enzymes, inflammatory mediators, and cytokines [15]. The fact that 2.5% PAAG was superior to conventional treatment groups with relatively low numbers and in early-stage naturally occurring OA appears to offer clinicians a valuable alternative to managing cases proactively and earlier on in the disease process.  Any attempt to modify the degradative cycle of equine OA </w:t>
      </w:r>
      <w:r w:rsidR="00283F2E" w:rsidRPr="00F01411">
        <w:rPr>
          <w:rFonts w:cstheme="minorHAnsi"/>
          <w:sz w:val="22"/>
          <w:szCs w:val="22"/>
        </w:rPr>
        <w:t>early on</w:t>
      </w:r>
      <w:r w:rsidR="00DB7F96" w:rsidRPr="00F01411">
        <w:rPr>
          <w:rFonts w:cstheme="minorHAnsi"/>
          <w:sz w:val="22"/>
          <w:szCs w:val="22"/>
        </w:rPr>
        <w:t>,</w:t>
      </w:r>
      <w:r w:rsidR="00283F2E" w:rsidRPr="00F01411">
        <w:rPr>
          <w:rFonts w:cstheme="minorHAnsi"/>
          <w:sz w:val="22"/>
          <w:szCs w:val="22"/>
        </w:rPr>
        <w:t xml:space="preserve"> and </w:t>
      </w:r>
      <w:r w:rsidRPr="00F01411">
        <w:rPr>
          <w:rFonts w:cstheme="minorHAnsi"/>
          <w:sz w:val="22"/>
          <w:szCs w:val="22"/>
        </w:rPr>
        <w:t xml:space="preserve">without the </w:t>
      </w:r>
      <w:r w:rsidR="00283F2E" w:rsidRPr="00F01411">
        <w:rPr>
          <w:rFonts w:cstheme="minorHAnsi"/>
          <w:sz w:val="22"/>
          <w:szCs w:val="22"/>
        </w:rPr>
        <w:t xml:space="preserve">possible </w:t>
      </w:r>
      <w:r w:rsidRPr="00F01411">
        <w:rPr>
          <w:rFonts w:cstheme="minorHAnsi"/>
          <w:sz w:val="22"/>
          <w:szCs w:val="22"/>
        </w:rPr>
        <w:t xml:space="preserve">risks associated with TA </w:t>
      </w:r>
      <w:r w:rsidR="00DB7F96" w:rsidRPr="00F01411">
        <w:rPr>
          <w:rFonts w:cstheme="minorHAnsi"/>
          <w:sz w:val="22"/>
          <w:szCs w:val="22"/>
        </w:rPr>
        <w:t>[</w:t>
      </w:r>
      <w:r w:rsidR="00896659" w:rsidRPr="00F01411">
        <w:rPr>
          <w:rFonts w:cstheme="minorHAnsi"/>
          <w:sz w:val="22"/>
          <w:szCs w:val="22"/>
        </w:rPr>
        <w:t>31</w:t>
      </w:r>
      <w:r w:rsidR="00DB7F96" w:rsidRPr="00F01411">
        <w:rPr>
          <w:rFonts w:cstheme="minorHAnsi"/>
          <w:sz w:val="22"/>
          <w:szCs w:val="22"/>
        </w:rPr>
        <w:t xml:space="preserve">], </w:t>
      </w:r>
      <w:r w:rsidRPr="00F01411">
        <w:rPr>
          <w:rFonts w:cstheme="minorHAnsi"/>
          <w:sz w:val="22"/>
          <w:szCs w:val="22"/>
        </w:rPr>
        <w:t xml:space="preserve">appears worthwhile. </w:t>
      </w:r>
    </w:p>
    <w:p w14:paraId="122E1776" w14:textId="77777777" w:rsidR="00AF3261" w:rsidRPr="00F01411" w:rsidRDefault="00AF3261" w:rsidP="003232A4">
      <w:pPr>
        <w:rPr>
          <w:rFonts w:cstheme="minorHAnsi"/>
          <w:b/>
          <w:bCs/>
          <w:sz w:val="28"/>
          <w:szCs w:val="28"/>
          <w:lang w:val="en-AU"/>
        </w:rPr>
      </w:pPr>
      <w:r w:rsidRPr="00F01411">
        <w:rPr>
          <w:rFonts w:cstheme="minorHAnsi"/>
          <w:b/>
          <w:bCs/>
          <w:sz w:val="28"/>
          <w:szCs w:val="28"/>
          <w:lang w:val="en-AU"/>
        </w:rPr>
        <w:br w:type="page"/>
      </w:r>
    </w:p>
    <w:p w14:paraId="5FB1DF6A" w14:textId="3B562794" w:rsidR="00B11F1C" w:rsidRPr="00B11F1C" w:rsidRDefault="00B11F1C" w:rsidP="003232A4">
      <w:pPr>
        <w:spacing w:line="480" w:lineRule="auto"/>
        <w:rPr>
          <w:b/>
          <w:bCs/>
          <w:sz w:val="28"/>
          <w:szCs w:val="28"/>
          <w:lang w:val="en-AU"/>
        </w:rPr>
      </w:pPr>
      <w:r w:rsidRPr="00B11F1C">
        <w:rPr>
          <w:b/>
          <w:bCs/>
          <w:sz w:val="28"/>
          <w:szCs w:val="28"/>
          <w:lang w:val="en-AU"/>
        </w:rPr>
        <w:lastRenderedPageBreak/>
        <w:t>5. Conclusion</w:t>
      </w:r>
      <w:r w:rsidR="004F799F">
        <w:rPr>
          <w:b/>
          <w:bCs/>
          <w:sz w:val="28"/>
          <w:szCs w:val="28"/>
          <w:lang w:val="en-AU"/>
        </w:rPr>
        <w:t>s</w:t>
      </w:r>
    </w:p>
    <w:p w14:paraId="18055CF6" w14:textId="40F75887" w:rsidR="003E02AC" w:rsidRDefault="00F45D92" w:rsidP="003232A4">
      <w:pPr>
        <w:spacing w:line="480" w:lineRule="auto"/>
        <w:rPr>
          <w:sz w:val="22"/>
          <w:szCs w:val="22"/>
          <w:lang w:val="en-AU"/>
        </w:rPr>
      </w:pPr>
      <w:r w:rsidRPr="00540F3B">
        <w:rPr>
          <w:sz w:val="22"/>
          <w:szCs w:val="22"/>
          <w:lang w:val="en-AU"/>
        </w:rPr>
        <w:t>In conclusion</w:t>
      </w:r>
      <w:r w:rsidRPr="00000055">
        <w:rPr>
          <w:sz w:val="22"/>
          <w:szCs w:val="22"/>
          <w:lang w:val="en-AU"/>
        </w:rPr>
        <w:t xml:space="preserve">, </w:t>
      </w:r>
      <w:r w:rsidRPr="0044777E">
        <w:rPr>
          <w:sz w:val="22"/>
          <w:szCs w:val="22"/>
          <w:lang w:val="en-AU"/>
        </w:rPr>
        <w:t>2.5% PAAG</w:t>
      </w:r>
      <w:r>
        <w:rPr>
          <w:sz w:val="22"/>
          <w:szCs w:val="22"/>
          <w:lang w:val="en-AU"/>
        </w:rPr>
        <w:t xml:space="preserve"> </w:t>
      </w:r>
      <w:r w:rsidR="00C81689">
        <w:rPr>
          <w:sz w:val="22"/>
          <w:szCs w:val="22"/>
          <w:lang w:val="en-AU"/>
        </w:rPr>
        <w:t>treatment led to</w:t>
      </w:r>
      <w:r w:rsidR="005375E7">
        <w:rPr>
          <w:sz w:val="22"/>
          <w:szCs w:val="22"/>
          <w:lang w:val="en-AU"/>
        </w:rPr>
        <w:t xml:space="preserve"> </w:t>
      </w:r>
      <w:r w:rsidR="000830A5">
        <w:rPr>
          <w:sz w:val="22"/>
          <w:szCs w:val="22"/>
          <w:lang w:val="en-AU"/>
        </w:rPr>
        <w:t xml:space="preserve">a statistically significant better outcome </w:t>
      </w:r>
      <w:r w:rsidRPr="0044777E">
        <w:rPr>
          <w:sz w:val="22"/>
          <w:szCs w:val="22"/>
          <w:lang w:val="en-AU"/>
        </w:rPr>
        <w:t xml:space="preserve">in the management of </w:t>
      </w:r>
      <w:r w:rsidR="009B1C99">
        <w:rPr>
          <w:sz w:val="22"/>
          <w:szCs w:val="22"/>
          <w:lang w:val="en-AU"/>
        </w:rPr>
        <w:t xml:space="preserve">middle </w:t>
      </w:r>
      <w:r w:rsidRPr="0044777E">
        <w:rPr>
          <w:sz w:val="22"/>
          <w:szCs w:val="22"/>
          <w:lang w:val="en-AU"/>
        </w:rPr>
        <w:t>carpal joint lameness</w:t>
      </w:r>
      <w:r>
        <w:rPr>
          <w:sz w:val="22"/>
          <w:szCs w:val="22"/>
          <w:lang w:val="en-AU"/>
        </w:rPr>
        <w:t xml:space="preserve"> in </w:t>
      </w:r>
      <w:r w:rsidRPr="00000055">
        <w:rPr>
          <w:sz w:val="22"/>
          <w:szCs w:val="22"/>
          <w:lang w:val="en-AU"/>
        </w:rPr>
        <w:t xml:space="preserve">Thoroughbred </w:t>
      </w:r>
      <w:r>
        <w:rPr>
          <w:sz w:val="22"/>
          <w:szCs w:val="22"/>
          <w:lang w:val="en-AU"/>
        </w:rPr>
        <w:t xml:space="preserve">racehorses </w:t>
      </w:r>
      <w:r w:rsidRPr="00000055">
        <w:rPr>
          <w:sz w:val="22"/>
          <w:szCs w:val="22"/>
          <w:lang w:val="en-AU"/>
        </w:rPr>
        <w:t xml:space="preserve">in full training </w:t>
      </w:r>
      <w:r>
        <w:rPr>
          <w:sz w:val="22"/>
          <w:szCs w:val="22"/>
          <w:lang w:val="en-AU"/>
        </w:rPr>
        <w:t>affected by</w:t>
      </w:r>
      <w:r w:rsidRPr="00000055">
        <w:rPr>
          <w:sz w:val="22"/>
          <w:szCs w:val="22"/>
          <w:lang w:val="en-AU"/>
        </w:rPr>
        <w:t xml:space="preserve"> naturally</w:t>
      </w:r>
      <w:r w:rsidR="009B1C99">
        <w:rPr>
          <w:sz w:val="22"/>
          <w:szCs w:val="22"/>
          <w:lang w:val="en-AU"/>
        </w:rPr>
        <w:t xml:space="preserve"> </w:t>
      </w:r>
      <w:r w:rsidRPr="00000055">
        <w:rPr>
          <w:sz w:val="22"/>
          <w:szCs w:val="22"/>
          <w:lang w:val="en-AU"/>
        </w:rPr>
        <w:t xml:space="preserve">occurring </w:t>
      </w:r>
      <w:r>
        <w:rPr>
          <w:sz w:val="22"/>
          <w:szCs w:val="22"/>
          <w:lang w:val="en-AU"/>
        </w:rPr>
        <w:t xml:space="preserve">joint </w:t>
      </w:r>
      <w:r w:rsidRPr="00000055">
        <w:rPr>
          <w:sz w:val="22"/>
          <w:szCs w:val="22"/>
          <w:lang w:val="en-AU"/>
        </w:rPr>
        <w:t>disease</w:t>
      </w:r>
      <w:r w:rsidR="000830A5" w:rsidRPr="000830A5">
        <w:rPr>
          <w:sz w:val="22"/>
          <w:szCs w:val="22"/>
          <w:lang w:val="en-AU"/>
        </w:rPr>
        <w:t xml:space="preserve"> </w:t>
      </w:r>
      <w:r w:rsidR="000830A5">
        <w:rPr>
          <w:sz w:val="22"/>
          <w:szCs w:val="22"/>
          <w:lang w:val="en-AU"/>
        </w:rPr>
        <w:t xml:space="preserve">when compared </w:t>
      </w:r>
      <w:r w:rsidR="000830A5" w:rsidRPr="0044777E">
        <w:rPr>
          <w:sz w:val="22"/>
          <w:szCs w:val="22"/>
          <w:lang w:val="en-AU"/>
        </w:rPr>
        <w:t>to conventional pharmaceuticals</w:t>
      </w:r>
      <w:r w:rsidR="000830A5">
        <w:rPr>
          <w:sz w:val="22"/>
          <w:szCs w:val="22"/>
          <w:lang w:val="en-AU"/>
        </w:rPr>
        <w:t xml:space="preserve"> TA and HA</w:t>
      </w:r>
      <w:r>
        <w:rPr>
          <w:sz w:val="22"/>
          <w:szCs w:val="22"/>
          <w:lang w:val="en-AU"/>
        </w:rPr>
        <w:t>. T</w:t>
      </w:r>
      <w:r w:rsidRPr="00000055">
        <w:rPr>
          <w:sz w:val="22"/>
          <w:szCs w:val="22"/>
          <w:lang w:val="en-AU"/>
        </w:rPr>
        <w:t xml:space="preserve">his </w:t>
      </w:r>
      <w:r w:rsidRPr="009426F7">
        <w:rPr>
          <w:sz w:val="22"/>
          <w:szCs w:val="22"/>
          <w:lang w:val="en-AU"/>
        </w:rPr>
        <w:t>double</w:t>
      </w:r>
      <w:r>
        <w:rPr>
          <w:sz w:val="22"/>
          <w:szCs w:val="22"/>
          <w:lang w:val="en-AU"/>
        </w:rPr>
        <w:t>-</w:t>
      </w:r>
      <w:r w:rsidRPr="00C67923">
        <w:rPr>
          <w:sz w:val="22"/>
          <w:szCs w:val="22"/>
          <w:lang w:val="en-AU"/>
        </w:rPr>
        <w:t xml:space="preserve">blinded </w:t>
      </w:r>
      <w:r>
        <w:rPr>
          <w:sz w:val="22"/>
          <w:szCs w:val="22"/>
          <w:lang w:val="en-AU"/>
        </w:rPr>
        <w:t xml:space="preserve">clinical trial </w:t>
      </w:r>
      <w:r w:rsidRPr="00DA1B98">
        <w:rPr>
          <w:sz w:val="22"/>
          <w:szCs w:val="22"/>
          <w:lang w:val="en-AU"/>
        </w:rPr>
        <w:t>show</w:t>
      </w:r>
      <w:r>
        <w:rPr>
          <w:sz w:val="22"/>
          <w:szCs w:val="22"/>
          <w:lang w:val="en-AU"/>
        </w:rPr>
        <w:t>ed</w:t>
      </w:r>
      <w:r w:rsidRPr="0044777E">
        <w:rPr>
          <w:sz w:val="22"/>
          <w:szCs w:val="22"/>
          <w:lang w:val="en-AU"/>
        </w:rPr>
        <w:t xml:space="preserve"> that </w:t>
      </w:r>
      <w:r>
        <w:rPr>
          <w:sz w:val="22"/>
          <w:szCs w:val="22"/>
          <w:lang w:val="en-AU"/>
        </w:rPr>
        <w:t xml:space="preserve">83% of the joints treated with 2.5% PAAG and presented </w:t>
      </w:r>
      <w:r w:rsidRPr="0044777E">
        <w:rPr>
          <w:sz w:val="22"/>
          <w:szCs w:val="22"/>
          <w:lang w:val="en-AU"/>
        </w:rPr>
        <w:t xml:space="preserve">with a lameness grade </w:t>
      </w:r>
      <w:r w:rsidR="00287E35">
        <w:rPr>
          <w:sz w:val="22"/>
          <w:szCs w:val="22"/>
          <w:lang w:val="en-AU"/>
        </w:rPr>
        <w:t>ranging from 1-3/5</w:t>
      </w:r>
      <w:r w:rsidRPr="0044777E">
        <w:rPr>
          <w:sz w:val="22"/>
          <w:szCs w:val="22"/>
          <w:lang w:val="en-AU"/>
        </w:rPr>
        <w:t xml:space="preserve"> </w:t>
      </w:r>
      <w:r w:rsidR="00287E35">
        <w:rPr>
          <w:sz w:val="22"/>
          <w:szCs w:val="22"/>
          <w:lang w:val="en-AU"/>
        </w:rPr>
        <w:t xml:space="preserve">(AAEP scale) </w:t>
      </w:r>
      <w:r w:rsidRPr="0044777E">
        <w:rPr>
          <w:sz w:val="22"/>
          <w:szCs w:val="22"/>
          <w:lang w:val="en-AU"/>
        </w:rPr>
        <w:t xml:space="preserve">and </w:t>
      </w:r>
      <w:r w:rsidR="00287E35">
        <w:rPr>
          <w:sz w:val="22"/>
          <w:szCs w:val="22"/>
          <w:lang w:val="en-AU"/>
        </w:rPr>
        <w:t xml:space="preserve">from no to </w:t>
      </w:r>
      <w:r w:rsidR="00E15FF9">
        <w:rPr>
          <w:sz w:val="22"/>
          <w:szCs w:val="22"/>
          <w:lang w:val="en-AU"/>
        </w:rPr>
        <w:t>moderate</w:t>
      </w:r>
      <w:r w:rsidR="00E15FF9" w:rsidRPr="0044777E">
        <w:rPr>
          <w:sz w:val="22"/>
          <w:szCs w:val="22"/>
          <w:lang w:val="en-AU"/>
        </w:rPr>
        <w:t xml:space="preserve"> </w:t>
      </w:r>
      <w:r w:rsidRPr="0044777E">
        <w:rPr>
          <w:sz w:val="22"/>
          <w:szCs w:val="22"/>
          <w:lang w:val="en-AU"/>
        </w:rPr>
        <w:t>radiologically detectable osteoarthritic changes,</w:t>
      </w:r>
      <w:r>
        <w:rPr>
          <w:sz w:val="22"/>
          <w:szCs w:val="22"/>
          <w:lang w:val="en-AU"/>
        </w:rPr>
        <w:t xml:space="preserve"> became lame</w:t>
      </w:r>
      <w:r w:rsidR="00BB159C">
        <w:rPr>
          <w:sz w:val="22"/>
          <w:szCs w:val="22"/>
          <w:lang w:val="en-AU"/>
        </w:rPr>
        <w:t xml:space="preserve"> </w:t>
      </w:r>
      <w:r>
        <w:rPr>
          <w:sz w:val="22"/>
          <w:szCs w:val="22"/>
          <w:lang w:val="en-AU"/>
        </w:rPr>
        <w:t>free</w:t>
      </w:r>
      <w:r w:rsidRPr="0044777E">
        <w:rPr>
          <w:sz w:val="22"/>
          <w:szCs w:val="22"/>
          <w:lang w:val="en-AU"/>
        </w:rPr>
        <w:t xml:space="preserve"> </w:t>
      </w:r>
      <w:r>
        <w:rPr>
          <w:sz w:val="22"/>
          <w:szCs w:val="22"/>
          <w:lang w:val="en-AU"/>
        </w:rPr>
        <w:t xml:space="preserve">at 4 </w:t>
      </w:r>
      <w:r w:rsidRPr="0044777E">
        <w:rPr>
          <w:sz w:val="22"/>
          <w:szCs w:val="22"/>
          <w:lang w:val="en-AU"/>
        </w:rPr>
        <w:t>week</w:t>
      </w:r>
      <w:r>
        <w:rPr>
          <w:sz w:val="22"/>
          <w:szCs w:val="22"/>
          <w:lang w:val="en-AU"/>
        </w:rPr>
        <w:t>s</w:t>
      </w:r>
      <w:r w:rsidRPr="0044777E">
        <w:rPr>
          <w:sz w:val="22"/>
          <w:szCs w:val="22"/>
          <w:lang w:val="en-AU"/>
        </w:rPr>
        <w:t xml:space="preserve">, with persistent results </w:t>
      </w:r>
      <w:r>
        <w:rPr>
          <w:sz w:val="22"/>
          <w:szCs w:val="22"/>
          <w:lang w:val="en-AU"/>
        </w:rPr>
        <w:t xml:space="preserve">at 6 and </w:t>
      </w:r>
      <w:r w:rsidRPr="0044777E">
        <w:rPr>
          <w:sz w:val="22"/>
          <w:szCs w:val="22"/>
          <w:lang w:val="en-AU"/>
        </w:rPr>
        <w:t xml:space="preserve">12 weeks. </w:t>
      </w:r>
      <w:r w:rsidR="00490CCA">
        <w:rPr>
          <w:sz w:val="22"/>
          <w:szCs w:val="22"/>
          <w:lang w:val="en-AU"/>
        </w:rPr>
        <w:t>In contrast to earlier studies [5-8]</w:t>
      </w:r>
      <w:r w:rsidR="00E15FF9">
        <w:rPr>
          <w:sz w:val="22"/>
          <w:szCs w:val="22"/>
          <w:lang w:val="en-AU"/>
        </w:rPr>
        <w:t>,</w:t>
      </w:r>
      <w:r w:rsidR="00490CCA">
        <w:rPr>
          <w:sz w:val="22"/>
          <w:szCs w:val="22"/>
          <w:lang w:val="en-AU"/>
        </w:rPr>
        <w:t xml:space="preserve"> t</w:t>
      </w:r>
      <w:r>
        <w:rPr>
          <w:sz w:val="22"/>
          <w:szCs w:val="22"/>
          <w:lang w:val="en-AU"/>
        </w:rPr>
        <w:t xml:space="preserve">hese results indicate that 2.5% PAAG may be </w:t>
      </w:r>
      <w:r w:rsidR="00E81A33">
        <w:rPr>
          <w:sz w:val="22"/>
          <w:szCs w:val="22"/>
          <w:lang w:val="en-AU"/>
        </w:rPr>
        <w:t xml:space="preserve">worth </w:t>
      </w:r>
      <w:r>
        <w:rPr>
          <w:sz w:val="22"/>
          <w:szCs w:val="22"/>
          <w:lang w:val="en-AU"/>
        </w:rPr>
        <w:t>consider</w:t>
      </w:r>
      <w:r w:rsidR="00E81A33">
        <w:rPr>
          <w:sz w:val="22"/>
          <w:szCs w:val="22"/>
          <w:lang w:val="en-AU"/>
        </w:rPr>
        <w:t xml:space="preserve">ing </w:t>
      </w:r>
      <w:r>
        <w:rPr>
          <w:sz w:val="22"/>
          <w:szCs w:val="22"/>
          <w:lang w:val="en-AU"/>
        </w:rPr>
        <w:t>early on instead of late</w:t>
      </w:r>
      <w:r w:rsidR="009B1C99">
        <w:rPr>
          <w:sz w:val="22"/>
          <w:szCs w:val="22"/>
          <w:lang w:val="en-AU"/>
        </w:rPr>
        <w:t>,</w:t>
      </w:r>
      <w:r>
        <w:rPr>
          <w:sz w:val="22"/>
          <w:szCs w:val="22"/>
          <w:lang w:val="en-AU"/>
        </w:rPr>
        <w:t xml:space="preserve"> or as a last option</w:t>
      </w:r>
      <w:r w:rsidR="006C7F26">
        <w:rPr>
          <w:sz w:val="22"/>
          <w:szCs w:val="22"/>
          <w:lang w:val="en-AU"/>
        </w:rPr>
        <w:t>,</w:t>
      </w:r>
      <w:r>
        <w:rPr>
          <w:sz w:val="22"/>
          <w:szCs w:val="22"/>
          <w:lang w:val="en-AU"/>
        </w:rPr>
        <w:t xml:space="preserve"> in the course of naturally</w:t>
      </w:r>
      <w:r w:rsidR="009B1C99">
        <w:rPr>
          <w:sz w:val="22"/>
          <w:szCs w:val="22"/>
          <w:lang w:val="en-AU"/>
        </w:rPr>
        <w:t xml:space="preserve"> </w:t>
      </w:r>
      <w:r>
        <w:rPr>
          <w:sz w:val="22"/>
          <w:szCs w:val="22"/>
          <w:lang w:val="en-AU"/>
        </w:rPr>
        <w:t xml:space="preserve">occurring carpal </w:t>
      </w:r>
      <w:r w:rsidR="00490CCA">
        <w:rPr>
          <w:sz w:val="22"/>
          <w:szCs w:val="22"/>
          <w:lang w:val="en-AU"/>
        </w:rPr>
        <w:t xml:space="preserve">synovitis or capsulitis </w:t>
      </w:r>
      <w:r>
        <w:rPr>
          <w:sz w:val="22"/>
          <w:szCs w:val="22"/>
          <w:lang w:val="en-AU"/>
        </w:rPr>
        <w:t>in the racehorse</w:t>
      </w:r>
      <w:r w:rsidR="00490CCA">
        <w:rPr>
          <w:sz w:val="22"/>
          <w:szCs w:val="22"/>
          <w:lang w:val="en-AU"/>
        </w:rPr>
        <w:t xml:space="preserve">. </w:t>
      </w:r>
      <w:r>
        <w:rPr>
          <w:sz w:val="22"/>
          <w:szCs w:val="22"/>
          <w:lang w:val="en-AU"/>
        </w:rPr>
        <w:br w:type="page"/>
      </w:r>
    </w:p>
    <w:p w14:paraId="04238E69" w14:textId="0E5BF851" w:rsidR="003E02AC" w:rsidRPr="00CA0B95" w:rsidRDefault="00B11F1C" w:rsidP="003232A4">
      <w:pPr>
        <w:spacing w:line="480" w:lineRule="auto"/>
        <w:outlineLvl w:val="0"/>
        <w:rPr>
          <w:b/>
          <w:sz w:val="28"/>
        </w:rPr>
      </w:pPr>
      <w:r>
        <w:rPr>
          <w:b/>
          <w:sz w:val="28"/>
        </w:rPr>
        <w:lastRenderedPageBreak/>
        <w:t>6</w:t>
      </w:r>
      <w:r w:rsidR="00FF719C">
        <w:rPr>
          <w:b/>
          <w:sz w:val="28"/>
        </w:rPr>
        <w:t xml:space="preserve">. </w:t>
      </w:r>
      <w:r w:rsidR="00F45D92" w:rsidRPr="00CA0B95">
        <w:rPr>
          <w:b/>
          <w:sz w:val="28"/>
        </w:rPr>
        <w:t>Manufacturer’s addresses</w:t>
      </w:r>
    </w:p>
    <w:p w14:paraId="631B0B03" w14:textId="77777777" w:rsidR="003E02AC" w:rsidRDefault="00F45D92" w:rsidP="003232A4">
      <w:pPr>
        <w:spacing w:line="480" w:lineRule="auto"/>
        <w:rPr>
          <w:sz w:val="22"/>
        </w:rPr>
      </w:pPr>
      <w:r>
        <w:rPr>
          <w:sz w:val="22"/>
        </w:rPr>
        <w:t xml:space="preserve">1. Mepivacaine Injection: CEVA Animal Health Pty Ltd, </w:t>
      </w:r>
      <w:proofErr w:type="spellStart"/>
      <w:r>
        <w:rPr>
          <w:sz w:val="22"/>
        </w:rPr>
        <w:t>Glenorie</w:t>
      </w:r>
      <w:proofErr w:type="spellEnd"/>
      <w:r>
        <w:rPr>
          <w:sz w:val="22"/>
        </w:rPr>
        <w:t>, NSW, Australia, 2157.</w:t>
      </w:r>
    </w:p>
    <w:p w14:paraId="1F826D20" w14:textId="77777777" w:rsidR="003E02AC" w:rsidRDefault="00F45D92" w:rsidP="003232A4">
      <w:pPr>
        <w:spacing w:line="480" w:lineRule="auto"/>
        <w:rPr>
          <w:sz w:val="22"/>
        </w:rPr>
      </w:pPr>
      <w:r>
        <w:rPr>
          <w:rFonts w:ascii="Calibri" w:hAnsi="Calibri"/>
          <w:sz w:val="22"/>
        </w:rPr>
        <w:t xml:space="preserve">2. Arthramid Vet: </w:t>
      </w:r>
      <w:proofErr w:type="spellStart"/>
      <w:r>
        <w:rPr>
          <w:sz w:val="22"/>
        </w:rPr>
        <w:t>Contura</w:t>
      </w:r>
      <w:proofErr w:type="spellEnd"/>
      <w:r>
        <w:rPr>
          <w:sz w:val="22"/>
        </w:rPr>
        <w:t xml:space="preserve">, 2860 </w:t>
      </w:r>
      <w:proofErr w:type="spellStart"/>
      <w:r>
        <w:rPr>
          <w:sz w:val="22"/>
        </w:rPr>
        <w:t>Soeburg</w:t>
      </w:r>
      <w:proofErr w:type="spellEnd"/>
      <w:r>
        <w:rPr>
          <w:sz w:val="22"/>
        </w:rPr>
        <w:t>, Denmark.</w:t>
      </w:r>
    </w:p>
    <w:p w14:paraId="69A121D7" w14:textId="77777777" w:rsidR="003E02AC" w:rsidRPr="00042D3C" w:rsidRDefault="00F45D92" w:rsidP="003232A4">
      <w:pPr>
        <w:spacing w:line="480" w:lineRule="auto"/>
        <w:rPr>
          <w:rFonts w:ascii="Calibri" w:hAnsi="Calibri"/>
          <w:sz w:val="22"/>
        </w:rPr>
      </w:pPr>
      <w:r>
        <w:rPr>
          <w:rFonts w:ascii="Calibri" w:hAnsi="Calibri"/>
          <w:sz w:val="22"/>
        </w:rPr>
        <w:t xml:space="preserve">3. </w:t>
      </w:r>
      <w:proofErr w:type="spellStart"/>
      <w:r>
        <w:rPr>
          <w:rFonts w:ascii="Calibri" w:hAnsi="Calibri"/>
          <w:sz w:val="22"/>
        </w:rPr>
        <w:t>Triamolone</w:t>
      </w:r>
      <w:proofErr w:type="spellEnd"/>
      <w:r>
        <w:rPr>
          <w:rFonts w:ascii="Calibri" w:hAnsi="Calibri"/>
          <w:sz w:val="22"/>
        </w:rPr>
        <w:t xml:space="preserve">-Forte: </w:t>
      </w:r>
      <w:proofErr w:type="spellStart"/>
      <w:r>
        <w:rPr>
          <w:rFonts w:ascii="Calibri" w:hAnsi="Calibri"/>
          <w:sz w:val="22"/>
        </w:rPr>
        <w:t>Jurox</w:t>
      </w:r>
      <w:proofErr w:type="spellEnd"/>
      <w:r>
        <w:rPr>
          <w:rFonts w:ascii="Calibri" w:hAnsi="Calibri"/>
          <w:sz w:val="22"/>
        </w:rPr>
        <w:t xml:space="preserve"> Pty Ltd, Rutherford, NSW, Australia, 2320.</w:t>
      </w:r>
    </w:p>
    <w:p w14:paraId="659C1E4E" w14:textId="77777777" w:rsidR="003E02AC" w:rsidRDefault="00F45D92" w:rsidP="003232A4">
      <w:pPr>
        <w:spacing w:line="480" w:lineRule="auto"/>
        <w:rPr>
          <w:sz w:val="22"/>
        </w:rPr>
      </w:pPr>
      <w:r>
        <w:rPr>
          <w:rFonts w:ascii="Calibri" w:hAnsi="Calibri"/>
          <w:sz w:val="22"/>
        </w:rPr>
        <w:t xml:space="preserve">4. </w:t>
      </w:r>
      <w:proofErr w:type="spellStart"/>
      <w:r>
        <w:rPr>
          <w:rFonts w:ascii="Calibri" w:hAnsi="Calibri"/>
          <w:sz w:val="22"/>
        </w:rPr>
        <w:t>Hyonate</w:t>
      </w:r>
      <w:proofErr w:type="spellEnd"/>
      <w:r>
        <w:rPr>
          <w:rFonts w:ascii="Calibri" w:hAnsi="Calibri"/>
          <w:sz w:val="22"/>
        </w:rPr>
        <w:t xml:space="preserve">: </w:t>
      </w:r>
      <w:r>
        <w:rPr>
          <w:sz w:val="22"/>
        </w:rPr>
        <w:t>Merial Australia Pty Ltd, Macquarie Park, NSW, Australia, 2113.</w:t>
      </w:r>
    </w:p>
    <w:p w14:paraId="4BEF0FC4" w14:textId="50A39582" w:rsidR="001A7525" w:rsidRDefault="00F45D92" w:rsidP="003232A4">
      <w:pPr>
        <w:spacing w:line="480" w:lineRule="auto"/>
        <w:rPr>
          <w:sz w:val="22"/>
          <w:szCs w:val="22"/>
        </w:rPr>
      </w:pPr>
      <w:r>
        <w:rPr>
          <w:sz w:val="22"/>
        </w:rPr>
        <w:t xml:space="preserve">5. </w:t>
      </w:r>
      <w:proofErr w:type="spellStart"/>
      <w:r>
        <w:rPr>
          <w:sz w:val="22"/>
        </w:rPr>
        <w:t>Statisitx</w:t>
      </w:r>
      <w:proofErr w:type="spellEnd"/>
      <w:r>
        <w:rPr>
          <w:sz w:val="22"/>
        </w:rPr>
        <w:t xml:space="preserve"> 10.0, </w:t>
      </w:r>
      <w:r>
        <w:rPr>
          <w:sz w:val="22"/>
          <w:szCs w:val="22"/>
        </w:rPr>
        <w:t>Analytical Software 2013.</w:t>
      </w:r>
    </w:p>
    <w:p w14:paraId="2EAB8BCC" w14:textId="1132899D" w:rsidR="00F01411" w:rsidRDefault="00F01411">
      <w:pPr>
        <w:rPr>
          <w:sz w:val="22"/>
          <w:szCs w:val="22"/>
        </w:rPr>
      </w:pPr>
      <w:r>
        <w:rPr>
          <w:sz w:val="22"/>
          <w:szCs w:val="22"/>
        </w:rPr>
        <w:br w:type="page"/>
      </w:r>
    </w:p>
    <w:p w14:paraId="5AD60CB2" w14:textId="65D8455D" w:rsidR="00F01411" w:rsidRPr="00F01411" w:rsidRDefault="00F01411" w:rsidP="003232A4">
      <w:pPr>
        <w:spacing w:line="480" w:lineRule="auto"/>
        <w:rPr>
          <w:b/>
          <w:sz w:val="28"/>
          <w:szCs w:val="28"/>
        </w:rPr>
      </w:pPr>
      <w:r w:rsidRPr="00F01411">
        <w:rPr>
          <w:b/>
          <w:sz w:val="28"/>
          <w:szCs w:val="28"/>
        </w:rPr>
        <w:lastRenderedPageBreak/>
        <w:t>7. Acknowledgments</w:t>
      </w:r>
    </w:p>
    <w:p w14:paraId="34E9E617" w14:textId="0D2A02C9" w:rsidR="00F01411" w:rsidRDefault="00F01411" w:rsidP="003232A4">
      <w:pPr>
        <w:spacing w:line="480" w:lineRule="auto"/>
        <w:rPr>
          <w:sz w:val="22"/>
          <w:szCs w:val="22"/>
        </w:rPr>
      </w:pPr>
      <w:r w:rsidRPr="00F01411">
        <w:rPr>
          <w:sz w:val="22"/>
          <w:szCs w:val="22"/>
        </w:rPr>
        <w:t>Details omitted for double-blind revi</w:t>
      </w:r>
      <w:r>
        <w:rPr>
          <w:sz w:val="22"/>
          <w:szCs w:val="22"/>
        </w:rPr>
        <w:t>e</w:t>
      </w:r>
      <w:r w:rsidRPr="00F01411">
        <w:rPr>
          <w:sz w:val="22"/>
          <w:szCs w:val="22"/>
        </w:rPr>
        <w:t>wing</w:t>
      </w:r>
      <w:r>
        <w:rPr>
          <w:sz w:val="22"/>
          <w:szCs w:val="22"/>
        </w:rPr>
        <w:t>.</w:t>
      </w:r>
    </w:p>
    <w:p w14:paraId="291C3FC4" w14:textId="628DD6E5" w:rsidR="001A7525" w:rsidRDefault="001A7525" w:rsidP="003232A4">
      <w:pPr>
        <w:rPr>
          <w:b/>
          <w:sz w:val="22"/>
        </w:rPr>
      </w:pPr>
      <w:r>
        <w:rPr>
          <w:b/>
          <w:sz w:val="22"/>
        </w:rPr>
        <w:br w:type="page"/>
      </w:r>
    </w:p>
    <w:p w14:paraId="6F3139A3" w14:textId="499A1552" w:rsidR="003E02AC" w:rsidRPr="00236384" w:rsidRDefault="00F01411" w:rsidP="003232A4">
      <w:pPr>
        <w:spacing w:line="480" w:lineRule="auto"/>
        <w:outlineLvl w:val="0"/>
        <w:rPr>
          <w:rFonts w:cstheme="minorHAnsi"/>
          <w:b/>
          <w:sz w:val="28"/>
          <w:szCs w:val="28"/>
        </w:rPr>
      </w:pPr>
      <w:r>
        <w:rPr>
          <w:rFonts w:cstheme="minorHAnsi"/>
          <w:b/>
          <w:sz w:val="28"/>
          <w:szCs w:val="28"/>
        </w:rPr>
        <w:lastRenderedPageBreak/>
        <w:t>8</w:t>
      </w:r>
      <w:r w:rsidR="00FF719C">
        <w:rPr>
          <w:rFonts w:cstheme="minorHAnsi"/>
          <w:b/>
          <w:sz w:val="28"/>
          <w:szCs w:val="28"/>
        </w:rPr>
        <w:t xml:space="preserve">. </w:t>
      </w:r>
      <w:r w:rsidR="00F45D92" w:rsidRPr="00236384">
        <w:rPr>
          <w:rFonts w:cstheme="minorHAnsi"/>
          <w:b/>
          <w:sz w:val="28"/>
          <w:szCs w:val="28"/>
        </w:rPr>
        <w:t>References</w:t>
      </w:r>
    </w:p>
    <w:p w14:paraId="4E7D09D8" w14:textId="1194DC83" w:rsidR="003E02AC" w:rsidRPr="00F934B5"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 xml:space="preserve">Christensen LH, Breitling VB, </w:t>
      </w:r>
      <w:proofErr w:type="spellStart"/>
      <w:r w:rsidRPr="00F934B5">
        <w:rPr>
          <w:rFonts w:cstheme="minorHAnsi"/>
          <w:sz w:val="22"/>
          <w:szCs w:val="22"/>
        </w:rPr>
        <w:t>Aasted</w:t>
      </w:r>
      <w:proofErr w:type="spellEnd"/>
      <w:r w:rsidRPr="00F934B5">
        <w:rPr>
          <w:rFonts w:cstheme="minorHAnsi"/>
          <w:sz w:val="22"/>
          <w:szCs w:val="22"/>
        </w:rPr>
        <w:t xml:space="preserve"> A, Jorgensen A and </w:t>
      </w:r>
      <w:proofErr w:type="spellStart"/>
      <w:r w:rsidRPr="00F934B5">
        <w:rPr>
          <w:rFonts w:cstheme="minorHAnsi"/>
          <w:sz w:val="22"/>
          <w:szCs w:val="22"/>
        </w:rPr>
        <w:t>Kebuladze</w:t>
      </w:r>
      <w:proofErr w:type="spellEnd"/>
      <w:r w:rsidRPr="00F934B5">
        <w:rPr>
          <w:rFonts w:cstheme="minorHAnsi"/>
          <w:sz w:val="22"/>
          <w:szCs w:val="22"/>
        </w:rPr>
        <w:t xml:space="preserve"> I. Long term effects of polyacrylamide hydrogel in human breast tissue. </w:t>
      </w:r>
      <w:proofErr w:type="spellStart"/>
      <w:r w:rsidRPr="00A60AAC">
        <w:rPr>
          <w:rFonts w:cstheme="minorHAnsi"/>
          <w:sz w:val="22"/>
          <w:szCs w:val="22"/>
        </w:rPr>
        <w:t>Plast</w:t>
      </w:r>
      <w:proofErr w:type="spellEnd"/>
      <w:r w:rsidRPr="00A60AAC">
        <w:rPr>
          <w:rFonts w:cstheme="minorHAnsi"/>
          <w:sz w:val="22"/>
          <w:szCs w:val="22"/>
        </w:rPr>
        <w:t xml:space="preserve"> </w:t>
      </w:r>
      <w:proofErr w:type="spellStart"/>
      <w:r w:rsidRPr="00A60AAC">
        <w:rPr>
          <w:rFonts w:cstheme="minorHAnsi"/>
          <w:sz w:val="22"/>
          <w:szCs w:val="22"/>
        </w:rPr>
        <w:t>Reconstr</w:t>
      </w:r>
      <w:proofErr w:type="spellEnd"/>
      <w:r w:rsidRPr="00A60AAC">
        <w:rPr>
          <w:rFonts w:cstheme="minorHAnsi"/>
          <w:sz w:val="22"/>
          <w:szCs w:val="22"/>
        </w:rPr>
        <w:t xml:space="preserve"> </w:t>
      </w:r>
      <w:proofErr w:type="spellStart"/>
      <w:r w:rsidRPr="00A60AAC">
        <w:rPr>
          <w:rFonts w:cstheme="minorHAnsi"/>
          <w:sz w:val="22"/>
          <w:szCs w:val="22"/>
        </w:rPr>
        <w:t>Surg</w:t>
      </w:r>
      <w:proofErr w:type="spellEnd"/>
      <w:r w:rsidRPr="00A60AAC">
        <w:rPr>
          <w:rFonts w:cstheme="minorHAnsi"/>
          <w:sz w:val="22"/>
          <w:szCs w:val="22"/>
        </w:rPr>
        <w:t xml:space="preserve"> </w:t>
      </w:r>
      <w:r w:rsidR="00A60AAC" w:rsidRPr="00A60AAC">
        <w:rPr>
          <w:rFonts w:cstheme="minorHAnsi"/>
          <w:sz w:val="22"/>
          <w:szCs w:val="22"/>
        </w:rPr>
        <w:t>2</w:t>
      </w:r>
      <w:r w:rsidR="00A60AAC" w:rsidRPr="00F934B5">
        <w:rPr>
          <w:rFonts w:cstheme="minorHAnsi"/>
          <w:sz w:val="22"/>
          <w:szCs w:val="22"/>
        </w:rPr>
        <w:t>003</w:t>
      </w:r>
      <w:r w:rsidR="00A60AAC">
        <w:rPr>
          <w:rFonts w:cstheme="minorHAnsi"/>
          <w:sz w:val="22"/>
          <w:szCs w:val="22"/>
        </w:rPr>
        <w:t>;</w:t>
      </w:r>
      <w:r w:rsidR="00A60AAC" w:rsidRPr="00F934B5">
        <w:rPr>
          <w:rFonts w:cstheme="minorHAnsi"/>
          <w:sz w:val="22"/>
          <w:szCs w:val="22"/>
        </w:rPr>
        <w:t xml:space="preserve"> </w:t>
      </w:r>
      <w:r w:rsidRPr="00A60AAC">
        <w:rPr>
          <w:rFonts w:cstheme="minorHAnsi"/>
          <w:sz w:val="22"/>
          <w:szCs w:val="22"/>
        </w:rPr>
        <w:t>111</w:t>
      </w:r>
      <w:r w:rsidR="00A60AAC">
        <w:rPr>
          <w:rFonts w:cstheme="minorHAnsi"/>
          <w:b/>
          <w:bCs/>
          <w:sz w:val="22"/>
          <w:szCs w:val="22"/>
        </w:rPr>
        <w:t xml:space="preserve">: </w:t>
      </w:r>
      <w:r w:rsidRPr="00F934B5">
        <w:rPr>
          <w:rFonts w:cstheme="minorHAnsi"/>
          <w:sz w:val="22"/>
          <w:szCs w:val="22"/>
        </w:rPr>
        <w:t>1883-1889.</w:t>
      </w:r>
    </w:p>
    <w:p w14:paraId="2DEF75F7" w14:textId="2653337D" w:rsidR="003E02AC" w:rsidRPr="00F934B5" w:rsidRDefault="00F45D92" w:rsidP="003232A4">
      <w:pPr>
        <w:pStyle w:val="Paragraphedeliste"/>
        <w:numPr>
          <w:ilvl w:val="0"/>
          <w:numId w:val="2"/>
        </w:numPr>
        <w:spacing w:line="480" w:lineRule="auto"/>
        <w:rPr>
          <w:rFonts w:cstheme="minorHAnsi"/>
          <w:sz w:val="22"/>
          <w:szCs w:val="22"/>
        </w:rPr>
      </w:pPr>
      <w:proofErr w:type="spellStart"/>
      <w:r w:rsidRPr="00F934B5">
        <w:rPr>
          <w:rFonts w:cstheme="minorHAnsi"/>
          <w:sz w:val="22"/>
          <w:szCs w:val="22"/>
        </w:rPr>
        <w:t>Zarini</w:t>
      </w:r>
      <w:proofErr w:type="spellEnd"/>
      <w:r w:rsidRPr="00F934B5">
        <w:rPr>
          <w:rFonts w:cstheme="minorHAnsi"/>
          <w:sz w:val="22"/>
          <w:szCs w:val="22"/>
        </w:rPr>
        <w:t xml:space="preserve"> E, </w:t>
      </w:r>
      <w:proofErr w:type="spellStart"/>
      <w:r w:rsidRPr="00F934B5">
        <w:rPr>
          <w:rFonts w:cstheme="minorHAnsi"/>
          <w:sz w:val="22"/>
          <w:szCs w:val="22"/>
        </w:rPr>
        <w:t>Supino</w:t>
      </w:r>
      <w:proofErr w:type="spellEnd"/>
      <w:r w:rsidRPr="00F934B5">
        <w:rPr>
          <w:rFonts w:cstheme="minorHAnsi"/>
          <w:sz w:val="22"/>
          <w:szCs w:val="22"/>
        </w:rPr>
        <w:t xml:space="preserve"> R, </w:t>
      </w:r>
      <w:proofErr w:type="spellStart"/>
      <w:r w:rsidRPr="00F934B5">
        <w:rPr>
          <w:rFonts w:cstheme="minorHAnsi"/>
          <w:sz w:val="22"/>
          <w:szCs w:val="22"/>
        </w:rPr>
        <w:t>Pratesi</w:t>
      </w:r>
      <w:proofErr w:type="spellEnd"/>
      <w:r w:rsidRPr="00F934B5">
        <w:rPr>
          <w:rFonts w:cstheme="minorHAnsi"/>
          <w:sz w:val="22"/>
          <w:szCs w:val="22"/>
        </w:rPr>
        <w:t xml:space="preserve"> G, </w:t>
      </w:r>
      <w:proofErr w:type="spellStart"/>
      <w:r w:rsidRPr="00F934B5">
        <w:rPr>
          <w:rFonts w:cstheme="minorHAnsi"/>
          <w:sz w:val="22"/>
          <w:szCs w:val="22"/>
        </w:rPr>
        <w:t>Laccabue</w:t>
      </w:r>
      <w:proofErr w:type="spellEnd"/>
      <w:r w:rsidRPr="00F934B5">
        <w:rPr>
          <w:rFonts w:cstheme="minorHAnsi"/>
          <w:sz w:val="22"/>
          <w:szCs w:val="22"/>
        </w:rPr>
        <w:t xml:space="preserve"> D, </w:t>
      </w:r>
      <w:proofErr w:type="spellStart"/>
      <w:r w:rsidRPr="00F934B5">
        <w:rPr>
          <w:rFonts w:cstheme="minorHAnsi"/>
          <w:sz w:val="22"/>
          <w:szCs w:val="22"/>
        </w:rPr>
        <w:t>Tortoreto</w:t>
      </w:r>
      <w:proofErr w:type="spellEnd"/>
      <w:r w:rsidRPr="00F934B5">
        <w:rPr>
          <w:rFonts w:cstheme="minorHAnsi"/>
          <w:sz w:val="22"/>
          <w:szCs w:val="22"/>
        </w:rPr>
        <w:t xml:space="preserve"> M and </w:t>
      </w:r>
      <w:proofErr w:type="spellStart"/>
      <w:r w:rsidRPr="00F934B5">
        <w:rPr>
          <w:rFonts w:cstheme="minorHAnsi"/>
          <w:sz w:val="22"/>
          <w:szCs w:val="22"/>
        </w:rPr>
        <w:t>Scanziani</w:t>
      </w:r>
      <w:proofErr w:type="spellEnd"/>
      <w:r w:rsidRPr="00F934B5">
        <w:rPr>
          <w:rFonts w:cstheme="minorHAnsi"/>
          <w:sz w:val="22"/>
          <w:szCs w:val="22"/>
        </w:rPr>
        <w:t xml:space="preserve"> E. Biocompatibility and tissue interactions of new filler material for medical use. </w:t>
      </w:r>
      <w:proofErr w:type="spellStart"/>
      <w:r w:rsidRPr="00A60AAC">
        <w:rPr>
          <w:rFonts w:cstheme="minorHAnsi"/>
          <w:sz w:val="22"/>
          <w:szCs w:val="22"/>
        </w:rPr>
        <w:t>Plast</w:t>
      </w:r>
      <w:proofErr w:type="spellEnd"/>
      <w:r w:rsidRPr="00A60AAC">
        <w:rPr>
          <w:rFonts w:cstheme="minorHAnsi"/>
          <w:sz w:val="22"/>
          <w:szCs w:val="22"/>
        </w:rPr>
        <w:t xml:space="preserve"> </w:t>
      </w:r>
      <w:proofErr w:type="spellStart"/>
      <w:r w:rsidRPr="00A60AAC">
        <w:rPr>
          <w:rFonts w:cstheme="minorHAnsi"/>
          <w:sz w:val="22"/>
          <w:szCs w:val="22"/>
        </w:rPr>
        <w:t>Reconstr</w:t>
      </w:r>
      <w:proofErr w:type="spellEnd"/>
      <w:r w:rsidRPr="00A60AAC">
        <w:rPr>
          <w:rFonts w:cstheme="minorHAnsi"/>
          <w:sz w:val="22"/>
          <w:szCs w:val="22"/>
        </w:rPr>
        <w:t xml:space="preserve"> </w:t>
      </w:r>
      <w:proofErr w:type="spellStart"/>
      <w:r w:rsidRPr="00A60AAC">
        <w:rPr>
          <w:rFonts w:cstheme="minorHAnsi"/>
          <w:sz w:val="22"/>
          <w:szCs w:val="22"/>
        </w:rPr>
        <w:t>Surg</w:t>
      </w:r>
      <w:proofErr w:type="spellEnd"/>
      <w:r w:rsidRPr="00F934B5">
        <w:rPr>
          <w:rFonts w:cstheme="minorHAnsi"/>
          <w:i/>
          <w:iCs/>
          <w:sz w:val="22"/>
          <w:szCs w:val="22"/>
        </w:rPr>
        <w:t xml:space="preserve"> </w:t>
      </w:r>
      <w:r w:rsidR="00A60AAC" w:rsidRPr="00F934B5">
        <w:rPr>
          <w:rFonts w:cstheme="minorHAnsi"/>
          <w:sz w:val="22"/>
          <w:szCs w:val="22"/>
        </w:rPr>
        <w:t>2004</w:t>
      </w:r>
      <w:r w:rsidR="00A60AAC">
        <w:rPr>
          <w:rFonts w:cstheme="minorHAnsi"/>
          <w:sz w:val="22"/>
          <w:szCs w:val="22"/>
        </w:rPr>
        <w:t>;</w:t>
      </w:r>
      <w:r w:rsidR="00A60AAC" w:rsidRPr="00F934B5">
        <w:rPr>
          <w:rFonts w:cstheme="minorHAnsi"/>
          <w:sz w:val="22"/>
          <w:szCs w:val="22"/>
        </w:rPr>
        <w:t xml:space="preserve"> </w:t>
      </w:r>
      <w:r w:rsidRPr="00A60AAC">
        <w:rPr>
          <w:rFonts w:cstheme="minorHAnsi"/>
          <w:sz w:val="22"/>
          <w:szCs w:val="22"/>
        </w:rPr>
        <w:t>114</w:t>
      </w:r>
      <w:r w:rsidR="00A60AAC">
        <w:rPr>
          <w:rFonts w:cstheme="minorHAnsi"/>
          <w:b/>
          <w:bCs/>
          <w:sz w:val="22"/>
          <w:szCs w:val="22"/>
        </w:rPr>
        <w:t>:</w:t>
      </w:r>
      <w:r w:rsidRPr="00F934B5">
        <w:rPr>
          <w:rFonts w:cstheme="minorHAnsi"/>
          <w:b/>
          <w:bCs/>
          <w:sz w:val="22"/>
          <w:szCs w:val="22"/>
        </w:rPr>
        <w:t xml:space="preserve"> </w:t>
      </w:r>
      <w:r w:rsidRPr="00F934B5">
        <w:rPr>
          <w:rFonts w:cstheme="minorHAnsi"/>
          <w:sz w:val="22"/>
          <w:szCs w:val="22"/>
        </w:rPr>
        <w:t>934-942.</w:t>
      </w:r>
    </w:p>
    <w:p w14:paraId="568D5E0B" w14:textId="08B04D11" w:rsidR="003E02AC" w:rsidRPr="00FE1F2F"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 xml:space="preserve">Christensen LH, Nielsen J, </w:t>
      </w:r>
      <w:proofErr w:type="spellStart"/>
      <w:r w:rsidRPr="00F934B5">
        <w:rPr>
          <w:rFonts w:cstheme="minorHAnsi"/>
          <w:sz w:val="22"/>
          <w:szCs w:val="22"/>
        </w:rPr>
        <w:t>Mouritsen</w:t>
      </w:r>
      <w:proofErr w:type="spellEnd"/>
      <w:r w:rsidRPr="00F934B5">
        <w:rPr>
          <w:rFonts w:cstheme="minorHAnsi"/>
          <w:sz w:val="22"/>
          <w:szCs w:val="22"/>
        </w:rPr>
        <w:t xml:space="preserve"> L, </w:t>
      </w:r>
      <w:proofErr w:type="spellStart"/>
      <w:r w:rsidRPr="00F934B5">
        <w:rPr>
          <w:rFonts w:cstheme="minorHAnsi"/>
          <w:sz w:val="22"/>
          <w:szCs w:val="22"/>
        </w:rPr>
        <w:t>S</w:t>
      </w:r>
      <w:r w:rsidRPr="00FE1F2F">
        <w:rPr>
          <w:rFonts w:cstheme="minorHAnsi"/>
          <w:sz w:val="22"/>
          <w:szCs w:val="22"/>
        </w:rPr>
        <w:t>ørensen</w:t>
      </w:r>
      <w:proofErr w:type="spellEnd"/>
      <w:r w:rsidRPr="00FE1F2F">
        <w:rPr>
          <w:rFonts w:cstheme="minorHAnsi"/>
          <w:sz w:val="22"/>
          <w:szCs w:val="22"/>
        </w:rPr>
        <w:t xml:space="preserve"> M, Lose G. Tissue integration of polyacrylamide hydrogel: an experimental study of </w:t>
      </w:r>
      <w:proofErr w:type="spellStart"/>
      <w:r w:rsidRPr="00FE1F2F">
        <w:rPr>
          <w:rFonts w:cstheme="minorHAnsi"/>
          <w:sz w:val="22"/>
          <w:szCs w:val="22"/>
        </w:rPr>
        <w:t>periurethral</w:t>
      </w:r>
      <w:proofErr w:type="spellEnd"/>
      <w:r w:rsidRPr="00FE1F2F">
        <w:rPr>
          <w:rFonts w:cstheme="minorHAnsi"/>
          <w:sz w:val="22"/>
          <w:szCs w:val="22"/>
        </w:rPr>
        <w:t xml:space="preserve">, </w:t>
      </w:r>
      <w:proofErr w:type="spellStart"/>
      <w:r w:rsidRPr="00FE1F2F">
        <w:rPr>
          <w:rFonts w:cstheme="minorHAnsi"/>
          <w:sz w:val="22"/>
          <w:szCs w:val="22"/>
        </w:rPr>
        <w:t>perivesical</w:t>
      </w:r>
      <w:proofErr w:type="spellEnd"/>
      <w:r w:rsidRPr="00FE1F2F">
        <w:rPr>
          <w:rFonts w:cstheme="minorHAnsi"/>
          <w:sz w:val="22"/>
          <w:szCs w:val="22"/>
        </w:rPr>
        <w:t xml:space="preserve">, and mammary gland tissue in the pig. </w:t>
      </w:r>
      <w:r w:rsidRPr="00862834">
        <w:rPr>
          <w:rFonts w:cstheme="minorHAnsi"/>
          <w:sz w:val="22"/>
          <w:szCs w:val="22"/>
        </w:rPr>
        <w:t xml:space="preserve">Dermatol </w:t>
      </w:r>
      <w:proofErr w:type="spellStart"/>
      <w:r w:rsidRPr="00862834">
        <w:rPr>
          <w:rFonts w:cstheme="minorHAnsi"/>
          <w:sz w:val="22"/>
          <w:szCs w:val="22"/>
        </w:rPr>
        <w:t>Surg</w:t>
      </w:r>
      <w:proofErr w:type="spellEnd"/>
      <w:r w:rsidRPr="00FE1F2F">
        <w:rPr>
          <w:rFonts w:cstheme="minorHAnsi"/>
          <w:i/>
          <w:iCs/>
          <w:sz w:val="22"/>
          <w:szCs w:val="22"/>
        </w:rPr>
        <w:t xml:space="preserve"> </w:t>
      </w:r>
      <w:r w:rsidR="00A60AAC" w:rsidRPr="00FE1F2F">
        <w:rPr>
          <w:rFonts w:cstheme="minorHAnsi"/>
          <w:sz w:val="22"/>
          <w:szCs w:val="22"/>
        </w:rPr>
        <w:t>2008</w:t>
      </w:r>
      <w:r w:rsidR="00A60AAC">
        <w:rPr>
          <w:rFonts w:cstheme="minorHAnsi"/>
          <w:sz w:val="22"/>
          <w:szCs w:val="22"/>
        </w:rPr>
        <w:t xml:space="preserve">; </w:t>
      </w:r>
      <w:r w:rsidRPr="00862834">
        <w:rPr>
          <w:rFonts w:cstheme="minorHAnsi"/>
          <w:sz w:val="22"/>
          <w:szCs w:val="22"/>
        </w:rPr>
        <w:t>34</w:t>
      </w:r>
      <w:r w:rsidR="00A60AAC">
        <w:rPr>
          <w:rFonts w:cstheme="minorHAnsi"/>
          <w:sz w:val="22"/>
          <w:szCs w:val="22"/>
        </w:rPr>
        <w:t>:</w:t>
      </w:r>
      <w:r w:rsidRPr="00FE1F2F">
        <w:rPr>
          <w:rFonts w:cstheme="minorHAnsi"/>
          <w:sz w:val="22"/>
          <w:szCs w:val="22"/>
        </w:rPr>
        <w:t xml:space="preserve"> 68-77.</w:t>
      </w:r>
    </w:p>
    <w:p w14:paraId="085DB99F" w14:textId="7525CC71" w:rsidR="003E02AC" w:rsidRPr="00F934B5"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 xml:space="preserve">Christensen </w:t>
      </w:r>
      <w:r w:rsidR="00A60AAC">
        <w:rPr>
          <w:rFonts w:cstheme="minorHAnsi"/>
          <w:sz w:val="22"/>
          <w:szCs w:val="22"/>
        </w:rPr>
        <w:t>L</w:t>
      </w:r>
      <w:r w:rsidRPr="00F934B5">
        <w:rPr>
          <w:rFonts w:cstheme="minorHAnsi"/>
          <w:sz w:val="22"/>
          <w:szCs w:val="22"/>
        </w:rPr>
        <w:t xml:space="preserve">H, </w:t>
      </w:r>
      <w:proofErr w:type="spellStart"/>
      <w:r w:rsidRPr="00F934B5">
        <w:rPr>
          <w:rFonts w:cstheme="minorHAnsi"/>
          <w:sz w:val="22"/>
          <w:szCs w:val="22"/>
        </w:rPr>
        <w:t>Camitz</w:t>
      </w:r>
      <w:proofErr w:type="spellEnd"/>
      <w:r w:rsidRPr="00F934B5">
        <w:rPr>
          <w:rFonts w:cstheme="minorHAnsi"/>
          <w:sz w:val="22"/>
          <w:szCs w:val="22"/>
        </w:rPr>
        <w:t xml:space="preserve"> L, </w:t>
      </w:r>
      <w:proofErr w:type="spellStart"/>
      <w:r w:rsidRPr="00F934B5">
        <w:rPr>
          <w:rFonts w:cstheme="minorHAnsi"/>
          <w:sz w:val="22"/>
          <w:szCs w:val="22"/>
        </w:rPr>
        <w:t>Illigen</w:t>
      </w:r>
      <w:proofErr w:type="spellEnd"/>
      <w:r w:rsidR="00A60AAC">
        <w:rPr>
          <w:rFonts w:cstheme="minorHAnsi"/>
          <w:sz w:val="22"/>
          <w:szCs w:val="22"/>
        </w:rPr>
        <w:t xml:space="preserve"> </w:t>
      </w:r>
      <w:r w:rsidRPr="00F934B5">
        <w:rPr>
          <w:rFonts w:cstheme="minorHAnsi"/>
          <w:sz w:val="22"/>
          <w:szCs w:val="22"/>
        </w:rPr>
        <w:t xml:space="preserve">KE, Hansen M, </w:t>
      </w:r>
      <w:proofErr w:type="spellStart"/>
      <w:r w:rsidRPr="00F934B5">
        <w:rPr>
          <w:rFonts w:cstheme="minorHAnsi"/>
          <w:sz w:val="22"/>
          <w:szCs w:val="22"/>
        </w:rPr>
        <w:t>Sarvaa</w:t>
      </w:r>
      <w:proofErr w:type="spellEnd"/>
      <w:r w:rsidRPr="00F934B5">
        <w:rPr>
          <w:rFonts w:cstheme="minorHAnsi"/>
          <w:sz w:val="22"/>
          <w:szCs w:val="22"/>
        </w:rPr>
        <w:t xml:space="preserve"> R and </w:t>
      </w:r>
      <w:proofErr w:type="spellStart"/>
      <w:r w:rsidRPr="00F934B5">
        <w:rPr>
          <w:rFonts w:cstheme="minorHAnsi"/>
          <w:sz w:val="22"/>
          <w:szCs w:val="22"/>
        </w:rPr>
        <w:t>Conaghan</w:t>
      </w:r>
      <w:proofErr w:type="spellEnd"/>
      <w:r w:rsidRPr="00F934B5">
        <w:rPr>
          <w:rFonts w:cstheme="minorHAnsi"/>
          <w:sz w:val="22"/>
          <w:szCs w:val="22"/>
        </w:rPr>
        <w:t xml:space="preserve"> PG</w:t>
      </w:r>
      <w:r w:rsidR="00A60AAC">
        <w:rPr>
          <w:rFonts w:cstheme="minorHAnsi"/>
          <w:sz w:val="22"/>
          <w:szCs w:val="22"/>
        </w:rPr>
        <w:t>.</w:t>
      </w:r>
      <w:r w:rsidRPr="00F934B5">
        <w:rPr>
          <w:rFonts w:cstheme="minorHAnsi"/>
          <w:sz w:val="22"/>
          <w:szCs w:val="22"/>
        </w:rPr>
        <w:t xml:space="preserve"> Synovial incorporation of polyacrylamide hydrogel after injection into normal and osteoarthritic animal joints. </w:t>
      </w:r>
      <w:r w:rsidRPr="00A60AAC">
        <w:rPr>
          <w:rFonts w:cstheme="minorHAnsi"/>
          <w:sz w:val="22"/>
          <w:szCs w:val="22"/>
        </w:rPr>
        <w:t>Osteoarthritis and Cartilage</w:t>
      </w:r>
      <w:r w:rsidR="00A60AAC">
        <w:rPr>
          <w:rFonts w:cstheme="minorHAnsi"/>
          <w:sz w:val="22"/>
          <w:szCs w:val="22"/>
        </w:rPr>
        <w:t xml:space="preserve"> </w:t>
      </w:r>
      <w:r w:rsidR="00A60AAC" w:rsidRPr="00F934B5">
        <w:rPr>
          <w:rFonts w:cstheme="minorHAnsi"/>
          <w:sz w:val="22"/>
          <w:szCs w:val="22"/>
        </w:rPr>
        <w:t>2016</w:t>
      </w:r>
      <w:r w:rsidR="00A60AAC" w:rsidRPr="00A60AAC">
        <w:rPr>
          <w:rFonts w:cstheme="minorHAnsi"/>
          <w:sz w:val="22"/>
          <w:szCs w:val="22"/>
        </w:rPr>
        <w:t xml:space="preserve">; </w:t>
      </w:r>
      <w:r w:rsidRPr="00A60AAC">
        <w:rPr>
          <w:rFonts w:cstheme="minorHAnsi"/>
          <w:sz w:val="22"/>
          <w:szCs w:val="22"/>
        </w:rPr>
        <w:t>24</w:t>
      </w:r>
      <w:r w:rsidR="00A60AAC">
        <w:rPr>
          <w:rFonts w:cstheme="minorHAnsi"/>
          <w:sz w:val="22"/>
          <w:szCs w:val="22"/>
        </w:rPr>
        <w:t>:</w:t>
      </w:r>
      <w:r w:rsidRPr="00F934B5">
        <w:rPr>
          <w:rFonts w:cstheme="minorHAnsi"/>
          <w:sz w:val="22"/>
          <w:szCs w:val="22"/>
        </w:rPr>
        <w:t xml:space="preserve"> 1999-2002. </w:t>
      </w:r>
    </w:p>
    <w:p w14:paraId="0EA6B246" w14:textId="699C5919" w:rsidR="003E02AC" w:rsidRPr="00F934B5"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 xml:space="preserve">Janssen I, </w:t>
      </w:r>
      <w:proofErr w:type="spellStart"/>
      <w:r w:rsidRPr="00F934B5">
        <w:rPr>
          <w:rFonts w:cstheme="minorHAnsi"/>
          <w:sz w:val="22"/>
          <w:szCs w:val="22"/>
        </w:rPr>
        <w:t>Koene</w:t>
      </w:r>
      <w:proofErr w:type="spellEnd"/>
      <w:r w:rsidRPr="00F934B5">
        <w:rPr>
          <w:rFonts w:cstheme="minorHAnsi"/>
          <w:sz w:val="22"/>
          <w:szCs w:val="22"/>
        </w:rPr>
        <w:t xml:space="preserve"> M and </w:t>
      </w:r>
      <w:proofErr w:type="spellStart"/>
      <w:r w:rsidRPr="00F934B5">
        <w:rPr>
          <w:rFonts w:cstheme="minorHAnsi"/>
          <w:sz w:val="22"/>
          <w:szCs w:val="22"/>
        </w:rPr>
        <w:t>Lischer</w:t>
      </w:r>
      <w:proofErr w:type="spellEnd"/>
      <w:r w:rsidRPr="00F934B5">
        <w:rPr>
          <w:rFonts w:cstheme="minorHAnsi"/>
          <w:sz w:val="22"/>
          <w:szCs w:val="22"/>
        </w:rPr>
        <w:t xml:space="preserve"> C. Intra-articular application of polyacrylamide hydrogel as a treatment of osteoarthritis in the distal interphalangeal joint: case series with 12 horses</w:t>
      </w:r>
      <w:r w:rsidRPr="00A60AAC">
        <w:rPr>
          <w:rFonts w:cstheme="minorHAnsi"/>
          <w:sz w:val="22"/>
          <w:szCs w:val="22"/>
        </w:rPr>
        <w:t xml:space="preserve">. </w:t>
      </w:r>
      <w:proofErr w:type="spellStart"/>
      <w:r w:rsidRPr="00A60AAC">
        <w:rPr>
          <w:rFonts w:cstheme="minorHAnsi"/>
          <w:sz w:val="22"/>
          <w:szCs w:val="22"/>
        </w:rPr>
        <w:t>Pferdeilkunde</w:t>
      </w:r>
      <w:proofErr w:type="spellEnd"/>
      <w:r w:rsidRPr="00F934B5">
        <w:rPr>
          <w:rFonts w:cstheme="minorHAnsi"/>
          <w:i/>
          <w:iCs/>
          <w:sz w:val="22"/>
          <w:szCs w:val="22"/>
        </w:rPr>
        <w:t xml:space="preserve"> </w:t>
      </w:r>
      <w:r w:rsidR="00A60AAC" w:rsidRPr="00F934B5">
        <w:rPr>
          <w:rFonts w:cstheme="minorHAnsi"/>
          <w:sz w:val="22"/>
          <w:szCs w:val="22"/>
        </w:rPr>
        <w:t>2012</w:t>
      </w:r>
      <w:r w:rsidR="00A60AAC">
        <w:rPr>
          <w:rFonts w:cstheme="minorHAnsi"/>
          <w:sz w:val="22"/>
          <w:szCs w:val="22"/>
        </w:rPr>
        <w:t>;</w:t>
      </w:r>
      <w:r w:rsidR="00A60AAC" w:rsidRPr="00F934B5">
        <w:rPr>
          <w:rFonts w:cstheme="minorHAnsi"/>
          <w:sz w:val="22"/>
          <w:szCs w:val="22"/>
        </w:rPr>
        <w:t xml:space="preserve"> </w:t>
      </w:r>
      <w:r w:rsidRPr="00A60AAC">
        <w:rPr>
          <w:rFonts w:cstheme="minorHAnsi"/>
          <w:sz w:val="22"/>
          <w:szCs w:val="22"/>
        </w:rPr>
        <w:t>28</w:t>
      </w:r>
      <w:r w:rsidRPr="00F934B5">
        <w:rPr>
          <w:rFonts w:cstheme="minorHAnsi"/>
          <w:sz w:val="22"/>
          <w:szCs w:val="22"/>
        </w:rPr>
        <w:t>(6</w:t>
      </w:r>
      <w:r w:rsidR="00A60AAC">
        <w:rPr>
          <w:rFonts w:cstheme="minorHAnsi"/>
          <w:sz w:val="22"/>
          <w:szCs w:val="22"/>
        </w:rPr>
        <w:t>):</w:t>
      </w:r>
      <w:r w:rsidRPr="00F934B5">
        <w:rPr>
          <w:rFonts w:cstheme="minorHAnsi"/>
          <w:sz w:val="22"/>
          <w:szCs w:val="22"/>
        </w:rPr>
        <w:t xml:space="preserve"> 650-656.</w:t>
      </w:r>
    </w:p>
    <w:p w14:paraId="2C11F309" w14:textId="2C0A310D" w:rsidR="003E02AC" w:rsidRPr="00F934B5" w:rsidRDefault="00F45D92" w:rsidP="003232A4">
      <w:pPr>
        <w:pStyle w:val="Paragraphedeliste"/>
        <w:numPr>
          <w:ilvl w:val="0"/>
          <w:numId w:val="2"/>
        </w:numPr>
        <w:spacing w:line="480" w:lineRule="auto"/>
        <w:rPr>
          <w:rFonts w:cstheme="minorHAnsi"/>
          <w:sz w:val="22"/>
          <w:szCs w:val="22"/>
        </w:rPr>
      </w:pPr>
      <w:proofErr w:type="spellStart"/>
      <w:r w:rsidRPr="00F934B5">
        <w:rPr>
          <w:rFonts w:cstheme="minorHAnsi"/>
          <w:sz w:val="22"/>
          <w:szCs w:val="22"/>
        </w:rPr>
        <w:t>Tnibar</w:t>
      </w:r>
      <w:proofErr w:type="spellEnd"/>
      <w:r w:rsidRPr="00F934B5">
        <w:rPr>
          <w:rFonts w:cstheme="minorHAnsi"/>
          <w:sz w:val="22"/>
          <w:szCs w:val="22"/>
        </w:rPr>
        <w:t xml:space="preserve"> A, </w:t>
      </w:r>
      <w:proofErr w:type="spellStart"/>
      <w:r w:rsidRPr="00F934B5">
        <w:rPr>
          <w:rFonts w:cstheme="minorHAnsi"/>
          <w:sz w:val="22"/>
          <w:szCs w:val="22"/>
        </w:rPr>
        <w:t>Schougaard</w:t>
      </w:r>
      <w:proofErr w:type="spellEnd"/>
      <w:r w:rsidRPr="00F934B5">
        <w:rPr>
          <w:rFonts w:cstheme="minorHAnsi"/>
          <w:sz w:val="22"/>
          <w:szCs w:val="22"/>
        </w:rPr>
        <w:t xml:space="preserve"> H, </w:t>
      </w:r>
      <w:proofErr w:type="spellStart"/>
      <w:r w:rsidRPr="00F934B5">
        <w:rPr>
          <w:rFonts w:cstheme="minorHAnsi"/>
          <w:sz w:val="22"/>
          <w:szCs w:val="22"/>
        </w:rPr>
        <w:t>Koene</w:t>
      </w:r>
      <w:proofErr w:type="spellEnd"/>
      <w:r w:rsidRPr="00F934B5">
        <w:rPr>
          <w:rFonts w:cstheme="minorHAnsi"/>
          <w:sz w:val="22"/>
          <w:szCs w:val="22"/>
        </w:rPr>
        <w:t xml:space="preserve"> M and </w:t>
      </w:r>
      <w:proofErr w:type="spellStart"/>
      <w:r w:rsidRPr="00F934B5">
        <w:rPr>
          <w:rFonts w:cstheme="minorHAnsi"/>
          <w:sz w:val="22"/>
          <w:szCs w:val="22"/>
        </w:rPr>
        <w:t>Markussen</w:t>
      </w:r>
      <w:proofErr w:type="spellEnd"/>
      <w:r w:rsidRPr="00F934B5">
        <w:rPr>
          <w:rFonts w:cstheme="minorHAnsi"/>
          <w:sz w:val="22"/>
          <w:szCs w:val="22"/>
        </w:rPr>
        <w:t xml:space="preserve"> B. A controlled clinical trial on the efficacy of an intra-articular polyacrylamide hydrogel in horses with osteoarthritis. </w:t>
      </w:r>
      <w:r w:rsidRPr="00A60AAC">
        <w:rPr>
          <w:rFonts w:cstheme="minorHAnsi"/>
          <w:sz w:val="22"/>
          <w:szCs w:val="22"/>
        </w:rPr>
        <w:t>Proceedings of the European College of Veterinary Surgeons Annual Scientific Meeting</w:t>
      </w:r>
      <w:r w:rsidRPr="00F934B5">
        <w:rPr>
          <w:rFonts w:cstheme="minorHAnsi"/>
          <w:i/>
          <w:iCs/>
          <w:sz w:val="22"/>
          <w:szCs w:val="22"/>
        </w:rPr>
        <w:t xml:space="preserve"> </w:t>
      </w:r>
      <w:r w:rsidR="00A60AAC" w:rsidRPr="00F934B5">
        <w:rPr>
          <w:rFonts w:cstheme="minorHAnsi"/>
          <w:sz w:val="22"/>
          <w:szCs w:val="22"/>
        </w:rPr>
        <w:t>2014</w:t>
      </w:r>
      <w:r w:rsidR="00A60AAC">
        <w:rPr>
          <w:rFonts w:cstheme="minorHAnsi"/>
          <w:sz w:val="22"/>
          <w:szCs w:val="22"/>
        </w:rPr>
        <w:t>;</w:t>
      </w:r>
      <w:r w:rsidR="00A60AAC" w:rsidRPr="00F934B5">
        <w:rPr>
          <w:rFonts w:cstheme="minorHAnsi"/>
          <w:sz w:val="22"/>
          <w:szCs w:val="22"/>
        </w:rPr>
        <w:t xml:space="preserve"> </w:t>
      </w:r>
      <w:r w:rsidRPr="00A60AAC">
        <w:rPr>
          <w:rFonts w:cstheme="minorHAnsi"/>
          <w:sz w:val="22"/>
          <w:szCs w:val="22"/>
        </w:rPr>
        <w:t>3-5</w:t>
      </w:r>
      <w:r w:rsidRPr="00A60AAC">
        <w:rPr>
          <w:rFonts w:cstheme="minorHAnsi"/>
          <w:sz w:val="22"/>
          <w:szCs w:val="22"/>
          <w:vertAlign w:val="superscript"/>
        </w:rPr>
        <w:t>th</w:t>
      </w:r>
      <w:r w:rsidRPr="00A60AAC">
        <w:rPr>
          <w:rFonts w:cstheme="minorHAnsi"/>
          <w:sz w:val="22"/>
          <w:szCs w:val="22"/>
        </w:rPr>
        <w:t xml:space="preserve"> July, Copenhagen, Denmark</w:t>
      </w:r>
      <w:r w:rsidRPr="00F934B5">
        <w:rPr>
          <w:rFonts w:cstheme="minorHAnsi"/>
          <w:i/>
          <w:iCs/>
          <w:sz w:val="22"/>
          <w:szCs w:val="22"/>
        </w:rPr>
        <w:t>.</w:t>
      </w:r>
    </w:p>
    <w:p w14:paraId="47A55E4F" w14:textId="7AC7FFBF" w:rsidR="003E02AC" w:rsidRPr="00F934B5" w:rsidRDefault="00F45D92" w:rsidP="003232A4">
      <w:pPr>
        <w:pStyle w:val="Paragraphedeliste"/>
        <w:numPr>
          <w:ilvl w:val="0"/>
          <w:numId w:val="2"/>
        </w:numPr>
        <w:spacing w:line="480" w:lineRule="auto"/>
        <w:rPr>
          <w:rFonts w:cstheme="minorHAnsi"/>
          <w:sz w:val="22"/>
          <w:szCs w:val="22"/>
        </w:rPr>
      </w:pPr>
      <w:proofErr w:type="spellStart"/>
      <w:r w:rsidRPr="00F934B5">
        <w:rPr>
          <w:rFonts w:cstheme="minorHAnsi"/>
          <w:sz w:val="22"/>
          <w:szCs w:val="22"/>
        </w:rPr>
        <w:t>Tnibar</w:t>
      </w:r>
      <w:proofErr w:type="spellEnd"/>
      <w:r w:rsidRPr="00F934B5">
        <w:rPr>
          <w:rFonts w:cstheme="minorHAnsi"/>
          <w:sz w:val="22"/>
          <w:szCs w:val="22"/>
        </w:rPr>
        <w:t xml:space="preserve"> A, </w:t>
      </w:r>
      <w:proofErr w:type="spellStart"/>
      <w:r w:rsidRPr="00F934B5">
        <w:rPr>
          <w:rFonts w:cstheme="minorHAnsi"/>
          <w:sz w:val="22"/>
          <w:szCs w:val="22"/>
        </w:rPr>
        <w:t>Schougaard</w:t>
      </w:r>
      <w:proofErr w:type="spellEnd"/>
      <w:r w:rsidRPr="00F934B5">
        <w:rPr>
          <w:rFonts w:cstheme="minorHAnsi"/>
          <w:sz w:val="22"/>
          <w:szCs w:val="22"/>
        </w:rPr>
        <w:t xml:space="preserve"> H, </w:t>
      </w:r>
      <w:proofErr w:type="spellStart"/>
      <w:r w:rsidRPr="00F934B5">
        <w:rPr>
          <w:rFonts w:cstheme="minorHAnsi"/>
          <w:sz w:val="22"/>
          <w:szCs w:val="22"/>
        </w:rPr>
        <w:t>Camitz</w:t>
      </w:r>
      <w:proofErr w:type="spellEnd"/>
      <w:r w:rsidRPr="00F934B5">
        <w:rPr>
          <w:rFonts w:cstheme="minorHAnsi"/>
          <w:sz w:val="22"/>
          <w:szCs w:val="22"/>
        </w:rPr>
        <w:t xml:space="preserve"> L, Rasmussen J, </w:t>
      </w:r>
      <w:proofErr w:type="spellStart"/>
      <w:r w:rsidRPr="00F934B5">
        <w:rPr>
          <w:rFonts w:cstheme="minorHAnsi"/>
          <w:sz w:val="22"/>
          <w:szCs w:val="22"/>
        </w:rPr>
        <w:t>Koene</w:t>
      </w:r>
      <w:proofErr w:type="spellEnd"/>
      <w:r w:rsidRPr="00F934B5">
        <w:rPr>
          <w:rFonts w:cstheme="minorHAnsi"/>
          <w:sz w:val="22"/>
          <w:szCs w:val="22"/>
        </w:rPr>
        <w:t xml:space="preserve"> M, </w:t>
      </w:r>
      <w:proofErr w:type="spellStart"/>
      <w:r w:rsidRPr="00F934B5">
        <w:rPr>
          <w:rFonts w:cstheme="minorHAnsi"/>
          <w:sz w:val="22"/>
          <w:szCs w:val="22"/>
        </w:rPr>
        <w:t>Jahn</w:t>
      </w:r>
      <w:proofErr w:type="spellEnd"/>
      <w:r w:rsidRPr="00F934B5">
        <w:rPr>
          <w:rFonts w:cstheme="minorHAnsi"/>
          <w:sz w:val="22"/>
          <w:szCs w:val="22"/>
        </w:rPr>
        <w:t xml:space="preserve"> W and </w:t>
      </w:r>
      <w:proofErr w:type="spellStart"/>
      <w:r w:rsidRPr="00F934B5">
        <w:rPr>
          <w:rFonts w:cstheme="minorHAnsi"/>
          <w:sz w:val="22"/>
          <w:szCs w:val="22"/>
        </w:rPr>
        <w:t>Markussen</w:t>
      </w:r>
      <w:proofErr w:type="spellEnd"/>
      <w:r w:rsidRPr="00F934B5">
        <w:rPr>
          <w:rFonts w:cstheme="minorHAnsi"/>
          <w:sz w:val="22"/>
          <w:szCs w:val="22"/>
        </w:rPr>
        <w:t xml:space="preserve"> B. An international multi-centre prospective study in the efficacy of an intraarticular polyacrylamide hydrogel in horses with osteoarthritis: a 24 months follow-up. </w:t>
      </w:r>
      <w:r w:rsidRPr="009B035D">
        <w:rPr>
          <w:rFonts w:cstheme="minorHAnsi"/>
          <w:sz w:val="22"/>
          <w:szCs w:val="22"/>
        </w:rPr>
        <w:t xml:space="preserve">Acta </w:t>
      </w:r>
      <w:proofErr w:type="spellStart"/>
      <w:r w:rsidRPr="009B035D">
        <w:rPr>
          <w:rFonts w:cstheme="minorHAnsi"/>
          <w:sz w:val="22"/>
          <w:szCs w:val="22"/>
        </w:rPr>
        <w:t>Veterinaria</w:t>
      </w:r>
      <w:proofErr w:type="spellEnd"/>
      <w:r w:rsidRPr="009B035D">
        <w:rPr>
          <w:rFonts w:cstheme="minorHAnsi"/>
          <w:sz w:val="22"/>
          <w:szCs w:val="22"/>
        </w:rPr>
        <w:t xml:space="preserve"> Scandinavia</w:t>
      </w:r>
      <w:r w:rsidR="009B035D">
        <w:rPr>
          <w:rFonts w:cstheme="minorHAnsi"/>
          <w:sz w:val="22"/>
          <w:szCs w:val="22"/>
        </w:rPr>
        <w:t xml:space="preserve"> </w:t>
      </w:r>
      <w:r w:rsidR="009B035D" w:rsidRPr="00F934B5">
        <w:rPr>
          <w:rFonts w:cstheme="minorHAnsi"/>
          <w:sz w:val="22"/>
          <w:szCs w:val="22"/>
        </w:rPr>
        <w:t>2015</w:t>
      </w:r>
      <w:r w:rsidR="009B035D">
        <w:rPr>
          <w:rFonts w:cstheme="minorHAnsi"/>
          <w:sz w:val="22"/>
          <w:szCs w:val="22"/>
        </w:rPr>
        <w:t>;</w:t>
      </w:r>
      <w:r w:rsidRPr="00F934B5">
        <w:rPr>
          <w:rFonts w:cstheme="minorHAnsi"/>
          <w:i/>
          <w:iCs/>
          <w:sz w:val="22"/>
          <w:szCs w:val="22"/>
        </w:rPr>
        <w:t xml:space="preserve"> </w:t>
      </w:r>
      <w:r w:rsidRPr="009B035D">
        <w:rPr>
          <w:rFonts w:cstheme="minorHAnsi"/>
          <w:sz w:val="22"/>
          <w:szCs w:val="22"/>
        </w:rPr>
        <w:t>57</w:t>
      </w:r>
      <w:r w:rsidR="009B035D">
        <w:rPr>
          <w:rFonts w:cstheme="minorHAnsi"/>
          <w:sz w:val="22"/>
          <w:szCs w:val="22"/>
        </w:rPr>
        <w:t>:</w:t>
      </w:r>
      <w:r w:rsidRPr="00F934B5">
        <w:rPr>
          <w:rFonts w:cstheme="minorHAnsi"/>
          <w:sz w:val="22"/>
          <w:szCs w:val="22"/>
        </w:rPr>
        <w:t xml:space="preserve">20. </w:t>
      </w:r>
    </w:p>
    <w:p w14:paraId="2E1FE5D3" w14:textId="5C369EA8" w:rsidR="003E02AC" w:rsidRPr="00862834"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Bathe, AP, Read RM and Briggs</w:t>
      </w:r>
      <w:r w:rsidR="00862834">
        <w:rPr>
          <w:rFonts w:cstheme="minorHAnsi"/>
          <w:sz w:val="22"/>
          <w:szCs w:val="22"/>
        </w:rPr>
        <w:t xml:space="preserve"> </w:t>
      </w:r>
      <w:r w:rsidRPr="00F934B5">
        <w:rPr>
          <w:rFonts w:cstheme="minorHAnsi"/>
          <w:sz w:val="22"/>
          <w:szCs w:val="22"/>
        </w:rPr>
        <w:t xml:space="preserve">C Intra-articular polyacrylamide hydrogel for the treatment of 20 horses with non-responsive osteoarthritis of the interphalangeal </w:t>
      </w:r>
      <w:r w:rsidRPr="00F934B5">
        <w:rPr>
          <w:rFonts w:cstheme="minorHAnsi"/>
          <w:sz w:val="22"/>
          <w:szCs w:val="22"/>
        </w:rPr>
        <w:lastRenderedPageBreak/>
        <w:t xml:space="preserve">joints: a prospective study. </w:t>
      </w:r>
      <w:r w:rsidRPr="00862834">
        <w:rPr>
          <w:rFonts w:cstheme="minorHAnsi"/>
          <w:sz w:val="22"/>
          <w:szCs w:val="22"/>
        </w:rPr>
        <w:t>Veterinary Orthopaedic Society 43</w:t>
      </w:r>
      <w:r w:rsidRPr="00862834">
        <w:rPr>
          <w:rFonts w:cstheme="minorHAnsi"/>
          <w:sz w:val="22"/>
          <w:szCs w:val="22"/>
          <w:vertAlign w:val="superscript"/>
        </w:rPr>
        <w:t>rd</w:t>
      </w:r>
      <w:r w:rsidRPr="00862834">
        <w:rPr>
          <w:rFonts w:cstheme="minorHAnsi"/>
          <w:sz w:val="22"/>
          <w:szCs w:val="22"/>
        </w:rPr>
        <w:t xml:space="preserve"> Annual Conference Abstract</w:t>
      </w:r>
      <w:r w:rsidR="00862834">
        <w:rPr>
          <w:rFonts w:cstheme="minorHAnsi"/>
          <w:sz w:val="22"/>
          <w:szCs w:val="22"/>
        </w:rPr>
        <w:t xml:space="preserve"> </w:t>
      </w:r>
      <w:r w:rsidR="00862834" w:rsidRPr="00862834">
        <w:rPr>
          <w:rFonts w:cstheme="minorHAnsi"/>
          <w:sz w:val="22"/>
          <w:szCs w:val="22"/>
        </w:rPr>
        <w:t>2016</w:t>
      </w:r>
      <w:r w:rsidR="00862834">
        <w:rPr>
          <w:rFonts w:cstheme="minorHAnsi"/>
          <w:sz w:val="22"/>
          <w:szCs w:val="22"/>
        </w:rPr>
        <w:t>;</w:t>
      </w:r>
      <w:r w:rsidR="00862834" w:rsidRPr="00862834">
        <w:rPr>
          <w:rFonts w:cstheme="minorHAnsi"/>
          <w:sz w:val="22"/>
          <w:szCs w:val="22"/>
        </w:rPr>
        <w:t xml:space="preserve"> </w:t>
      </w:r>
      <w:r w:rsidRPr="00862834">
        <w:rPr>
          <w:rFonts w:cstheme="minorHAnsi"/>
          <w:sz w:val="22"/>
          <w:szCs w:val="22"/>
        </w:rPr>
        <w:t>USA.</w:t>
      </w:r>
    </w:p>
    <w:p w14:paraId="18C0A36D" w14:textId="068E9BB8" w:rsidR="003E02AC" w:rsidRPr="00F934B5"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de Clifford LT, Lo</w:t>
      </w:r>
      <w:r w:rsidR="00862834">
        <w:rPr>
          <w:rFonts w:cstheme="minorHAnsi"/>
          <w:sz w:val="22"/>
          <w:szCs w:val="22"/>
        </w:rPr>
        <w:t>we</w:t>
      </w:r>
      <w:r w:rsidRPr="00F934B5">
        <w:rPr>
          <w:rFonts w:cstheme="minorHAnsi"/>
          <w:sz w:val="22"/>
          <w:szCs w:val="22"/>
        </w:rPr>
        <w:t xml:space="preserve"> JN, McKellar CD, </w:t>
      </w:r>
      <w:proofErr w:type="spellStart"/>
      <w:r w:rsidRPr="00F934B5">
        <w:rPr>
          <w:rFonts w:cstheme="minorHAnsi"/>
          <w:sz w:val="22"/>
          <w:szCs w:val="22"/>
        </w:rPr>
        <w:t>Bolwell</w:t>
      </w:r>
      <w:proofErr w:type="spellEnd"/>
      <w:r w:rsidRPr="00F934B5">
        <w:rPr>
          <w:rFonts w:cstheme="minorHAnsi"/>
          <w:sz w:val="22"/>
          <w:szCs w:val="22"/>
        </w:rPr>
        <w:t xml:space="preserve"> C and David F. Use of a 2.5% cross-linked polyacrylamide hydrogel in the management of joint lameness in a population of flat racing Thoroughbreds: A pilot study. </w:t>
      </w:r>
      <w:r w:rsidRPr="00862834">
        <w:rPr>
          <w:rFonts w:cstheme="minorHAnsi"/>
          <w:sz w:val="22"/>
          <w:szCs w:val="22"/>
        </w:rPr>
        <w:t>Journal of Equine Veterinary Science</w:t>
      </w:r>
      <w:r w:rsidR="00862834">
        <w:rPr>
          <w:rFonts w:cstheme="minorHAnsi"/>
          <w:sz w:val="22"/>
          <w:szCs w:val="22"/>
        </w:rPr>
        <w:t xml:space="preserve"> </w:t>
      </w:r>
      <w:r w:rsidR="00862834" w:rsidRPr="00F934B5">
        <w:rPr>
          <w:rFonts w:cstheme="minorHAnsi"/>
          <w:sz w:val="22"/>
          <w:szCs w:val="22"/>
        </w:rPr>
        <w:t>2019</w:t>
      </w:r>
      <w:r w:rsidR="00862834">
        <w:rPr>
          <w:rFonts w:cstheme="minorHAnsi"/>
          <w:sz w:val="22"/>
          <w:szCs w:val="22"/>
        </w:rPr>
        <w:t>;</w:t>
      </w:r>
      <w:r w:rsidR="00862834" w:rsidRPr="00F934B5">
        <w:rPr>
          <w:rFonts w:cstheme="minorHAnsi"/>
          <w:sz w:val="22"/>
          <w:szCs w:val="22"/>
        </w:rPr>
        <w:t xml:space="preserve"> </w:t>
      </w:r>
      <w:r w:rsidRPr="00862834">
        <w:rPr>
          <w:rFonts w:cstheme="minorHAnsi"/>
          <w:sz w:val="22"/>
          <w:szCs w:val="22"/>
        </w:rPr>
        <w:t>77</w:t>
      </w:r>
      <w:r w:rsidR="00862834">
        <w:rPr>
          <w:rFonts w:cstheme="minorHAnsi"/>
          <w:sz w:val="22"/>
          <w:szCs w:val="22"/>
        </w:rPr>
        <w:t>:</w:t>
      </w:r>
      <w:r w:rsidRPr="00F934B5">
        <w:rPr>
          <w:rFonts w:cstheme="minorHAnsi"/>
          <w:sz w:val="22"/>
          <w:szCs w:val="22"/>
        </w:rPr>
        <w:t xml:space="preserve"> 57-62.</w:t>
      </w:r>
    </w:p>
    <w:p w14:paraId="314A42EC" w14:textId="747791D8" w:rsidR="003E02AC" w:rsidRPr="00E42E7A" w:rsidRDefault="00F45D92" w:rsidP="003232A4">
      <w:pPr>
        <w:pStyle w:val="Paragraphedeliste"/>
        <w:numPr>
          <w:ilvl w:val="0"/>
          <w:numId w:val="2"/>
        </w:numPr>
        <w:spacing w:beforeAutospacing="1" w:afterAutospacing="1" w:line="480" w:lineRule="auto"/>
        <w:rPr>
          <w:sz w:val="22"/>
          <w:szCs w:val="22"/>
        </w:rPr>
      </w:pPr>
      <w:r w:rsidRPr="00E42E7A">
        <w:rPr>
          <w:sz w:val="22"/>
          <w:szCs w:val="22"/>
        </w:rPr>
        <w:t>American Association Equine Practitioners Lameness Exams; Evaluating the lame horse</w:t>
      </w:r>
      <w:r w:rsidR="00862834">
        <w:rPr>
          <w:sz w:val="22"/>
          <w:szCs w:val="22"/>
        </w:rPr>
        <w:t xml:space="preserve"> </w:t>
      </w:r>
      <w:r w:rsidR="00862834" w:rsidRPr="00E42E7A">
        <w:rPr>
          <w:sz w:val="22"/>
          <w:szCs w:val="22"/>
        </w:rPr>
        <w:t>2017</w:t>
      </w:r>
      <w:r w:rsidR="00862834">
        <w:rPr>
          <w:sz w:val="22"/>
          <w:szCs w:val="22"/>
        </w:rPr>
        <w:t>;</w:t>
      </w:r>
      <w:r w:rsidR="00862834" w:rsidRPr="00E42E7A">
        <w:rPr>
          <w:sz w:val="22"/>
          <w:szCs w:val="22"/>
        </w:rPr>
        <w:t xml:space="preserve"> </w:t>
      </w:r>
      <w:r w:rsidRPr="00E42E7A">
        <w:rPr>
          <w:sz w:val="22"/>
          <w:szCs w:val="22"/>
        </w:rPr>
        <w:t xml:space="preserve">Retrieved from; </w:t>
      </w:r>
      <w:hyperlink r:id="rId11" w:history="1">
        <w:r w:rsidRPr="00E42E7A">
          <w:rPr>
            <w:rStyle w:val="Lienhypertexte"/>
            <w:sz w:val="22"/>
            <w:szCs w:val="22"/>
          </w:rPr>
          <w:t>https://aaep.org/horsehealth/lameness-exams-evaluating-lame-horse</w:t>
        </w:r>
      </w:hyperlink>
    </w:p>
    <w:p w14:paraId="08F625AA" w14:textId="6D563295" w:rsidR="003E02AC" w:rsidRPr="00E42E7A" w:rsidRDefault="00F45D92" w:rsidP="003232A4">
      <w:pPr>
        <w:pStyle w:val="Paragraphedeliste"/>
        <w:numPr>
          <w:ilvl w:val="0"/>
          <w:numId w:val="2"/>
        </w:numPr>
        <w:spacing w:line="480" w:lineRule="auto"/>
        <w:rPr>
          <w:sz w:val="22"/>
          <w:szCs w:val="22"/>
        </w:rPr>
      </w:pPr>
      <w:r w:rsidRPr="00E42E7A">
        <w:rPr>
          <w:sz w:val="22"/>
          <w:szCs w:val="22"/>
        </w:rPr>
        <w:t>Ferris</w:t>
      </w:r>
      <w:r w:rsidR="00890A5B">
        <w:rPr>
          <w:sz w:val="22"/>
          <w:szCs w:val="22"/>
        </w:rPr>
        <w:t xml:space="preserve"> </w:t>
      </w:r>
      <w:r w:rsidRPr="00E42E7A">
        <w:rPr>
          <w:sz w:val="22"/>
          <w:szCs w:val="22"/>
        </w:rPr>
        <w:t xml:space="preserve">DJ, </w:t>
      </w:r>
      <w:proofErr w:type="spellStart"/>
      <w:r w:rsidRPr="00E42E7A">
        <w:rPr>
          <w:sz w:val="22"/>
          <w:szCs w:val="22"/>
        </w:rPr>
        <w:t>Frisbie</w:t>
      </w:r>
      <w:proofErr w:type="spellEnd"/>
      <w:r w:rsidRPr="00E42E7A">
        <w:rPr>
          <w:sz w:val="22"/>
          <w:szCs w:val="22"/>
        </w:rPr>
        <w:t xml:space="preserve"> DD,</w:t>
      </w:r>
      <w:r w:rsidR="00890A5B">
        <w:rPr>
          <w:sz w:val="22"/>
          <w:szCs w:val="22"/>
        </w:rPr>
        <w:t xml:space="preserve"> </w:t>
      </w:r>
      <w:r w:rsidRPr="00E42E7A">
        <w:rPr>
          <w:sz w:val="22"/>
          <w:szCs w:val="22"/>
        </w:rPr>
        <w:t xml:space="preserve">McIlwraith CW and </w:t>
      </w:r>
      <w:proofErr w:type="spellStart"/>
      <w:r w:rsidRPr="00E42E7A">
        <w:rPr>
          <w:sz w:val="22"/>
          <w:szCs w:val="22"/>
        </w:rPr>
        <w:t>Kawcak</w:t>
      </w:r>
      <w:proofErr w:type="spellEnd"/>
      <w:r w:rsidRPr="00E42E7A">
        <w:rPr>
          <w:sz w:val="22"/>
          <w:szCs w:val="22"/>
        </w:rPr>
        <w:t xml:space="preserve"> CE</w:t>
      </w:r>
      <w:r w:rsidR="00890A5B">
        <w:rPr>
          <w:sz w:val="22"/>
          <w:szCs w:val="22"/>
        </w:rPr>
        <w:t>.</w:t>
      </w:r>
      <w:r w:rsidRPr="00E42E7A">
        <w:rPr>
          <w:sz w:val="22"/>
          <w:szCs w:val="22"/>
        </w:rPr>
        <w:t xml:space="preserve"> Current joint therapy usage in equine practice: a survey of veterinarians 2009.</w:t>
      </w:r>
      <w:r w:rsidR="00890A5B" w:rsidRPr="00E42E7A">
        <w:rPr>
          <w:sz w:val="22"/>
          <w:szCs w:val="22"/>
        </w:rPr>
        <w:t xml:space="preserve"> </w:t>
      </w:r>
      <w:r w:rsidRPr="00890A5B">
        <w:rPr>
          <w:iCs/>
          <w:sz w:val="22"/>
          <w:szCs w:val="22"/>
        </w:rPr>
        <w:t>Equine Vet J</w:t>
      </w:r>
      <w:r w:rsidRPr="00E42E7A">
        <w:rPr>
          <w:i/>
          <w:sz w:val="22"/>
          <w:szCs w:val="22"/>
        </w:rPr>
        <w:t xml:space="preserve"> </w:t>
      </w:r>
      <w:r w:rsidR="00890A5B" w:rsidRPr="00E42E7A">
        <w:rPr>
          <w:sz w:val="22"/>
          <w:szCs w:val="22"/>
        </w:rPr>
        <w:t>2011</w:t>
      </w:r>
      <w:r w:rsidR="00890A5B">
        <w:rPr>
          <w:sz w:val="22"/>
          <w:szCs w:val="22"/>
        </w:rPr>
        <w:t xml:space="preserve">; </w:t>
      </w:r>
      <w:r w:rsidRPr="00890A5B">
        <w:rPr>
          <w:bCs/>
          <w:sz w:val="22"/>
          <w:szCs w:val="22"/>
        </w:rPr>
        <w:t>43</w:t>
      </w:r>
      <w:r w:rsidRPr="00E42E7A">
        <w:rPr>
          <w:sz w:val="22"/>
          <w:szCs w:val="22"/>
        </w:rPr>
        <w:t>(5)</w:t>
      </w:r>
      <w:r w:rsidR="00890A5B">
        <w:rPr>
          <w:sz w:val="22"/>
          <w:szCs w:val="22"/>
        </w:rPr>
        <w:t>:</w:t>
      </w:r>
      <w:r w:rsidRPr="00E42E7A">
        <w:rPr>
          <w:sz w:val="22"/>
          <w:szCs w:val="22"/>
        </w:rPr>
        <w:t xml:space="preserve"> 530-535.</w:t>
      </w:r>
    </w:p>
    <w:p w14:paraId="660F9AA3" w14:textId="6FD9F48C" w:rsidR="003E02AC" w:rsidRPr="00FE1F2F" w:rsidRDefault="00F45D92" w:rsidP="003232A4">
      <w:pPr>
        <w:pStyle w:val="Bibliographie"/>
        <w:numPr>
          <w:ilvl w:val="0"/>
          <w:numId w:val="2"/>
        </w:numPr>
        <w:spacing w:line="480" w:lineRule="auto"/>
        <w:rPr>
          <w:rFonts w:cstheme="minorHAnsi"/>
          <w:noProof/>
          <w:sz w:val="22"/>
          <w:szCs w:val="22"/>
        </w:rPr>
      </w:pPr>
      <w:r w:rsidRPr="00FE1F2F">
        <w:rPr>
          <w:rFonts w:cstheme="minorHAnsi"/>
          <w:noProof/>
          <w:sz w:val="22"/>
          <w:szCs w:val="22"/>
        </w:rPr>
        <w:t>Kawcak C, Barrett M, Werpy N and Selberg K. Principles of Diagnosis</w:t>
      </w:r>
      <w:r w:rsidR="00C56267">
        <w:rPr>
          <w:rFonts w:cstheme="minorHAnsi"/>
          <w:noProof/>
          <w:sz w:val="22"/>
          <w:szCs w:val="22"/>
        </w:rPr>
        <w:t>.</w:t>
      </w:r>
      <w:r w:rsidR="00C56267" w:rsidRPr="00FE1F2F">
        <w:rPr>
          <w:rFonts w:cstheme="minorHAnsi"/>
          <w:noProof/>
          <w:sz w:val="22"/>
          <w:szCs w:val="22"/>
        </w:rPr>
        <w:t xml:space="preserve"> In:  </w:t>
      </w:r>
      <w:r w:rsidR="00C56267" w:rsidRPr="00F934B5">
        <w:rPr>
          <w:rFonts w:cstheme="minorHAnsi"/>
          <w:sz w:val="22"/>
          <w:szCs w:val="22"/>
        </w:rPr>
        <w:t>McIlwraith</w:t>
      </w:r>
      <w:r w:rsidR="00C56267">
        <w:rPr>
          <w:rFonts w:cstheme="minorHAnsi"/>
          <w:sz w:val="22"/>
          <w:szCs w:val="22"/>
        </w:rPr>
        <w:t xml:space="preserve"> CW</w:t>
      </w:r>
      <w:r w:rsidR="00C56267" w:rsidRPr="00F934B5">
        <w:rPr>
          <w:rFonts w:cstheme="minorHAnsi"/>
          <w:sz w:val="22"/>
          <w:szCs w:val="22"/>
        </w:rPr>
        <w:t xml:space="preserve">, </w:t>
      </w:r>
      <w:proofErr w:type="spellStart"/>
      <w:r w:rsidR="00C56267" w:rsidRPr="00F934B5">
        <w:rPr>
          <w:rFonts w:cstheme="minorHAnsi"/>
          <w:sz w:val="22"/>
          <w:szCs w:val="22"/>
        </w:rPr>
        <w:t>Frisbie</w:t>
      </w:r>
      <w:proofErr w:type="spellEnd"/>
      <w:r w:rsidR="00C56267">
        <w:rPr>
          <w:rFonts w:cstheme="minorHAnsi"/>
          <w:sz w:val="22"/>
          <w:szCs w:val="22"/>
        </w:rPr>
        <w:t xml:space="preserve"> DD</w:t>
      </w:r>
      <w:r w:rsidR="00C56267" w:rsidRPr="00F934B5">
        <w:rPr>
          <w:rFonts w:cstheme="minorHAnsi"/>
          <w:sz w:val="22"/>
          <w:szCs w:val="22"/>
        </w:rPr>
        <w:t xml:space="preserve">, </w:t>
      </w:r>
      <w:proofErr w:type="spellStart"/>
      <w:r w:rsidR="00C56267" w:rsidRPr="00F934B5">
        <w:rPr>
          <w:rFonts w:cstheme="minorHAnsi"/>
          <w:sz w:val="22"/>
          <w:szCs w:val="22"/>
        </w:rPr>
        <w:t>Kawcak</w:t>
      </w:r>
      <w:proofErr w:type="spellEnd"/>
      <w:r w:rsidR="00C56267">
        <w:rPr>
          <w:rFonts w:cstheme="minorHAnsi"/>
          <w:sz w:val="22"/>
          <w:szCs w:val="22"/>
        </w:rPr>
        <w:t xml:space="preserve"> CE</w:t>
      </w:r>
      <w:r w:rsidR="00C56267" w:rsidRPr="00F934B5">
        <w:rPr>
          <w:rFonts w:cstheme="minorHAnsi"/>
          <w:sz w:val="22"/>
          <w:szCs w:val="22"/>
        </w:rPr>
        <w:t xml:space="preserve"> and van </w:t>
      </w:r>
      <w:proofErr w:type="spellStart"/>
      <w:r w:rsidR="00C56267" w:rsidRPr="00F934B5">
        <w:rPr>
          <w:rFonts w:cstheme="minorHAnsi"/>
          <w:sz w:val="22"/>
          <w:szCs w:val="22"/>
        </w:rPr>
        <w:t>Weeren</w:t>
      </w:r>
      <w:proofErr w:type="spellEnd"/>
      <w:r w:rsidR="00C56267">
        <w:rPr>
          <w:rFonts w:cstheme="minorHAnsi"/>
          <w:sz w:val="22"/>
          <w:szCs w:val="22"/>
        </w:rPr>
        <w:t xml:space="preserve"> PR, editors. </w:t>
      </w:r>
      <w:r w:rsidR="00C56267" w:rsidRPr="00FE1F2F">
        <w:rPr>
          <w:rFonts w:cstheme="minorHAnsi"/>
          <w:noProof/>
          <w:sz w:val="22"/>
          <w:szCs w:val="22"/>
        </w:rPr>
        <w:t>Joint Disease in the Horse</w:t>
      </w:r>
      <w:r w:rsidR="00C56267">
        <w:rPr>
          <w:rFonts w:cstheme="minorHAnsi"/>
          <w:noProof/>
          <w:sz w:val="22"/>
          <w:szCs w:val="22"/>
        </w:rPr>
        <w:t xml:space="preserve"> 2</w:t>
      </w:r>
      <w:r w:rsidR="00C56267" w:rsidRPr="00C56267">
        <w:rPr>
          <w:rFonts w:cstheme="minorHAnsi"/>
          <w:noProof/>
          <w:sz w:val="22"/>
          <w:szCs w:val="22"/>
          <w:vertAlign w:val="superscript"/>
        </w:rPr>
        <w:t>nd</w:t>
      </w:r>
      <w:r w:rsidR="00C56267">
        <w:rPr>
          <w:rFonts w:cstheme="minorHAnsi"/>
          <w:noProof/>
          <w:sz w:val="22"/>
          <w:szCs w:val="22"/>
        </w:rPr>
        <w:t xml:space="preserve"> Edition, Missouri: </w:t>
      </w:r>
      <w:r w:rsidR="00C56267" w:rsidRPr="00F934B5">
        <w:rPr>
          <w:rFonts w:cstheme="minorHAnsi"/>
          <w:sz w:val="22"/>
          <w:szCs w:val="22"/>
        </w:rPr>
        <w:t xml:space="preserve">Elsevier, </w:t>
      </w:r>
      <w:r w:rsidR="00C56267">
        <w:rPr>
          <w:rFonts w:cstheme="minorHAnsi"/>
          <w:sz w:val="22"/>
          <w:szCs w:val="22"/>
        </w:rPr>
        <w:t>2016</w:t>
      </w:r>
      <w:r w:rsidR="00C56267">
        <w:rPr>
          <w:rFonts w:cstheme="minorHAnsi"/>
          <w:noProof/>
          <w:sz w:val="22"/>
          <w:szCs w:val="22"/>
        </w:rPr>
        <w:t xml:space="preserve">, p. </w:t>
      </w:r>
      <w:r w:rsidRPr="00FE1F2F">
        <w:rPr>
          <w:rFonts w:cstheme="minorHAnsi"/>
          <w:noProof/>
          <w:sz w:val="22"/>
          <w:szCs w:val="22"/>
        </w:rPr>
        <w:t xml:space="preserve">119-133. </w:t>
      </w:r>
    </w:p>
    <w:p w14:paraId="7FAC3BAC" w14:textId="7C2C9FFB" w:rsidR="003E02AC" w:rsidRPr="00FE1F2F" w:rsidRDefault="00F45D92" w:rsidP="003232A4">
      <w:pPr>
        <w:pStyle w:val="Paragraphedeliste"/>
        <w:numPr>
          <w:ilvl w:val="0"/>
          <w:numId w:val="2"/>
        </w:numPr>
        <w:spacing w:before="100" w:beforeAutospacing="1" w:after="100" w:afterAutospacing="1" w:line="480" w:lineRule="auto"/>
        <w:rPr>
          <w:rFonts w:eastAsia="Times New Roman" w:cstheme="minorHAnsi"/>
          <w:sz w:val="22"/>
          <w:szCs w:val="22"/>
          <w:lang w:val="en-NZ"/>
        </w:rPr>
      </w:pPr>
      <w:proofErr w:type="spellStart"/>
      <w:r w:rsidRPr="00F934B5">
        <w:rPr>
          <w:rFonts w:eastAsia="Times New Roman" w:cstheme="minorHAnsi"/>
          <w:sz w:val="22"/>
          <w:szCs w:val="22"/>
          <w:lang w:val="en-NZ"/>
        </w:rPr>
        <w:t>Tnibar</w:t>
      </w:r>
      <w:proofErr w:type="spellEnd"/>
      <w:r w:rsidRPr="00F934B5">
        <w:rPr>
          <w:rFonts w:eastAsia="Times New Roman" w:cstheme="minorHAnsi"/>
          <w:sz w:val="22"/>
          <w:szCs w:val="22"/>
          <w:lang w:val="en-NZ"/>
        </w:rPr>
        <w:t xml:space="preserve"> A, Persson AB and Jensen HE</w:t>
      </w:r>
      <w:r w:rsidR="00FD21FD">
        <w:rPr>
          <w:rFonts w:eastAsia="Times New Roman" w:cstheme="minorHAnsi"/>
          <w:sz w:val="22"/>
          <w:szCs w:val="22"/>
          <w:lang w:val="en-NZ"/>
        </w:rPr>
        <w:t>.</w:t>
      </w:r>
      <w:r w:rsidRPr="00F934B5">
        <w:rPr>
          <w:rFonts w:eastAsia="Times New Roman" w:cstheme="minorHAnsi"/>
          <w:sz w:val="22"/>
          <w:szCs w:val="22"/>
          <w:lang w:val="en-NZ"/>
        </w:rPr>
        <w:t xml:space="preserve"> Mechanisms of Action of an Intraarticular 2.5% Polyacrylamide Hydrogel in a Goat Model of Osteoarthritis: Preliminary Observations. </w:t>
      </w:r>
      <w:r w:rsidRPr="00890A5B">
        <w:rPr>
          <w:rFonts w:eastAsia="Times New Roman" w:cstheme="minorHAnsi"/>
          <w:sz w:val="22"/>
          <w:szCs w:val="22"/>
          <w:lang w:val="en-NZ"/>
        </w:rPr>
        <w:t xml:space="preserve">SM J Biomed </w:t>
      </w:r>
      <w:proofErr w:type="spellStart"/>
      <w:r w:rsidRPr="00890A5B">
        <w:rPr>
          <w:rFonts w:eastAsia="Times New Roman" w:cstheme="minorHAnsi"/>
          <w:sz w:val="22"/>
          <w:szCs w:val="22"/>
          <w:lang w:val="en-NZ"/>
        </w:rPr>
        <w:t>Eng</w:t>
      </w:r>
      <w:proofErr w:type="spellEnd"/>
      <w:r w:rsidR="00890A5B" w:rsidRPr="00890A5B">
        <w:rPr>
          <w:rFonts w:eastAsia="Times New Roman" w:cstheme="minorHAnsi"/>
          <w:sz w:val="22"/>
          <w:szCs w:val="22"/>
          <w:lang w:val="en-NZ"/>
        </w:rPr>
        <w:t xml:space="preserve"> </w:t>
      </w:r>
      <w:r w:rsidR="00890A5B" w:rsidRPr="00F934B5">
        <w:rPr>
          <w:rFonts w:eastAsia="Times New Roman" w:cstheme="minorHAnsi"/>
          <w:sz w:val="22"/>
          <w:szCs w:val="22"/>
          <w:lang w:val="en-NZ"/>
        </w:rPr>
        <w:t>2017</w:t>
      </w:r>
      <w:r w:rsidR="00890A5B">
        <w:rPr>
          <w:rFonts w:eastAsia="Times New Roman" w:cstheme="minorHAnsi"/>
          <w:sz w:val="22"/>
          <w:szCs w:val="22"/>
          <w:lang w:val="en-NZ"/>
        </w:rPr>
        <w:t>;</w:t>
      </w:r>
      <w:r w:rsidR="00890A5B" w:rsidRPr="00F934B5">
        <w:rPr>
          <w:rFonts w:eastAsia="Times New Roman" w:cstheme="minorHAnsi"/>
          <w:sz w:val="22"/>
          <w:szCs w:val="22"/>
          <w:lang w:val="en-NZ"/>
        </w:rPr>
        <w:t xml:space="preserve"> </w:t>
      </w:r>
      <w:r w:rsidRPr="00F934B5">
        <w:rPr>
          <w:rFonts w:eastAsia="Times New Roman" w:cstheme="minorHAnsi"/>
          <w:sz w:val="22"/>
          <w:szCs w:val="22"/>
          <w:lang w:val="en-NZ"/>
        </w:rPr>
        <w:t xml:space="preserve"> </w:t>
      </w:r>
      <w:r w:rsidRPr="00890A5B">
        <w:rPr>
          <w:rFonts w:eastAsia="Times New Roman" w:cstheme="minorHAnsi"/>
          <w:sz w:val="22"/>
          <w:szCs w:val="22"/>
          <w:lang w:val="en-NZ"/>
        </w:rPr>
        <w:t>3</w:t>
      </w:r>
      <w:r w:rsidRPr="00F934B5">
        <w:rPr>
          <w:rFonts w:eastAsia="Times New Roman" w:cstheme="minorHAnsi"/>
          <w:sz w:val="22"/>
          <w:szCs w:val="22"/>
          <w:lang w:val="en-NZ"/>
        </w:rPr>
        <w:t>(3)</w:t>
      </w:r>
      <w:r w:rsidR="00890A5B">
        <w:rPr>
          <w:rFonts w:eastAsia="Times New Roman" w:cstheme="minorHAnsi"/>
          <w:sz w:val="22"/>
          <w:szCs w:val="22"/>
          <w:lang w:val="en-NZ"/>
        </w:rPr>
        <w:t>:</w:t>
      </w:r>
      <w:r w:rsidRPr="00F934B5">
        <w:rPr>
          <w:rFonts w:eastAsia="Times New Roman" w:cstheme="minorHAnsi"/>
          <w:sz w:val="22"/>
          <w:szCs w:val="22"/>
          <w:lang w:val="en-NZ"/>
        </w:rPr>
        <w:t xml:space="preserve"> 1022</w:t>
      </w:r>
      <w:r w:rsidRPr="00FE1F2F">
        <w:rPr>
          <w:rFonts w:eastAsia="Times New Roman" w:cstheme="minorHAnsi"/>
          <w:sz w:val="22"/>
          <w:szCs w:val="22"/>
          <w:lang w:val="en-NZ"/>
        </w:rPr>
        <w:t>.</w:t>
      </w:r>
    </w:p>
    <w:p w14:paraId="0D7A3B3C" w14:textId="20F760F3" w:rsidR="003E02AC" w:rsidRPr="00FE1F2F" w:rsidRDefault="00F45D92" w:rsidP="003232A4">
      <w:pPr>
        <w:pStyle w:val="Bibliographie"/>
        <w:numPr>
          <w:ilvl w:val="0"/>
          <w:numId w:val="2"/>
        </w:numPr>
        <w:spacing w:line="480" w:lineRule="auto"/>
        <w:rPr>
          <w:rFonts w:cstheme="minorHAnsi"/>
          <w:noProof/>
          <w:color w:val="000000" w:themeColor="text1"/>
          <w:sz w:val="22"/>
          <w:szCs w:val="22"/>
        </w:rPr>
      </w:pPr>
      <w:r w:rsidRPr="00DF0A3C">
        <w:rPr>
          <w:rFonts w:eastAsia="-webkit-standard" w:cstheme="minorHAnsi"/>
          <w:noProof/>
          <w:color w:val="000000" w:themeColor="text1"/>
          <w:sz w:val="22"/>
          <w:szCs w:val="22"/>
          <w:lang w:val="es-ES"/>
        </w:rPr>
        <w:t xml:space="preserve">Tnibar A, Persson A, Jensen HE, Svalastoga E, Westrup U, McEvoy F, et al. </w:t>
      </w:r>
      <w:r w:rsidRPr="00FE1F2F">
        <w:rPr>
          <w:rFonts w:eastAsia="-webkit-standard" w:cstheme="minorHAnsi"/>
          <w:noProof/>
          <w:color w:val="000000" w:themeColor="text1"/>
          <w:sz w:val="22"/>
          <w:szCs w:val="22"/>
        </w:rPr>
        <w:t>Evaluation of a polyacrylamide hydrogel in the treatment of induced osteoarthritis in a goat model: A pilot randomized controlled Study [abstract]. Osteoarthritis and Cartilage 2014;22:s477.</w:t>
      </w:r>
      <w:r w:rsidRPr="00FE1F2F">
        <w:rPr>
          <w:rFonts w:cstheme="minorHAnsi"/>
          <w:noProof/>
          <w:sz w:val="22"/>
          <w:szCs w:val="22"/>
        </w:rPr>
        <w:t xml:space="preserve"> </w:t>
      </w:r>
    </w:p>
    <w:p w14:paraId="0EEB4595" w14:textId="5B73E422" w:rsidR="00BB7004" w:rsidRPr="00BB7004" w:rsidRDefault="00F45D92" w:rsidP="003232A4">
      <w:pPr>
        <w:pStyle w:val="Bibliographie"/>
        <w:numPr>
          <w:ilvl w:val="0"/>
          <w:numId w:val="2"/>
        </w:numPr>
        <w:spacing w:line="480" w:lineRule="auto"/>
        <w:rPr>
          <w:rFonts w:cstheme="minorHAnsi"/>
          <w:noProof/>
          <w:sz w:val="22"/>
          <w:szCs w:val="22"/>
        </w:rPr>
      </w:pPr>
      <w:r w:rsidRPr="00BB7004">
        <w:rPr>
          <w:rFonts w:cstheme="minorHAnsi"/>
          <w:noProof/>
          <w:sz w:val="22"/>
          <w:szCs w:val="22"/>
        </w:rPr>
        <w:t xml:space="preserve">Henriksen M, Overgaard A and Bliddal H. Initial estimates of efficacy of intra-articular 2.5% polyacrylamide hydrogel for the treatment of knee osteoarthritis: an observational proof-of-concept study. </w:t>
      </w:r>
      <w:r w:rsidRPr="00FD6C27">
        <w:rPr>
          <w:rFonts w:cstheme="minorHAnsi"/>
          <w:noProof/>
          <w:sz w:val="22"/>
          <w:szCs w:val="22"/>
        </w:rPr>
        <w:t>Arthritis Rheumatol</w:t>
      </w:r>
      <w:r w:rsidR="00FD6C27">
        <w:rPr>
          <w:rFonts w:cstheme="minorHAnsi"/>
          <w:i/>
          <w:iCs/>
          <w:noProof/>
          <w:sz w:val="22"/>
          <w:szCs w:val="22"/>
        </w:rPr>
        <w:t xml:space="preserve"> </w:t>
      </w:r>
      <w:r w:rsidR="00FD6C27" w:rsidRPr="00BB7004">
        <w:rPr>
          <w:rFonts w:cstheme="minorHAnsi"/>
          <w:noProof/>
          <w:sz w:val="22"/>
          <w:szCs w:val="22"/>
        </w:rPr>
        <w:t>2017</w:t>
      </w:r>
      <w:r w:rsidR="00FD6C27">
        <w:rPr>
          <w:rFonts w:cstheme="minorHAnsi"/>
          <w:noProof/>
          <w:sz w:val="22"/>
          <w:szCs w:val="22"/>
        </w:rPr>
        <w:t>;</w:t>
      </w:r>
      <w:r w:rsidR="00FD6C27" w:rsidRPr="00BB7004">
        <w:rPr>
          <w:rFonts w:cstheme="minorHAnsi"/>
          <w:noProof/>
          <w:sz w:val="22"/>
          <w:szCs w:val="22"/>
        </w:rPr>
        <w:t xml:space="preserve"> </w:t>
      </w:r>
      <w:r w:rsidRPr="00FD6C27">
        <w:rPr>
          <w:rFonts w:cstheme="minorHAnsi"/>
          <w:noProof/>
          <w:sz w:val="22"/>
          <w:szCs w:val="22"/>
        </w:rPr>
        <w:t>69</w:t>
      </w:r>
      <w:r w:rsidR="00FD6C27">
        <w:rPr>
          <w:rFonts w:cstheme="minorHAnsi"/>
          <w:b/>
          <w:bCs/>
          <w:noProof/>
          <w:sz w:val="22"/>
          <w:szCs w:val="22"/>
        </w:rPr>
        <w:t xml:space="preserve"> </w:t>
      </w:r>
      <w:r w:rsidRPr="00BB7004">
        <w:rPr>
          <w:rFonts w:cstheme="minorHAnsi"/>
          <w:noProof/>
          <w:sz w:val="22"/>
          <w:szCs w:val="22"/>
        </w:rPr>
        <w:t>(suppl 10).</w:t>
      </w:r>
    </w:p>
    <w:p w14:paraId="3D5734A4" w14:textId="2AD2749F" w:rsidR="00CF285A" w:rsidRDefault="00F45D92" w:rsidP="00CF285A">
      <w:pPr>
        <w:pStyle w:val="Bibliographie"/>
        <w:numPr>
          <w:ilvl w:val="0"/>
          <w:numId w:val="2"/>
        </w:numPr>
        <w:spacing w:line="480" w:lineRule="auto"/>
        <w:rPr>
          <w:rFonts w:cstheme="minorHAnsi"/>
          <w:noProof/>
          <w:sz w:val="22"/>
          <w:szCs w:val="22"/>
        </w:rPr>
      </w:pPr>
      <w:r w:rsidRPr="00BB7004">
        <w:rPr>
          <w:rFonts w:cstheme="minorHAnsi"/>
          <w:noProof/>
          <w:sz w:val="22"/>
          <w:szCs w:val="22"/>
          <w:lang w:val="en-NZ"/>
        </w:rPr>
        <w:lastRenderedPageBreak/>
        <w:t>Wehling P, Carsten M, Frisbie DD, McIlwraith CW and Kawcak CE</w:t>
      </w:r>
      <w:r w:rsidR="00FD21FD">
        <w:rPr>
          <w:rFonts w:cstheme="minorHAnsi"/>
          <w:noProof/>
          <w:sz w:val="22"/>
          <w:szCs w:val="22"/>
          <w:lang w:val="en-NZ"/>
        </w:rPr>
        <w:t>.</w:t>
      </w:r>
      <w:r w:rsidRPr="00BB7004">
        <w:rPr>
          <w:rFonts w:cstheme="minorHAnsi"/>
          <w:noProof/>
          <w:sz w:val="22"/>
          <w:szCs w:val="22"/>
          <w:lang w:val="en-NZ"/>
        </w:rPr>
        <w:t xml:space="preserve"> Autologous conditioned serum in the treatment of orthopaedic diseases, the Orthokine</w:t>
      </w:r>
      <w:r w:rsidRPr="00BB7004">
        <w:rPr>
          <w:rFonts w:ascii="Symbol" w:hAnsi="Symbol" w:cstheme="minorHAnsi"/>
          <w:noProof/>
          <w:sz w:val="22"/>
          <w:szCs w:val="22"/>
          <w:lang w:val="en-NZ"/>
        </w:rPr>
        <w:sym w:font="Symbol" w:char="F0E2"/>
      </w:r>
      <w:r w:rsidRPr="00BB7004">
        <w:rPr>
          <w:rFonts w:cstheme="minorHAnsi"/>
          <w:noProof/>
          <w:sz w:val="22"/>
          <w:szCs w:val="22"/>
          <w:lang w:val="en-NZ"/>
        </w:rPr>
        <w:t xml:space="preserve"> therapy</w:t>
      </w:r>
      <w:r w:rsidRPr="00FD6C27">
        <w:rPr>
          <w:rFonts w:cstheme="minorHAnsi"/>
          <w:noProof/>
          <w:sz w:val="22"/>
          <w:szCs w:val="22"/>
          <w:lang w:val="en-NZ"/>
        </w:rPr>
        <w:t>. Biodrugs</w:t>
      </w:r>
      <w:r w:rsidR="00FD6C27">
        <w:rPr>
          <w:rFonts w:cstheme="minorHAnsi"/>
          <w:noProof/>
          <w:sz w:val="22"/>
          <w:szCs w:val="22"/>
          <w:lang w:val="en-NZ"/>
        </w:rPr>
        <w:t xml:space="preserve"> </w:t>
      </w:r>
      <w:r w:rsidR="00FD6C27" w:rsidRPr="00BB7004">
        <w:rPr>
          <w:rFonts w:cstheme="minorHAnsi"/>
          <w:noProof/>
          <w:sz w:val="22"/>
          <w:szCs w:val="22"/>
          <w:lang w:val="en-NZ"/>
        </w:rPr>
        <w:t>2007</w:t>
      </w:r>
      <w:r w:rsidR="00FD6C27">
        <w:rPr>
          <w:rFonts w:cstheme="minorHAnsi"/>
          <w:noProof/>
          <w:sz w:val="22"/>
          <w:szCs w:val="22"/>
          <w:lang w:val="en-NZ"/>
        </w:rPr>
        <w:t>;</w:t>
      </w:r>
      <w:r w:rsidR="00FD6C27" w:rsidRPr="00BB7004">
        <w:rPr>
          <w:rFonts w:cstheme="minorHAnsi"/>
          <w:noProof/>
          <w:sz w:val="22"/>
          <w:szCs w:val="22"/>
          <w:lang w:val="en-NZ"/>
        </w:rPr>
        <w:t xml:space="preserve"> </w:t>
      </w:r>
      <w:r w:rsidRPr="00BB7004">
        <w:rPr>
          <w:rFonts w:cstheme="minorHAnsi"/>
          <w:i/>
          <w:noProof/>
          <w:sz w:val="22"/>
          <w:szCs w:val="22"/>
          <w:lang w:val="en-NZ"/>
        </w:rPr>
        <w:t xml:space="preserve"> </w:t>
      </w:r>
      <w:r w:rsidRPr="00FD6C27">
        <w:rPr>
          <w:rFonts w:cstheme="minorHAnsi"/>
          <w:bCs/>
          <w:noProof/>
          <w:sz w:val="22"/>
          <w:szCs w:val="22"/>
          <w:lang w:val="en-NZ"/>
        </w:rPr>
        <w:t>21</w:t>
      </w:r>
      <w:r w:rsidR="00FD6C27">
        <w:rPr>
          <w:rFonts w:cstheme="minorHAnsi"/>
          <w:noProof/>
          <w:sz w:val="22"/>
          <w:szCs w:val="22"/>
          <w:lang w:val="en-NZ"/>
        </w:rPr>
        <w:t xml:space="preserve">: </w:t>
      </w:r>
      <w:r w:rsidRPr="00BB7004">
        <w:rPr>
          <w:rFonts w:cstheme="minorHAnsi"/>
          <w:noProof/>
          <w:sz w:val="22"/>
          <w:szCs w:val="22"/>
          <w:lang w:val="en-NZ"/>
        </w:rPr>
        <w:t>323-332.</w:t>
      </w:r>
      <w:r w:rsidR="00CF285A" w:rsidRPr="00CF285A">
        <w:rPr>
          <w:rFonts w:cstheme="minorHAnsi"/>
          <w:noProof/>
          <w:sz w:val="22"/>
          <w:szCs w:val="22"/>
        </w:rPr>
        <w:t xml:space="preserve"> </w:t>
      </w:r>
    </w:p>
    <w:p w14:paraId="1202B6FA" w14:textId="66D0D2B9" w:rsidR="00CF285A" w:rsidRPr="00CF285A" w:rsidRDefault="00CF285A" w:rsidP="00CF285A">
      <w:pPr>
        <w:pStyle w:val="Bibliographie"/>
        <w:numPr>
          <w:ilvl w:val="0"/>
          <w:numId w:val="2"/>
        </w:numPr>
        <w:spacing w:line="480" w:lineRule="auto"/>
        <w:rPr>
          <w:rFonts w:cstheme="minorHAnsi"/>
          <w:noProof/>
          <w:sz w:val="22"/>
          <w:szCs w:val="22"/>
          <w:lang w:val="en-NZ"/>
        </w:rPr>
      </w:pPr>
      <w:r>
        <w:rPr>
          <w:rFonts w:cstheme="minorHAnsi"/>
          <w:noProof/>
          <w:sz w:val="22"/>
          <w:szCs w:val="22"/>
        </w:rPr>
        <w:t xml:space="preserve">Vishwanath K, Stabler J, Ziegler C and Bonassar L. Polyacrylamide hydrogel viscosupplements lubricate cartilage after mechanical injury and biochemical degradation. Orthopaedic Research Society 2021; Annual meeting paper 0685. Retrieved from; </w:t>
      </w:r>
      <w:r w:rsidRPr="001D0259">
        <w:rPr>
          <w:rFonts w:cstheme="minorHAnsi"/>
          <w:noProof/>
          <w:sz w:val="22"/>
          <w:szCs w:val="22"/>
        </w:rPr>
        <w:t>https://www.ors.org/Transactions/67/685.pdf</w:t>
      </w:r>
    </w:p>
    <w:p w14:paraId="253F291E" w14:textId="16D6E09D" w:rsidR="003E02AC" w:rsidRPr="00FE1F2F" w:rsidRDefault="00F45D92" w:rsidP="003232A4">
      <w:pPr>
        <w:pStyle w:val="Bibliographie"/>
        <w:numPr>
          <w:ilvl w:val="0"/>
          <w:numId w:val="2"/>
        </w:numPr>
        <w:spacing w:line="480" w:lineRule="auto"/>
        <w:rPr>
          <w:rFonts w:cstheme="minorHAnsi"/>
          <w:noProof/>
          <w:sz w:val="22"/>
          <w:szCs w:val="22"/>
        </w:rPr>
      </w:pPr>
      <w:r w:rsidRPr="00FE1F2F">
        <w:rPr>
          <w:rFonts w:cstheme="minorHAnsi"/>
          <w:noProof/>
          <w:sz w:val="22"/>
          <w:szCs w:val="22"/>
        </w:rPr>
        <w:t>McIlWraith C</w:t>
      </w:r>
      <w:r w:rsidR="008E3C64">
        <w:rPr>
          <w:rFonts w:cstheme="minorHAnsi"/>
          <w:noProof/>
          <w:sz w:val="22"/>
          <w:szCs w:val="22"/>
        </w:rPr>
        <w:t>W</w:t>
      </w:r>
      <w:r w:rsidRPr="00FE1F2F">
        <w:rPr>
          <w:rFonts w:cstheme="minorHAnsi"/>
          <w:noProof/>
          <w:sz w:val="22"/>
          <w:szCs w:val="22"/>
        </w:rPr>
        <w:t>. Traumatic arthritis and posttraumatic arthritis in the horse</w:t>
      </w:r>
      <w:r w:rsidR="008E3C64">
        <w:rPr>
          <w:rFonts w:cstheme="minorHAnsi"/>
          <w:noProof/>
          <w:sz w:val="22"/>
          <w:szCs w:val="22"/>
        </w:rPr>
        <w:t>.</w:t>
      </w:r>
      <w:r w:rsidRPr="00FE1F2F">
        <w:rPr>
          <w:rFonts w:cstheme="minorHAnsi"/>
          <w:noProof/>
          <w:sz w:val="22"/>
          <w:szCs w:val="22"/>
        </w:rPr>
        <w:t xml:space="preserve"> In:  </w:t>
      </w:r>
      <w:r w:rsidR="00C56267" w:rsidRPr="00F934B5">
        <w:rPr>
          <w:rFonts w:cstheme="minorHAnsi"/>
          <w:sz w:val="22"/>
          <w:szCs w:val="22"/>
        </w:rPr>
        <w:t>McIlwraith</w:t>
      </w:r>
      <w:r w:rsidR="00C56267">
        <w:rPr>
          <w:rFonts w:cstheme="minorHAnsi"/>
          <w:sz w:val="22"/>
          <w:szCs w:val="22"/>
        </w:rPr>
        <w:t xml:space="preserve"> CW</w:t>
      </w:r>
      <w:r w:rsidR="00C56267" w:rsidRPr="00F934B5">
        <w:rPr>
          <w:rFonts w:cstheme="minorHAnsi"/>
          <w:sz w:val="22"/>
          <w:szCs w:val="22"/>
        </w:rPr>
        <w:t xml:space="preserve">, </w:t>
      </w:r>
      <w:proofErr w:type="spellStart"/>
      <w:r w:rsidR="00C56267" w:rsidRPr="00F934B5">
        <w:rPr>
          <w:rFonts w:cstheme="minorHAnsi"/>
          <w:sz w:val="22"/>
          <w:szCs w:val="22"/>
        </w:rPr>
        <w:t>Frisbie</w:t>
      </w:r>
      <w:proofErr w:type="spellEnd"/>
      <w:r w:rsidR="00C56267">
        <w:rPr>
          <w:rFonts w:cstheme="minorHAnsi"/>
          <w:sz w:val="22"/>
          <w:szCs w:val="22"/>
        </w:rPr>
        <w:t xml:space="preserve"> DD</w:t>
      </w:r>
      <w:r w:rsidR="00C56267" w:rsidRPr="00F934B5">
        <w:rPr>
          <w:rFonts w:cstheme="minorHAnsi"/>
          <w:sz w:val="22"/>
          <w:szCs w:val="22"/>
        </w:rPr>
        <w:t xml:space="preserve">, </w:t>
      </w:r>
      <w:proofErr w:type="spellStart"/>
      <w:r w:rsidR="00C56267" w:rsidRPr="00F934B5">
        <w:rPr>
          <w:rFonts w:cstheme="minorHAnsi"/>
          <w:sz w:val="22"/>
          <w:szCs w:val="22"/>
        </w:rPr>
        <w:t>Kawcak</w:t>
      </w:r>
      <w:proofErr w:type="spellEnd"/>
      <w:r w:rsidR="00C56267">
        <w:rPr>
          <w:rFonts w:cstheme="minorHAnsi"/>
          <w:sz w:val="22"/>
          <w:szCs w:val="22"/>
        </w:rPr>
        <w:t xml:space="preserve"> CE</w:t>
      </w:r>
      <w:r w:rsidR="00C56267" w:rsidRPr="00F934B5">
        <w:rPr>
          <w:rFonts w:cstheme="minorHAnsi"/>
          <w:sz w:val="22"/>
          <w:szCs w:val="22"/>
        </w:rPr>
        <w:t xml:space="preserve"> and van </w:t>
      </w:r>
      <w:proofErr w:type="spellStart"/>
      <w:r w:rsidR="00C56267" w:rsidRPr="00F934B5">
        <w:rPr>
          <w:rFonts w:cstheme="minorHAnsi"/>
          <w:sz w:val="22"/>
          <w:szCs w:val="22"/>
        </w:rPr>
        <w:t>Weeren</w:t>
      </w:r>
      <w:proofErr w:type="spellEnd"/>
      <w:r w:rsidR="00C56267">
        <w:rPr>
          <w:rFonts w:cstheme="minorHAnsi"/>
          <w:sz w:val="22"/>
          <w:szCs w:val="22"/>
        </w:rPr>
        <w:t xml:space="preserve"> PR, editors. </w:t>
      </w:r>
      <w:r w:rsidR="00FD21FD" w:rsidRPr="00FE1F2F">
        <w:rPr>
          <w:rFonts w:cstheme="minorHAnsi"/>
          <w:noProof/>
          <w:sz w:val="22"/>
          <w:szCs w:val="22"/>
        </w:rPr>
        <w:t>Joint Disease in the Horse</w:t>
      </w:r>
      <w:r w:rsidR="00C56267">
        <w:rPr>
          <w:rFonts w:cstheme="minorHAnsi"/>
          <w:noProof/>
          <w:sz w:val="22"/>
          <w:szCs w:val="22"/>
        </w:rPr>
        <w:t xml:space="preserve"> 2</w:t>
      </w:r>
      <w:r w:rsidR="00C56267" w:rsidRPr="00C56267">
        <w:rPr>
          <w:rFonts w:cstheme="minorHAnsi"/>
          <w:noProof/>
          <w:sz w:val="22"/>
          <w:szCs w:val="22"/>
          <w:vertAlign w:val="superscript"/>
        </w:rPr>
        <w:t>nd</w:t>
      </w:r>
      <w:r w:rsidR="00C56267">
        <w:rPr>
          <w:rFonts w:cstheme="minorHAnsi"/>
          <w:noProof/>
          <w:sz w:val="22"/>
          <w:szCs w:val="22"/>
        </w:rPr>
        <w:t xml:space="preserve"> Edition</w:t>
      </w:r>
      <w:r w:rsidR="00FD21FD">
        <w:rPr>
          <w:rFonts w:cstheme="minorHAnsi"/>
          <w:noProof/>
          <w:sz w:val="22"/>
          <w:szCs w:val="22"/>
        </w:rPr>
        <w:t xml:space="preserve">, </w:t>
      </w:r>
      <w:r w:rsidR="00C56267">
        <w:rPr>
          <w:rFonts w:cstheme="minorHAnsi"/>
          <w:noProof/>
          <w:sz w:val="22"/>
          <w:szCs w:val="22"/>
        </w:rPr>
        <w:t xml:space="preserve">Missouri: </w:t>
      </w:r>
      <w:r w:rsidR="00FD21FD" w:rsidRPr="00F934B5">
        <w:rPr>
          <w:rFonts w:cstheme="minorHAnsi"/>
          <w:sz w:val="22"/>
          <w:szCs w:val="22"/>
        </w:rPr>
        <w:t xml:space="preserve">Elsevier, </w:t>
      </w:r>
      <w:r w:rsidR="00C56267">
        <w:rPr>
          <w:rFonts w:cstheme="minorHAnsi"/>
          <w:sz w:val="22"/>
          <w:szCs w:val="22"/>
        </w:rPr>
        <w:t xml:space="preserve">2016, p. </w:t>
      </w:r>
      <w:r w:rsidRPr="00FE1F2F">
        <w:rPr>
          <w:rFonts w:cstheme="minorHAnsi"/>
          <w:noProof/>
          <w:sz w:val="22"/>
          <w:szCs w:val="22"/>
        </w:rPr>
        <w:t xml:space="preserve">33-48. </w:t>
      </w:r>
    </w:p>
    <w:p w14:paraId="75E760EE" w14:textId="60B4689C" w:rsidR="003E02AC" w:rsidRPr="00F934B5" w:rsidRDefault="00F45D92" w:rsidP="003232A4">
      <w:pPr>
        <w:pStyle w:val="Paragraphedeliste"/>
        <w:numPr>
          <w:ilvl w:val="0"/>
          <w:numId w:val="2"/>
        </w:numPr>
        <w:spacing w:line="480" w:lineRule="auto"/>
        <w:rPr>
          <w:rFonts w:cstheme="minorHAnsi"/>
          <w:sz w:val="22"/>
          <w:szCs w:val="22"/>
        </w:rPr>
      </w:pPr>
      <w:r w:rsidRPr="00F934B5">
        <w:rPr>
          <w:rFonts w:cstheme="minorHAnsi"/>
          <w:sz w:val="22"/>
          <w:szCs w:val="22"/>
        </w:rPr>
        <w:t>McIlwraith CW</w:t>
      </w:r>
      <w:r w:rsidR="00FD6C27">
        <w:rPr>
          <w:rFonts w:cstheme="minorHAnsi"/>
          <w:sz w:val="22"/>
          <w:szCs w:val="22"/>
        </w:rPr>
        <w:t xml:space="preserve">. </w:t>
      </w:r>
      <w:r w:rsidRPr="00F934B5">
        <w:rPr>
          <w:rFonts w:cstheme="minorHAnsi"/>
          <w:sz w:val="22"/>
          <w:szCs w:val="22"/>
        </w:rPr>
        <w:t>Intraarticular corticosteroids</w:t>
      </w:r>
      <w:r w:rsidR="008E3C64">
        <w:rPr>
          <w:rFonts w:cstheme="minorHAnsi"/>
          <w:sz w:val="22"/>
          <w:szCs w:val="22"/>
        </w:rPr>
        <w:t>.</w:t>
      </w:r>
      <w:r w:rsidR="00FD21FD">
        <w:rPr>
          <w:rFonts w:cstheme="minorHAnsi"/>
          <w:sz w:val="22"/>
          <w:szCs w:val="22"/>
        </w:rPr>
        <w:t xml:space="preserve"> </w:t>
      </w:r>
      <w:r w:rsidR="00C56267" w:rsidRPr="00FE1F2F">
        <w:rPr>
          <w:rFonts w:cstheme="minorHAnsi"/>
          <w:noProof/>
          <w:sz w:val="22"/>
          <w:szCs w:val="22"/>
        </w:rPr>
        <w:t xml:space="preserve">In:  </w:t>
      </w:r>
      <w:r w:rsidR="00C56267" w:rsidRPr="00F934B5">
        <w:rPr>
          <w:rFonts w:cstheme="minorHAnsi"/>
          <w:sz w:val="22"/>
          <w:szCs w:val="22"/>
        </w:rPr>
        <w:t>McIlwraith</w:t>
      </w:r>
      <w:r w:rsidR="00C56267">
        <w:rPr>
          <w:rFonts w:cstheme="minorHAnsi"/>
          <w:sz w:val="22"/>
          <w:szCs w:val="22"/>
        </w:rPr>
        <w:t xml:space="preserve"> CW</w:t>
      </w:r>
      <w:r w:rsidR="00C56267" w:rsidRPr="00F934B5">
        <w:rPr>
          <w:rFonts w:cstheme="minorHAnsi"/>
          <w:sz w:val="22"/>
          <w:szCs w:val="22"/>
        </w:rPr>
        <w:t xml:space="preserve">, </w:t>
      </w:r>
      <w:proofErr w:type="spellStart"/>
      <w:r w:rsidR="00C56267" w:rsidRPr="00F934B5">
        <w:rPr>
          <w:rFonts w:cstheme="minorHAnsi"/>
          <w:sz w:val="22"/>
          <w:szCs w:val="22"/>
        </w:rPr>
        <w:t>Frisbie</w:t>
      </w:r>
      <w:proofErr w:type="spellEnd"/>
      <w:r w:rsidR="00C56267">
        <w:rPr>
          <w:rFonts w:cstheme="minorHAnsi"/>
          <w:sz w:val="22"/>
          <w:szCs w:val="22"/>
        </w:rPr>
        <w:t xml:space="preserve"> DD</w:t>
      </w:r>
      <w:r w:rsidR="00C56267" w:rsidRPr="00F934B5">
        <w:rPr>
          <w:rFonts w:cstheme="minorHAnsi"/>
          <w:sz w:val="22"/>
          <w:szCs w:val="22"/>
        </w:rPr>
        <w:t xml:space="preserve">, </w:t>
      </w:r>
      <w:proofErr w:type="spellStart"/>
      <w:r w:rsidR="00C56267" w:rsidRPr="00F934B5">
        <w:rPr>
          <w:rFonts w:cstheme="minorHAnsi"/>
          <w:sz w:val="22"/>
          <w:szCs w:val="22"/>
        </w:rPr>
        <w:t>Kawcak</w:t>
      </w:r>
      <w:proofErr w:type="spellEnd"/>
      <w:r w:rsidR="00C56267">
        <w:rPr>
          <w:rFonts w:cstheme="minorHAnsi"/>
          <w:sz w:val="22"/>
          <w:szCs w:val="22"/>
        </w:rPr>
        <w:t xml:space="preserve"> CE</w:t>
      </w:r>
      <w:r w:rsidR="00C56267" w:rsidRPr="00F934B5">
        <w:rPr>
          <w:rFonts w:cstheme="minorHAnsi"/>
          <w:sz w:val="22"/>
          <w:szCs w:val="22"/>
        </w:rPr>
        <w:t xml:space="preserve"> and van </w:t>
      </w:r>
      <w:proofErr w:type="spellStart"/>
      <w:r w:rsidR="00C56267" w:rsidRPr="00F934B5">
        <w:rPr>
          <w:rFonts w:cstheme="minorHAnsi"/>
          <w:sz w:val="22"/>
          <w:szCs w:val="22"/>
        </w:rPr>
        <w:t>Weeren</w:t>
      </w:r>
      <w:proofErr w:type="spellEnd"/>
      <w:r w:rsidR="00C56267">
        <w:rPr>
          <w:rFonts w:cstheme="minorHAnsi"/>
          <w:sz w:val="22"/>
          <w:szCs w:val="22"/>
        </w:rPr>
        <w:t xml:space="preserve"> PR, editors. </w:t>
      </w:r>
      <w:r w:rsidR="00C56267" w:rsidRPr="00FE1F2F">
        <w:rPr>
          <w:rFonts w:cstheme="minorHAnsi"/>
          <w:noProof/>
          <w:sz w:val="22"/>
          <w:szCs w:val="22"/>
        </w:rPr>
        <w:t>Joint Disease in the Horse</w:t>
      </w:r>
      <w:r w:rsidR="00C56267">
        <w:rPr>
          <w:rFonts w:cstheme="minorHAnsi"/>
          <w:noProof/>
          <w:sz w:val="22"/>
          <w:szCs w:val="22"/>
        </w:rPr>
        <w:t xml:space="preserve"> 2</w:t>
      </w:r>
      <w:r w:rsidR="00C56267" w:rsidRPr="00C56267">
        <w:rPr>
          <w:rFonts w:cstheme="minorHAnsi"/>
          <w:noProof/>
          <w:sz w:val="22"/>
          <w:szCs w:val="22"/>
          <w:vertAlign w:val="superscript"/>
        </w:rPr>
        <w:t>nd</w:t>
      </w:r>
      <w:r w:rsidR="00C56267">
        <w:rPr>
          <w:rFonts w:cstheme="minorHAnsi"/>
          <w:noProof/>
          <w:sz w:val="22"/>
          <w:szCs w:val="22"/>
        </w:rPr>
        <w:t xml:space="preserve"> Edition, Missouri: </w:t>
      </w:r>
      <w:r w:rsidR="00C56267" w:rsidRPr="00F934B5">
        <w:rPr>
          <w:rFonts w:cstheme="minorHAnsi"/>
          <w:sz w:val="22"/>
          <w:szCs w:val="22"/>
        </w:rPr>
        <w:t xml:space="preserve">Elsevier, </w:t>
      </w:r>
      <w:r w:rsidR="00C56267">
        <w:rPr>
          <w:rFonts w:cstheme="minorHAnsi"/>
          <w:sz w:val="22"/>
          <w:szCs w:val="22"/>
        </w:rPr>
        <w:t xml:space="preserve">2016, p. </w:t>
      </w:r>
      <w:r w:rsidRPr="00F934B5">
        <w:rPr>
          <w:rFonts w:cstheme="minorHAnsi"/>
          <w:sz w:val="22"/>
          <w:szCs w:val="22"/>
        </w:rPr>
        <w:t xml:space="preserve">202-214. </w:t>
      </w:r>
    </w:p>
    <w:p w14:paraId="487E84E5" w14:textId="136D5DF0" w:rsidR="003E02AC" w:rsidRDefault="00F45D92" w:rsidP="003232A4">
      <w:pPr>
        <w:pStyle w:val="Paragraphedeliste"/>
        <w:numPr>
          <w:ilvl w:val="0"/>
          <w:numId w:val="2"/>
        </w:numPr>
        <w:spacing w:beforeAutospacing="1" w:afterAutospacing="1" w:line="480" w:lineRule="auto"/>
        <w:rPr>
          <w:rFonts w:cstheme="minorHAnsi"/>
          <w:sz w:val="22"/>
          <w:szCs w:val="22"/>
        </w:rPr>
      </w:pPr>
      <w:proofErr w:type="spellStart"/>
      <w:r w:rsidRPr="00F934B5">
        <w:rPr>
          <w:rFonts w:cstheme="minorHAnsi"/>
          <w:sz w:val="22"/>
          <w:szCs w:val="22"/>
        </w:rPr>
        <w:t>Kawcak</w:t>
      </w:r>
      <w:proofErr w:type="spellEnd"/>
      <w:r w:rsidRPr="00F934B5">
        <w:rPr>
          <w:rFonts w:cstheme="minorHAnsi"/>
          <w:sz w:val="22"/>
          <w:szCs w:val="22"/>
        </w:rPr>
        <w:t xml:space="preserve"> CE, </w:t>
      </w:r>
      <w:proofErr w:type="spellStart"/>
      <w:r w:rsidRPr="00F934B5">
        <w:rPr>
          <w:rFonts w:cstheme="minorHAnsi"/>
          <w:sz w:val="22"/>
          <w:szCs w:val="22"/>
        </w:rPr>
        <w:t>Norrdin</w:t>
      </w:r>
      <w:proofErr w:type="spellEnd"/>
      <w:r w:rsidRPr="00F934B5">
        <w:rPr>
          <w:rFonts w:cstheme="minorHAnsi"/>
          <w:sz w:val="22"/>
          <w:szCs w:val="22"/>
        </w:rPr>
        <w:t xml:space="preserve"> RW, </w:t>
      </w:r>
      <w:proofErr w:type="spellStart"/>
      <w:r w:rsidRPr="00F934B5">
        <w:rPr>
          <w:rFonts w:cstheme="minorHAnsi"/>
          <w:sz w:val="22"/>
          <w:szCs w:val="22"/>
        </w:rPr>
        <w:t>Frisbie</w:t>
      </w:r>
      <w:proofErr w:type="spellEnd"/>
      <w:r w:rsidRPr="00F934B5">
        <w:rPr>
          <w:rFonts w:cstheme="minorHAnsi"/>
          <w:sz w:val="22"/>
          <w:szCs w:val="22"/>
        </w:rPr>
        <w:t xml:space="preserve"> DD, Trotter DW and McIlwraith CW</w:t>
      </w:r>
      <w:r w:rsidR="00FD6C27">
        <w:rPr>
          <w:rFonts w:cstheme="minorHAnsi"/>
          <w:sz w:val="22"/>
          <w:szCs w:val="22"/>
        </w:rPr>
        <w:t>.</w:t>
      </w:r>
      <w:r w:rsidRPr="00F934B5">
        <w:rPr>
          <w:rFonts w:cstheme="minorHAnsi"/>
          <w:sz w:val="22"/>
          <w:szCs w:val="22"/>
        </w:rPr>
        <w:t xml:space="preserve"> Effects of osteochondral fragmentation and intra-articular triamcinolone acetonide treatment on subchondral bone in the equine carpus. </w:t>
      </w:r>
      <w:r w:rsidRPr="00FD6C27">
        <w:rPr>
          <w:rFonts w:cstheme="minorHAnsi"/>
          <w:sz w:val="22"/>
          <w:szCs w:val="22"/>
        </w:rPr>
        <w:t>Equine Vet J</w:t>
      </w:r>
      <w:r w:rsidR="00FD6C27">
        <w:rPr>
          <w:rFonts w:cstheme="minorHAnsi"/>
          <w:i/>
          <w:iCs/>
          <w:sz w:val="22"/>
          <w:szCs w:val="22"/>
        </w:rPr>
        <w:t xml:space="preserve"> </w:t>
      </w:r>
      <w:r w:rsidR="00FD6C27" w:rsidRPr="00F934B5">
        <w:rPr>
          <w:rFonts w:cstheme="minorHAnsi"/>
          <w:sz w:val="22"/>
          <w:szCs w:val="22"/>
        </w:rPr>
        <w:t>1998</w:t>
      </w:r>
      <w:r w:rsidR="00FD6C27" w:rsidRPr="00FD6C27">
        <w:rPr>
          <w:rFonts w:cstheme="minorHAnsi"/>
          <w:sz w:val="22"/>
          <w:szCs w:val="22"/>
        </w:rPr>
        <w:t xml:space="preserve">; </w:t>
      </w:r>
      <w:r w:rsidRPr="00FD6C27">
        <w:rPr>
          <w:rFonts w:cstheme="minorHAnsi"/>
          <w:sz w:val="22"/>
          <w:szCs w:val="22"/>
        </w:rPr>
        <w:t>30</w:t>
      </w:r>
      <w:r w:rsidRPr="00F934B5">
        <w:rPr>
          <w:rFonts w:cstheme="minorHAnsi"/>
          <w:sz w:val="22"/>
          <w:szCs w:val="22"/>
        </w:rPr>
        <w:t>(1)</w:t>
      </w:r>
      <w:r w:rsidR="00FD6C27">
        <w:rPr>
          <w:rFonts w:cstheme="minorHAnsi"/>
          <w:sz w:val="22"/>
          <w:szCs w:val="22"/>
        </w:rPr>
        <w:t>:</w:t>
      </w:r>
      <w:r w:rsidRPr="00F934B5">
        <w:rPr>
          <w:rFonts w:cstheme="minorHAnsi"/>
          <w:sz w:val="22"/>
          <w:szCs w:val="22"/>
        </w:rPr>
        <w:t xml:space="preserve"> 66-71.</w:t>
      </w:r>
    </w:p>
    <w:p w14:paraId="38BD2E77" w14:textId="551E77AE" w:rsidR="003E02AC" w:rsidRPr="00F934B5" w:rsidRDefault="00F45D92" w:rsidP="003232A4">
      <w:pPr>
        <w:pStyle w:val="Paragraphedeliste"/>
        <w:numPr>
          <w:ilvl w:val="0"/>
          <w:numId w:val="2"/>
        </w:numPr>
        <w:spacing w:beforeAutospacing="1" w:afterAutospacing="1" w:line="480" w:lineRule="auto"/>
        <w:rPr>
          <w:rFonts w:cstheme="minorHAnsi"/>
          <w:sz w:val="22"/>
          <w:szCs w:val="22"/>
        </w:rPr>
      </w:pPr>
      <w:r w:rsidRPr="00F934B5">
        <w:rPr>
          <w:rFonts w:cstheme="minorHAnsi"/>
          <w:sz w:val="22"/>
          <w:szCs w:val="22"/>
        </w:rPr>
        <w:t xml:space="preserve">Frisbee DD, </w:t>
      </w:r>
      <w:proofErr w:type="spellStart"/>
      <w:r w:rsidRPr="00F934B5">
        <w:rPr>
          <w:rFonts w:cstheme="minorHAnsi"/>
          <w:sz w:val="22"/>
          <w:szCs w:val="22"/>
        </w:rPr>
        <w:t>Kawcak</w:t>
      </w:r>
      <w:proofErr w:type="spellEnd"/>
      <w:r w:rsidRPr="00F934B5">
        <w:rPr>
          <w:rFonts w:cstheme="minorHAnsi"/>
          <w:sz w:val="22"/>
          <w:szCs w:val="22"/>
        </w:rPr>
        <w:t xml:space="preserve"> CE, McIlwraith CW and </w:t>
      </w:r>
      <w:proofErr w:type="spellStart"/>
      <w:r w:rsidRPr="00F934B5">
        <w:rPr>
          <w:rFonts w:cstheme="minorHAnsi"/>
          <w:sz w:val="22"/>
          <w:szCs w:val="22"/>
        </w:rPr>
        <w:t>Werpy</w:t>
      </w:r>
      <w:proofErr w:type="spellEnd"/>
      <w:r w:rsidRPr="00F934B5">
        <w:rPr>
          <w:rFonts w:cstheme="minorHAnsi"/>
          <w:sz w:val="22"/>
          <w:szCs w:val="22"/>
        </w:rPr>
        <w:t xml:space="preserve"> NM</w:t>
      </w:r>
      <w:r w:rsidR="00DA4391">
        <w:rPr>
          <w:rFonts w:cstheme="minorHAnsi"/>
          <w:sz w:val="22"/>
          <w:szCs w:val="22"/>
        </w:rPr>
        <w:t>.</w:t>
      </w:r>
      <w:r w:rsidRPr="00F934B5">
        <w:rPr>
          <w:rFonts w:cstheme="minorHAnsi"/>
          <w:sz w:val="22"/>
          <w:szCs w:val="22"/>
        </w:rPr>
        <w:t xml:space="preserve"> Evaluation of </w:t>
      </w:r>
      <w:proofErr w:type="spellStart"/>
      <w:r w:rsidRPr="00F934B5">
        <w:rPr>
          <w:rFonts w:cstheme="minorHAnsi"/>
          <w:sz w:val="22"/>
          <w:szCs w:val="22"/>
        </w:rPr>
        <w:t>polysulfated</w:t>
      </w:r>
      <w:proofErr w:type="spellEnd"/>
      <w:r w:rsidRPr="00F934B5">
        <w:rPr>
          <w:rFonts w:cstheme="minorHAnsi"/>
          <w:sz w:val="22"/>
          <w:szCs w:val="22"/>
        </w:rPr>
        <w:t xml:space="preserve"> glycosaminoglycan or sodium hyaluronan administered intra-articularly for treatment of horses with experimentally induced osteoarthritis. </w:t>
      </w:r>
      <w:r w:rsidRPr="00DA4391">
        <w:rPr>
          <w:rFonts w:cstheme="minorHAnsi"/>
          <w:sz w:val="22"/>
          <w:szCs w:val="22"/>
        </w:rPr>
        <w:t>Am. J. Vet. Res</w:t>
      </w:r>
      <w:r w:rsidRPr="00F934B5">
        <w:rPr>
          <w:rFonts w:cstheme="minorHAnsi"/>
          <w:i/>
          <w:iCs/>
          <w:sz w:val="22"/>
          <w:szCs w:val="22"/>
        </w:rPr>
        <w:t xml:space="preserve"> </w:t>
      </w:r>
      <w:r w:rsidR="00DA4391" w:rsidRPr="00F934B5">
        <w:rPr>
          <w:rFonts w:cstheme="minorHAnsi"/>
          <w:sz w:val="22"/>
          <w:szCs w:val="22"/>
        </w:rPr>
        <w:t>2009</w:t>
      </w:r>
      <w:r w:rsidR="00DA4391">
        <w:rPr>
          <w:rFonts w:cstheme="minorHAnsi"/>
          <w:sz w:val="22"/>
          <w:szCs w:val="22"/>
        </w:rPr>
        <w:t>;</w:t>
      </w:r>
      <w:r w:rsidR="00DA4391" w:rsidRPr="00F934B5">
        <w:rPr>
          <w:rFonts w:cstheme="minorHAnsi"/>
          <w:sz w:val="22"/>
          <w:szCs w:val="22"/>
        </w:rPr>
        <w:t xml:space="preserve"> </w:t>
      </w:r>
      <w:r w:rsidRPr="00DA4391">
        <w:rPr>
          <w:rFonts w:cstheme="minorHAnsi"/>
          <w:sz w:val="22"/>
          <w:szCs w:val="22"/>
        </w:rPr>
        <w:t>70</w:t>
      </w:r>
      <w:r w:rsidRPr="00F934B5">
        <w:rPr>
          <w:rFonts w:cstheme="minorHAnsi"/>
          <w:sz w:val="22"/>
          <w:szCs w:val="22"/>
        </w:rPr>
        <w:t>(2)</w:t>
      </w:r>
      <w:r w:rsidR="00DA4391">
        <w:rPr>
          <w:rFonts w:cstheme="minorHAnsi"/>
          <w:sz w:val="22"/>
          <w:szCs w:val="22"/>
        </w:rPr>
        <w:t xml:space="preserve">: </w:t>
      </w:r>
      <w:r w:rsidRPr="00F934B5">
        <w:rPr>
          <w:rFonts w:cstheme="minorHAnsi"/>
          <w:sz w:val="22"/>
          <w:szCs w:val="22"/>
        </w:rPr>
        <w:t>203-209.</w:t>
      </w:r>
    </w:p>
    <w:p w14:paraId="4CAC6CF0" w14:textId="66B108BF" w:rsidR="003E02AC" w:rsidRDefault="00F45D92" w:rsidP="003232A4">
      <w:pPr>
        <w:pStyle w:val="Paragraphedeliste"/>
        <w:numPr>
          <w:ilvl w:val="0"/>
          <w:numId w:val="2"/>
        </w:numPr>
        <w:spacing w:beforeAutospacing="1" w:afterAutospacing="1" w:line="480" w:lineRule="auto"/>
        <w:rPr>
          <w:rFonts w:cstheme="minorHAnsi"/>
          <w:sz w:val="22"/>
          <w:szCs w:val="22"/>
        </w:rPr>
      </w:pPr>
      <w:proofErr w:type="spellStart"/>
      <w:r w:rsidRPr="00F934B5">
        <w:rPr>
          <w:rFonts w:cstheme="minorHAnsi"/>
          <w:sz w:val="22"/>
          <w:szCs w:val="22"/>
        </w:rPr>
        <w:t>Kawcak</w:t>
      </w:r>
      <w:proofErr w:type="spellEnd"/>
      <w:r w:rsidR="00DA4391">
        <w:rPr>
          <w:rFonts w:cstheme="minorHAnsi"/>
          <w:sz w:val="22"/>
          <w:szCs w:val="22"/>
        </w:rPr>
        <w:t xml:space="preserve"> </w:t>
      </w:r>
      <w:r w:rsidRPr="00F934B5">
        <w:rPr>
          <w:rFonts w:cstheme="minorHAnsi"/>
          <w:sz w:val="22"/>
          <w:szCs w:val="22"/>
        </w:rPr>
        <w:t xml:space="preserve">CE, </w:t>
      </w:r>
      <w:proofErr w:type="spellStart"/>
      <w:r w:rsidRPr="00F934B5">
        <w:rPr>
          <w:rFonts w:cstheme="minorHAnsi"/>
          <w:sz w:val="22"/>
          <w:szCs w:val="22"/>
        </w:rPr>
        <w:t>Frisbie</w:t>
      </w:r>
      <w:proofErr w:type="spellEnd"/>
      <w:r w:rsidR="00DA4391">
        <w:rPr>
          <w:rFonts w:cstheme="minorHAnsi"/>
          <w:sz w:val="22"/>
          <w:szCs w:val="22"/>
        </w:rPr>
        <w:t xml:space="preserve"> </w:t>
      </w:r>
      <w:r w:rsidRPr="00F934B5">
        <w:rPr>
          <w:rFonts w:cstheme="minorHAnsi"/>
          <w:sz w:val="22"/>
          <w:szCs w:val="22"/>
        </w:rPr>
        <w:t xml:space="preserve">DD, McIlwraith CM, Trotter GW, Gillette </w:t>
      </w:r>
      <w:r w:rsidR="00DA4391">
        <w:rPr>
          <w:rFonts w:cstheme="minorHAnsi"/>
          <w:sz w:val="22"/>
          <w:szCs w:val="22"/>
        </w:rPr>
        <w:t>S</w:t>
      </w:r>
      <w:r w:rsidRPr="00F934B5">
        <w:rPr>
          <w:rFonts w:cstheme="minorHAnsi"/>
          <w:sz w:val="22"/>
          <w:szCs w:val="22"/>
        </w:rPr>
        <w:t>M, Powers BE and Walton RM</w:t>
      </w:r>
      <w:r w:rsidR="00DA4391">
        <w:rPr>
          <w:rFonts w:cstheme="minorHAnsi"/>
          <w:sz w:val="22"/>
          <w:szCs w:val="22"/>
        </w:rPr>
        <w:t xml:space="preserve">. </w:t>
      </w:r>
      <w:r w:rsidRPr="00F934B5">
        <w:rPr>
          <w:rFonts w:cstheme="minorHAnsi"/>
          <w:sz w:val="22"/>
          <w:szCs w:val="22"/>
        </w:rPr>
        <w:t xml:space="preserve">Effects of intravenously administered sodium hyaluronate on equine carpal joints with osteochondral fragments under exercise. </w:t>
      </w:r>
      <w:proofErr w:type="spellStart"/>
      <w:r w:rsidRPr="00DA4391">
        <w:rPr>
          <w:rFonts w:cstheme="minorHAnsi"/>
          <w:sz w:val="22"/>
          <w:szCs w:val="22"/>
        </w:rPr>
        <w:t>Pferdeheilkunde</w:t>
      </w:r>
      <w:proofErr w:type="spellEnd"/>
      <w:r w:rsidRPr="00F934B5">
        <w:rPr>
          <w:rFonts w:cstheme="minorHAnsi"/>
          <w:i/>
          <w:iCs/>
          <w:sz w:val="22"/>
          <w:szCs w:val="22"/>
        </w:rPr>
        <w:t xml:space="preserve"> </w:t>
      </w:r>
      <w:r w:rsidR="00DA4391" w:rsidRPr="00F934B5">
        <w:rPr>
          <w:rFonts w:cstheme="minorHAnsi"/>
          <w:sz w:val="22"/>
          <w:szCs w:val="22"/>
        </w:rPr>
        <w:t>1996</w:t>
      </w:r>
      <w:r w:rsidR="00DA4391">
        <w:rPr>
          <w:rFonts w:cstheme="minorHAnsi"/>
          <w:sz w:val="22"/>
          <w:szCs w:val="22"/>
        </w:rPr>
        <w:t>;</w:t>
      </w:r>
      <w:r w:rsidR="00DA4391" w:rsidRPr="00F934B5">
        <w:rPr>
          <w:rFonts w:cstheme="minorHAnsi"/>
          <w:sz w:val="22"/>
          <w:szCs w:val="22"/>
        </w:rPr>
        <w:t xml:space="preserve"> </w:t>
      </w:r>
      <w:r w:rsidRPr="00DA4391">
        <w:rPr>
          <w:rFonts w:cstheme="minorHAnsi"/>
          <w:sz w:val="22"/>
          <w:szCs w:val="22"/>
        </w:rPr>
        <w:t>12</w:t>
      </w:r>
      <w:r w:rsidRPr="00F934B5">
        <w:rPr>
          <w:rFonts w:cstheme="minorHAnsi"/>
          <w:sz w:val="22"/>
          <w:szCs w:val="22"/>
        </w:rPr>
        <w:t>(4)</w:t>
      </w:r>
      <w:r w:rsidR="00DA4391">
        <w:rPr>
          <w:rFonts w:cstheme="minorHAnsi"/>
          <w:sz w:val="22"/>
          <w:szCs w:val="22"/>
        </w:rPr>
        <w:t xml:space="preserve">: </w:t>
      </w:r>
      <w:r w:rsidRPr="00F934B5">
        <w:rPr>
          <w:rFonts w:cstheme="minorHAnsi"/>
          <w:sz w:val="22"/>
          <w:szCs w:val="22"/>
        </w:rPr>
        <w:t>599-602.</w:t>
      </w:r>
    </w:p>
    <w:p w14:paraId="0DDC07A3" w14:textId="3D9A7B34" w:rsidR="003E02AC" w:rsidRPr="00EA45A3" w:rsidRDefault="00F45D92" w:rsidP="003232A4">
      <w:pPr>
        <w:pStyle w:val="Paragraphedeliste"/>
        <w:numPr>
          <w:ilvl w:val="0"/>
          <w:numId w:val="2"/>
        </w:numPr>
        <w:spacing w:line="480" w:lineRule="auto"/>
        <w:rPr>
          <w:sz w:val="22"/>
          <w:szCs w:val="22"/>
        </w:rPr>
      </w:pPr>
      <w:proofErr w:type="spellStart"/>
      <w:r w:rsidRPr="00EA45A3">
        <w:rPr>
          <w:rFonts w:cs="Open Sans"/>
          <w:color w:val="1C1D1E"/>
          <w:sz w:val="22"/>
          <w:szCs w:val="22"/>
          <w:shd w:val="clear" w:color="auto" w:fill="FFFFFF"/>
        </w:rPr>
        <w:lastRenderedPageBreak/>
        <w:t>Grauw</w:t>
      </w:r>
      <w:proofErr w:type="spellEnd"/>
      <w:r w:rsidRPr="00EA45A3">
        <w:rPr>
          <w:rFonts w:cs="Open Sans"/>
          <w:color w:val="1C1D1E"/>
          <w:sz w:val="22"/>
          <w:szCs w:val="22"/>
          <w:shd w:val="clear" w:color="auto" w:fill="FFFFFF"/>
        </w:rPr>
        <w:t xml:space="preserve"> JC, </w:t>
      </w:r>
      <w:proofErr w:type="spellStart"/>
      <w:r w:rsidRPr="00EA45A3">
        <w:rPr>
          <w:rFonts w:cs="Open Sans"/>
          <w:color w:val="1C1D1E"/>
          <w:sz w:val="22"/>
          <w:szCs w:val="22"/>
          <w:shd w:val="clear" w:color="auto" w:fill="FFFFFF"/>
        </w:rPr>
        <w:t>Visser</w:t>
      </w:r>
      <w:proofErr w:type="spellEnd"/>
      <w:r w:rsidRPr="00EA45A3">
        <w:rPr>
          <w:rFonts w:cs="Cambria Math"/>
          <w:color w:val="1C1D1E"/>
          <w:sz w:val="22"/>
          <w:szCs w:val="22"/>
          <w:shd w:val="clear" w:color="auto" w:fill="FFFFFF"/>
        </w:rPr>
        <w:t>‐</w:t>
      </w:r>
      <w:r w:rsidRPr="00EA45A3">
        <w:rPr>
          <w:rFonts w:cs="Open Sans"/>
          <w:color w:val="1C1D1E"/>
          <w:sz w:val="22"/>
          <w:szCs w:val="22"/>
          <w:shd w:val="clear" w:color="auto" w:fill="FFFFFF"/>
        </w:rPr>
        <w:t>Meijer MC, Lashley</w:t>
      </w:r>
      <w:r w:rsidR="00DA4391">
        <w:rPr>
          <w:rFonts w:cs="Open Sans"/>
          <w:color w:val="1C1D1E"/>
          <w:sz w:val="22"/>
          <w:szCs w:val="22"/>
          <w:shd w:val="clear" w:color="auto" w:fill="FFFFFF"/>
        </w:rPr>
        <w:t xml:space="preserve"> </w:t>
      </w:r>
      <w:r w:rsidRPr="00EA45A3">
        <w:rPr>
          <w:rFonts w:cs="Open Sans"/>
          <w:color w:val="1C1D1E"/>
          <w:sz w:val="22"/>
          <w:szCs w:val="22"/>
          <w:shd w:val="clear" w:color="auto" w:fill="FFFFFF"/>
        </w:rPr>
        <w:t xml:space="preserve">F, </w:t>
      </w:r>
      <w:proofErr w:type="spellStart"/>
      <w:r w:rsidRPr="00EA45A3">
        <w:rPr>
          <w:rFonts w:cs="Open Sans"/>
          <w:color w:val="1C1D1E"/>
          <w:sz w:val="22"/>
          <w:szCs w:val="22"/>
          <w:shd w:val="clear" w:color="auto" w:fill="FFFFFF"/>
        </w:rPr>
        <w:t>Meeus</w:t>
      </w:r>
      <w:proofErr w:type="spellEnd"/>
      <w:r w:rsidRPr="00EA45A3">
        <w:rPr>
          <w:rFonts w:cs="Open Sans"/>
          <w:color w:val="1C1D1E"/>
          <w:sz w:val="22"/>
          <w:szCs w:val="22"/>
          <w:shd w:val="clear" w:color="auto" w:fill="FFFFFF"/>
        </w:rPr>
        <w:t xml:space="preserve"> P and </w:t>
      </w:r>
      <w:proofErr w:type="spellStart"/>
      <w:r w:rsidRPr="00EA45A3">
        <w:rPr>
          <w:rFonts w:cs="Open Sans"/>
          <w:color w:val="1C1D1E"/>
          <w:sz w:val="22"/>
          <w:szCs w:val="22"/>
          <w:shd w:val="clear" w:color="auto" w:fill="FFFFFF"/>
        </w:rPr>
        <w:t>Weeren</w:t>
      </w:r>
      <w:proofErr w:type="spellEnd"/>
      <w:r w:rsidRPr="00EA45A3">
        <w:rPr>
          <w:rFonts w:cs="Open Sans"/>
          <w:color w:val="1C1D1E"/>
          <w:sz w:val="22"/>
          <w:szCs w:val="22"/>
          <w:shd w:val="clear" w:color="auto" w:fill="FFFFFF"/>
        </w:rPr>
        <w:t xml:space="preserve"> PR. IA triamcinolone vs. IA triamcinolone + hyaluronate in lame horses</w:t>
      </w:r>
      <w:r w:rsidRPr="00DA4391">
        <w:rPr>
          <w:rFonts w:cs="Open Sans"/>
          <w:color w:val="1C1D1E"/>
          <w:sz w:val="22"/>
          <w:szCs w:val="22"/>
          <w:shd w:val="clear" w:color="auto" w:fill="FFFFFF"/>
        </w:rPr>
        <w:t>. Equine Vet J</w:t>
      </w:r>
      <w:r w:rsidR="00DA4391">
        <w:rPr>
          <w:rFonts w:cs="Open Sans"/>
          <w:i/>
          <w:iCs/>
          <w:color w:val="1C1D1E"/>
          <w:sz w:val="22"/>
          <w:szCs w:val="22"/>
          <w:shd w:val="clear" w:color="auto" w:fill="FFFFFF"/>
        </w:rPr>
        <w:t xml:space="preserve"> </w:t>
      </w:r>
      <w:r w:rsidR="00DA4391" w:rsidRPr="00EA45A3">
        <w:rPr>
          <w:rFonts w:cs="Open Sans"/>
          <w:color w:val="1C1D1E"/>
          <w:sz w:val="22"/>
          <w:szCs w:val="22"/>
          <w:shd w:val="clear" w:color="auto" w:fill="FFFFFF"/>
        </w:rPr>
        <w:t>2016</w:t>
      </w:r>
      <w:r w:rsidR="00DA4391">
        <w:rPr>
          <w:rFonts w:cs="Open Sans"/>
          <w:color w:val="1C1D1E"/>
          <w:sz w:val="22"/>
          <w:szCs w:val="22"/>
          <w:shd w:val="clear" w:color="auto" w:fill="FFFFFF"/>
        </w:rPr>
        <w:t xml:space="preserve">; </w:t>
      </w:r>
      <w:r w:rsidRPr="00EA45A3">
        <w:rPr>
          <w:rFonts w:cs="Open Sans"/>
          <w:color w:val="1C1D1E"/>
          <w:sz w:val="22"/>
          <w:szCs w:val="22"/>
          <w:shd w:val="clear" w:color="auto" w:fill="FFFFFF"/>
        </w:rPr>
        <w:t>48:</w:t>
      </w:r>
      <w:r w:rsidR="00DA4391">
        <w:rPr>
          <w:rFonts w:cs="Open Sans"/>
          <w:color w:val="1C1D1E"/>
          <w:sz w:val="22"/>
          <w:szCs w:val="22"/>
          <w:shd w:val="clear" w:color="auto" w:fill="FFFFFF"/>
        </w:rPr>
        <w:t xml:space="preserve"> </w:t>
      </w:r>
      <w:r w:rsidRPr="00EA45A3">
        <w:rPr>
          <w:rFonts w:cs="Open Sans"/>
          <w:color w:val="1C1D1E"/>
          <w:sz w:val="22"/>
          <w:szCs w:val="22"/>
          <w:shd w:val="clear" w:color="auto" w:fill="FFFFFF"/>
        </w:rPr>
        <w:t>152-158.</w:t>
      </w:r>
    </w:p>
    <w:p w14:paraId="6F5E8FDA" w14:textId="148A8159" w:rsidR="00DE3F84" w:rsidRDefault="00F45D92" w:rsidP="003232A4">
      <w:pPr>
        <w:pStyle w:val="Paragraphedeliste"/>
        <w:numPr>
          <w:ilvl w:val="0"/>
          <w:numId w:val="2"/>
        </w:numPr>
        <w:spacing w:line="480" w:lineRule="auto"/>
        <w:rPr>
          <w:bCs/>
          <w:sz w:val="22"/>
          <w:szCs w:val="22"/>
          <w:lang w:val="en-NZ"/>
        </w:rPr>
      </w:pPr>
      <w:r w:rsidRPr="00DE3F84">
        <w:rPr>
          <w:bCs/>
          <w:sz w:val="22"/>
          <w:szCs w:val="22"/>
          <w:lang w:val="en-NZ"/>
        </w:rPr>
        <w:t>Caron J</w:t>
      </w:r>
      <w:r w:rsidR="00DA4391">
        <w:rPr>
          <w:bCs/>
          <w:sz w:val="22"/>
          <w:szCs w:val="22"/>
          <w:lang w:val="en-NZ"/>
        </w:rPr>
        <w:t>.</w:t>
      </w:r>
      <w:r w:rsidRPr="00DE3F84">
        <w:rPr>
          <w:bCs/>
          <w:sz w:val="22"/>
          <w:szCs w:val="22"/>
          <w:lang w:val="en-NZ"/>
        </w:rPr>
        <w:t xml:space="preserve"> Intra-articular injections for joint diseases in horses. Vet Clin North Am Equine </w:t>
      </w:r>
      <w:proofErr w:type="spellStart"/>
      <w:r w:rsidRPr="00DE3F84">
        <w:rPr>
          <w:bCs/>
          <w:sz w:val="22"/>
          <w:szCs w:val="22"/>
          <w:lang w:val="en-NZ"/>
        </w:rPr>
        <w:t>Pract</w:t>
      </w:r>
      <w:proofErr w:type="spellEnd"/>
      <w:r w:rsidRPr="00DE3F84">
        <w:rPr>
          <w:bCs/>
          <w:sz w:val="22"/>
          <w:szCs w:val="22"/>
          <w:lang w:val="en-NZ"/>
        </w:rPr>
        <w:t xml:space="preserve"> </w:t>
      </w:r>
      <w:r w:rsidR="00DA4391" w:rsidRPr="00DE3F84">
        <w:rPr>
          <w:bCs/>
          <w:sz w:val="22"/>
          <w:szCs w:val="22"/>
          <w:lang w:val="en-NZ"/>
        </w:rPr>
        <w:t>2005</w:t>
      </w:r>
      <w:r w:rsidRPr="00DE3F84">
        <w:rPr>
          <w:bCs/>
          <w:sz w:val="22"/>
          <w:szCs w:val="22"/>
          <w:lang w:val="en-NZ"/>
        </w:rPr>
        <w:t>;21:</w:t>
      </w:r>
      <w:r w:rsidR="00DA4391">
        <w:rPr>
          <w:bCs/>
          <w:sz w:val="22"/>
          <w:szCs w:val="22"/>
          <w:lang w:val="en-NZ"/>
        </w:rPr>
        <w:t xml:space="preserve"> </w:t>
      </w:r>
      <w:r w:rsidRPr="00DE3F84">
        <w:rPr>
          <w:bCs/>
          <w:sz w:val="22"/>
          <w:szCs w:val="22"/>
          <w:lang w:val="en-NZ"/>
        </w:rPr>
        <w:t>559-573.</w:t>
      </w:r>
    </w:p>
    <w:p w14:paraId="6962E7F1" w14:textId="3165890E" w:rsidR="006A6D2C" w:rsidRPr="00411DA3" w:rsidRDefault="00F45D92" w:rsidP="003232A4">
      <w:pPr>
        <w:pStyle w:val="Paragraphedeliste"/>
        <w:numPr>
          <w:ilvl w:val="0"/>
          <w:numId w:val="2"/>
        </w:numPr>
        <w:spacing w:line="480" w:lineRule="auto"/>
        <w:rPr>
          <w:bCs/>
          <w:sz w:val="22"/>
          <w:szCs w:val="22"/>
          <w:lang w:val="en-NZ"/>
        </w:rPr>
      </w:pPr>
      <w:r w:rsidRPr="00411DA3">
        <w:rPr>
          <w:bCs/>
          <w:sz w:val="22"/>
          <w:szCs w:val="22"/>
        </w:rPr>
        <w:t xml:space="preserve">Donnell J, </w:t>
      </w:r>
      <w:proofErr w:type="spellStart"/>
      <w:r w:rsidRPr="00411DA3">
        <w:rPr>
          <w:bCs/>
          <w:sz w:val="22"/>
          <w:szCs w:val="22"/>
        </w:rPr>
        <w:t>Frisbie</w:t>
      </w:r>
      <w:proofErr w:type="spellEnd"/>
      <w:r w:rsidRPr="00411DA3">
        <w:rPr>
          <w:bCs/>
          <w:sz w:val="22"/>
          <w:szCs w:val="22"/>
        </w:rPr>
        <w:t xml:space="preserve"> D, King M, Goodrich L and Haussler K. Comparison of subjective lameness evaluation, force platforms and an inertial-sensor system to identify mild lameness in an equine osteoarthritis model. </w:t>
      </w:r>
      <w:r w:rsidRPr="00DA4391">
        <w:rPr>
          <w:bCs/>
          <w:sz w:val="22"/>
          <w:szCs w:val="22"/>
        </w:rPr>
        <w:t>The Veterinary Journal</w:t>
      </w:r>
      <w:r w:rsidRPr="00411DA3">
        <w:rPr>
          <w:bCs/>
          <w:i/>
          <w:iCs/>
          <w:sz w:val="22"/>
          <w:szCs w:val="22"/>
        </w:rPr>
        <w:t xml:space="preserve"> </w:t>
      </w:r>
      <w:r w:rsidR="00DA4391" w:rsidRPr="00411DA3">
        <w:rPr>
          <w:bCs/>
          <w:sz w:val="22"/>
          <w:szCs w:val="22"/>
        </w:rPr>
        <w:t>2015</w:t>
      </w:r>
      <w:r w:rsidR="00DA4391">
        <w:rPr>
          <w:bCs/>
          <w:sz w:val="22"/>
          <w:szCs w:val="22"/>
        </w:rPr>
        <w:t>;</w:t>
      </w:r>
      <w:r w:rsidR="00DA4391" w:rsidRPr="00411DA3">
        <w:rPr>
          <w:bCs/>
          <w:sz w:val="22"/>
          <w:szCs w:val="22"/>
        </w:rPr>
        <w:t xml:space="preserve"> </w:t>
      </w:r>
      <w:r w:rsidRPr="00DA4391">
        <w:rPr>
          <w:iCs/>
          <w:sz w:val="22"/>
          <w:szCs w:val="22"/>
        </w:rPr>
        <w:t>206</w:t>
      </w:r>
      <w:r w:rsidR="00DA4391">
        <w:rPr>
          <w:bCs/>
          <w:sz w:val="22"/>
          <w:szCs w:val="22"/>
        </w:rPr>
        <w:t>:</w:t>
      </w:r>
      <w:r w:rsidRPr="00411DA3">
        <w:rPr>
          <w:bCs/>
          <w:sz w:val="22"/>
          <w:szCs w:val="22"/>
        </w:rPr>
        <w:t xml:space="preserve"> 136-142.</w:t>
      </w:r>
    </w:p>
    <w:p w14:paraId="6084DCAD" w14:textId="12589F3B" w:rsidR="006A6D2C" w:rsidRPr="006A6D2C" w:rsidRDefault="00F45D92" w:rsidP="003232A4">
      <w:pPr>
        <w:pStyle w:val="Paragraphedeliste"/>
        <w:numPr>
          <w:ilvl w:val="0"/>
          <w:numId w:val="2"/>
        </w:numPr>
        <w:spacing w:line="480" w:lineRule="auto"/>
        <w:rPr>
          <w:bCs/>
          <w:sz w:val="22"/>
          <w:szCs w:val="22"/>
        </w:rPr>
      </w:pPr>
      <w:r w:rsidRPr="006A6D2C">
        <w:rPr>
          <w:bCs/>
          <w:sz w:val="22"/>
          <w:szCs w:val="22"/>
        </w:rPr>
        <w:t xml:space="preserve">Fuller C, Bladon B, Driver A and Barr A. The intra- and inter-assessor reliability of measurement of functional outcome by lameness scoring in horses. </w:t>
      </w:r>
      <w:r w:rsidRPr="00DA4391">
        <w:rPr>
          <w:bCs/>
          <w:sz w:val="22"/>
          <w:szCs w:val="22"/>
        </w:rPr>
        <w:t>The Veterinary Journal</w:t>
      </w:r>
      <w:r w:rsidR="00DA4391">
        <w:rPr>
          <w:bCs/>
          <w:sz w:val="22"/>
          <w:szCs w:val="22"/>
        </w:rPr>
        <w:t xml:space="preserve"> </w:t>
      </w:r>
      <w:r w:rsidR="00DA4391" w:rsidRPr="006A6D2C">
        <w:rPr>
          <w:bCs/>
          <w:sz w:val="22"/>
          <w:szCs w:val="22"/>
        </w:rPr>
        <w:t>2006</w:t>
      </w:r>
      <w:r w:rsidR="00DA4391" w:rsidRPr="00DA4391">
        <w:rPr>
          <w:bCs/>
          <w:sz w:val="22"/>
          <w:szCs w:val="22"/>
        </w:rPr>
        <w:t xml:space="preserve">; </w:t>
      </w:r>
      <w:r w:rsidRPr="00DA4391">
        <w:rPr>
          <w:bCs/>
          <w:iCs/>
          <w:sz w:val="22"/>
          <w:szCs w:val="22"/>
        </w:rPr>
        <w:t>171</w:t>
      </w:r>
      <w:r w:rsidR="00DA4391">
        <w:rPr>
          <w:bCs/>
          <w:sz w:val="22"/>
          <w:szCs w:val="22"/>
        </w:rPr>
        <w:t>:</w:t>
      </w:r>
      <w:r w:rsidRPr="006A6D2C">
        <w:rPr>
          <w:bCs/>
          <w:sz w:val="22"/>
          <w:szCs w:val="22"/>
        </w:rPr>
        <w:t xml:space="preserve"> 281-286.</w:t>
      </w:r>
    </w:p>
    <w:p w14:paraId="6412B2C2" w14:textId="54E209F2" w:rsidR="006A6D2C" w:rsidRPr="006A6D2C" w:rsidRDefault="00F45D92" w:rsidP="003232A4">
      <w:pPr>
        <w:pStyle w:val="Paragraphedeliste"/>
        <w:numPr>
          <w:ilvl w:val="0"/>
          <w:numId w:val="2"/>
        </w:numPr>
        <w:spacing w:line="480" w:lineRule="auto"/>
        <w:rPr>
          <w:bCs/>
          <w:sz w:val="22"/>
          <w:szCs w:val="22"/>
        </w:rPr>
      </w:pPr>
      <w:r w:rsidRPr="006A6D2C">
        <w:rPr>
          <w:bCs/>
          <w:sz w:val="22"/>
          <w:szCs w:val="22"/>
        </w:rPr>
        <w:t xml:space="preserve">Keegan K, Dent E, Wilson D, </w:t>
      </w:r>
      <w:proofErr w:type="spellStart"/>
      <w:r w:rsidRPr="006A6D2C">
        <w:rPr>
          <w:bCs/>
          <w:sz w:val="22"/>
          <w:szCs w:val="22"/>
        </w:rPr>
        <w:t>Janicek</w:t>
      </w:r>
      <w:proofErr w:type="spellEnd"/>
      <w:r w:rsidR="00096C7F">
        <w:rPr>
          <w:bCs/>
          <w:sz w:val="22"/>
          <w:szCs w:val="22"/>
        </w:rPr>
        <w:t xml:space="preserve"> </w:t>
      </w:r>
      <w:r w:rsidRPr="006A6D2C">
        <w:rPr>
          <w:bCs/>
          <w:sz w:val="22"/>
          <w:szCs w:val="22"/>
        </w:rPr>
        <w:t xml:space="preserve">J, Kramer J, </w:t>
      </w:r>
      <w:proofErr w:type="spellStart"/>
      <w:r w:rsidRPr="006A6D2C">
        <w:rPr>
          <w:bCs/>
          <w:sz w:val="22"/>
          <w:szCs w:val="22"/>
        </w:rPr>
        <w:t>Lacarrubba</w:t>
      </w:r>
      <w:proofErr w:type="spellEnd"/>
      <w:r w:rsidRPr="006A6D2C">
        <w:rPr>
          <w:bCs/>
          <w:sz w:val="22"/>
          <w:szCs w:val="22"/>
        </w:rPr>
        <w:t xml:space="preserve"> A </w:t>
      </w:r>
      <w:r w:rsidR="00096C7F">
        <w:rPr>
          <w:bCs/>
          <w:sz w:val="22"/>
          <w:szCs w:val="22"/>
        </w:rPr>
        <w:t xml:space="preserve">and </w:t>
      </w:r>
      <w:proofErr w:type="spellStart"/>
      <w:r w:rsidRPr="006A6D2C">
        <w:rPr>
          <w:bCs/>
          <w:sz w:val="22"/>
          <w:szCs w:val="22"/>
        </w:rPr>
        <w:t>Schiltz</w:t>
      </w:r>
      <w:proofErr w:type="spellEnd"/>
      <w:r w:rsidRPr="006A6D2C">
        <w:rPr>
          <w:bCs/>
          <w:sz w:val="22"/>
          <w:szCs w:val="22"/>
        </w:rPr>
        <w:t xml:space="preserve"> P. Repeatability of subjective evaluation of lameness in horses. </w:t>
      </w:r>
      <w:r w:rsidRPr="00096C7F">
        <w:rPr>
          <w:bCs/>
          <w:sz w:val="22"/>
          <w:szCs w:val="22"/>
        </w:rPr>
        <w:t>Equine Veterinary Journal</w:t>
      </w:r>
      <w:r w:rsidR="00096C7F">
        <w:rPr>
          <w:bCs/>
          <w:sz w:val="22"/>
          <w:szCs w:val="22"/>
        </w:rPr>
        <w:t xml:space="preserve"> </w:t>
      </w:r>
      <w:r w:rsidR="00096C7F" w:rsidRPr="006A6D2C">
        <w:rPr>
          <w:bCs/>
          <w:sz w:val="22"/>
          <w:szCs w:val="22"/>
        </w:rPr>
        <w:t>2010</w:t>
      </w:r>
      <w:r w:rsidR="00096C7F">
        <w:rPr>
          <w:bCs/>
          <w:sz w:val="22"/>
          <w:szCs w:val="22"/>
        </w:rPr>
        <w:t>;</w:t>
      </w:r>
      <w:r w:rsidR="00096C7F" w:rsidRPr="006A6D2C">
        <w:rPr>
          <w:bCs/>
          <w:sz w:val="22"/>
          <w:szCs w:val="22"/>
        </w:rPr>
        <w:t xml:space="preserve"> </w:t>
      </w:r>
      <w:r w:rsidRPr="00096C7F">
        <w:rPr>
          <w:iCs/>
          <w:sz w:val="22"/>
          <w:szCs w:val="22"/>
        </w:rPr>
        <w:t>42</w:t>
      </w:r>
      <w:r w:rsidR="00096C7F">
        <w:rPr>
          <w:bCs/>
          <w:sz w:val="22"/>
          <w:szCs w:val="22"/>
        </w:rPr>
        <w:t>:</w:t>
      </w:r>
      <w:r w:rsidRPr="006A6D2C">
        <w:rPr>
          <w:bCs/>
          <w:sz w:val="22"/>
          <w:szCs w:val="22"/>
        </w:rPr>
        <w:t xml:space="preserve"> 92-97.</w:t>
      </w:r>
    </w:p>
    <w:p w14:paraId="6E3B4C23" w14:textId="10D21F21" w:rsidR="00C87F99" w:rsidRPr="00DE3F84" w:rsidRDefault="00F45D92" w:rsidP="003232A4">
      <w:pPr>
        <w:pStyle w:val="Paragraphedeliste"/>
        <w:numPr>
          <w:ilvl w:val="0"/>
          <w:numId w:val="2"/>
        </w:numPr>
        <w:spacing w:line="480" w:lineRule="auto"/>
        <w:rPr>
          <w:bCs/>
          <w:sz w:val="22"/>
          <w:szCs w:val="22"/>
          <w:lang w:val="en-NZ"/>
        </w:rPr>
      </w:pPr>
      <w:r>
        <w:rPr>
          <w:bCs/>
          <w:sz w:val="22"/>
          <w:szCs w:val="22"/>
          <w:lang w:val="en-NZ"/>
        </w:rPr>
        <w:t xml:space="preserve">Sepulveda </w:t>
      </w:r>
      <w:proofErr w:type="spellStart"/>
      <w:r>
        <w:rPr>
          <w:bCs/>
          <w:sz w:val="22"/>
          <w:szCs w:val="22"/>
          <w:lang w:val="en-NZ"/>
        </w:rPr>
        <w:t>Caviedes</w:t>
      </w:r>
      <w:proofErr w:type="spellEnd"/>
      <w:r>
        <w:rPr>
          <w:bCs/>
          <w:sz w:val="22"/>
          <w:szCs w:val="22"/>
          <w:lang w:val="en-NZ"/>
        </w:rPr>
        <w:t xml:space="preserve"> MF, Forbes</w:t>
      </w:r>
      <w:r w:rsidR="00096C7F">
        <w:rPr>
          <w:bCs/>
          <w:sz w:val="22"/>
          <w:szCs w:val="22"/>
          <w:lang w:val="en-NZ"/>
        </w:rPr>
        <w:t xml:space="preserve"> </w:t>
      </w:r>
      <w:r>
        <w:rPr>
          <w:bCs/>
          <w:sz w:val="22"/>
          <w:szCs w:val="22"/>
          <w:lang w:val="en-NZ"/>
        </w:rPr>
        <w:t>BS</w:t>
      </w:r>
      <w:r w:rsidR="00096C7F">
        <w:rPr>
          <w:bCs/>
          <w:sz w:val="22"/>
          <w:szCs w:val="22"/>
          <w:lang w:val="en-NZ"/>
        </w:rPr>
        <w:t xml:space="preserve"> and </w:t>
      </w:r>
      <w:r>
        <w:rPr>
          <w:bCs/>
          <w:sz w:val="22"/>
          <w:szCs w:val="22"/>
          <w:lang w:val="en-NZ"/>
        </w:rPr>
        <w:t>Pfau T</w:t>
      </w:r>
      <w:r w:rsidR="00096C7F">
        <w:rPr>
          <w:bCs/>
          <w:sz w:val="22"/>
          <w:szCs w:val="22"/>
          <w:lang w:val="en-NZ"/>
        </w:rPr>
        <w:t>.</w:t>
      </w:r>
      <w:r>
        <w:rPr>
          <w:bCs/>
          <w:sz w:val="22"/>
          <w:szCs w:val="22"/>
          <w:lang w:val="en-NZ"/>
        </w:rPr>
        <w:t xml:space="preserve"> Repeatability of gait analysis measurements in Thoroughbreds in training. Equine Vet J </w:t>
      </w:r>
      <w:r w:rsidR="00096C7F">
        <w:rPr>
          <w:bCs/>
          <w:sz w:val="22"/>
          <w:szCs w:val="22"/>
          <w:lang w:val="en-NZ"/>
        </w:rPr>
        <w:t xml:space="preserve">2018; </w:t>
      </w:r>
      <w:r>
        <w:rPr>
          <w:bCs/>
          <w:sz w:val="22"/>
          <w:szCs w:val="22"/>
          <w:lang w:val="en-NZ"/>
        </w:rPr>
        <w:t>50: 513-518</w:t>
      </w:r>
    </w:p>
    <w:p w14:paraId="4D1DA087" w14:textId="3186519E" w:rsidR="003E02AC" w:rsidRPr="00B2429E" w:rsidRDefault="00F45D92" w:rsidP="003232A4">
      <w:pPr>
        <w:pStyle w:val="Paragraphedeliste"/>
        <w:numPr>
          <w:ilvl w:val="0"/>
          <w:numId w:val="2"/>
        </w:numPr>
        <w:spacing w:before="100" w:beforeAutospacing="1" w:after="100" w:afterAutospacing="1" w:line="480" w:lineRule="auto"/>
        <w:rPr>
          <w:b/>
          <w:sz w:val="28"/>
        </w:rPr>
      </w:pPr>
      <w:proofErr w:type="spellStart"/>
      <w:r w:rsidRPr="00490D28">
        <w:rPr>
          <w:rFonts w:eastAsia="Times New Roman"/>
          <w:sz w:val="22"/>
          <w:szCs w:val="22"/>
          <w:lang w:val="en-NZ"/>
        </w:rPr>
        <w:t>Brockx</w:t>
      </w:r>
      <w:proofErr w:type="spellEnd"/>
      <w:r w:rsidRPr="00490D28">
        <w:rPr>
          <w:rFonts w:eastAsia="Times New Roman"/>
          <w:sz w:val="22"/>
          <w:szCs w:val="22"/>
          <w:lang w:val="en-NZ"/>
        </w:rPr>
        <w:t xml:space="preserve"> SY, Martens</w:t>
      </w:r>
      <w:r w:rsidR="00096C7F">
        <w:rPr>
          <w:rFonts w:eastAsia="Times New Roman"/>
          <w:sz w:val="22"/>
          <w:szCs w:val="22"/>
          <w:lang w:val="en-NZ"/>
        </w:rPr>
        <w:t xml:space="preserve"> </w:t>
      </w:r>
      <w:r w:rsidRPr="00490D28">
        <w:rPr>
          <w:rFonts w:eastAsia="Times New Roman"/>
          <w:sz w:val="22"/>
          <w:szCs w:val="22"/>
          <w:lang w:val="en-NZ"/>
        </w:rPr>
        <w:t xml:space="preserve">AM, Bertone AL, Van </w:t>
      </w:r>
      <w:proofErr w:type="spellStart"/>
      <w:r w:rsidRPr="00490D28">
        <w:rPr>
          <w:rFonts w:eastAsia="Times New Roman"/>
          <w:sz w:val="22"/>
          <w:szCs w:val="22"/>
          <w:lang w:val="en-NZ"/>
        </w:rPr>
        <w:t>Brantegem</w:t>
      </w:r>
      <w:proofErr w:type="spellEnd"/>
      <w:r w:rsidRPr="00490D28">
        <w:rPr>
          <w:rFonts w:eastAsia="Times New Roman"/>
          <w:sz w:val="22"/>
          <w:szCs w:val="22"/>
          <w:lang w:val="en-NZ"/>
        </w:rPr>
        <w:t xml:space="preserve"> L, </w:t>
      </w:r>
      <w:proofErr w:type="spellStart"/>
      <w:r w:rsidRPr="00490D28">
        <w:rPr>
          <w:rFonts w:eastAsia="Times New Roman"/>
          <w:sz w:val="22"/>
          <w:szCs w:val="22"/>
          <w:lang w:val="en-NZ"/>
        </w:rPr>
        <w:t>Duchateau</w:t>
      </w:r>
      <w:proofErr w:type="spellEnd"/>
      <w:r w:rsidRPr="00490D28">
        <w:rPr>
          <w:rFonts w:eastAsia="Times New Roman"/>
          <w:sz w:val="22"/>
          <w:szCs w:val="22"/>
          <w:lang w:val="en-NZ"/>
        </w:rPr>
        <w:t xml:space="preserve"> L, Van Hecke L, </w:t>
      </w:r>
      <w:proofErr w:type="spellStart"/>
      <w:r w:rsidRPr="00490D28">
        <w:rPr>
          <w:rFonts w:eastAsia="Times New Roman"/>
          <w:sz w:val="22"/>
          <w:szCs w:val="22"/>
          <w:lang w:val="en-NZ"/>
        </w:rPr>
        <w:t>Dumoulin</w:t>
      </w:r>
      <w:proofErr w:type="spellEnd"/>
      <w:r w:rsidRPr="00490D28">
        <w:rPr>
          <w:rFonts w:eastAsia="Times New Roman"/>
          <w:sz w:val="22"/>
          <w:szCs w:val="22"/>
          <w:lang w:val="en-NZ"/>
        </w:rPr>
        <w:t xml:space="preserve"> M, </w:t>
      </w:r>
      <w:proofErr w:type="spellStart"/>
      <w:r w:rsidRPr="00490D28">
        <w:rPr>
          <w:rFonts w:eastAsia="Times New Roman"/>
          <w:sz w:val="22"/>
          <w:szCs w:val="22"/>
          <w:lang w:val="en-NZ"/>
        </w:rPr>
        <w:t>Oosterlinck</w:t>
      </w:r>
      <w:proofErr w:type="spellEnd"/>
      <w:r w:rsidRPr="00490D28">
        <w:rPr>
          <w:rFonts w:eastAsia="Times New Roman"/>
          <w:sz w:val="22"/>
          <w:szCs w:val="22"/>
          <w:lang w:val="en-NZ"/>
        </w:rPr>
        <w:t xml:space="preserve"> M, </w:t>
      </w:r>
      <w:proofErr w:type="spellStart"/>
      <w:r w:rsidRPr="00490D28">
        <w:rPr>
          <w:rFonts w:eastAsia="Times New Roman"/>
          <w:sz w:val="22"/>
          <w:szCs w:val="22"/>
          <w:lang w:val="en-NZ"/>
        </w:rPr>
        <w:t>Chiers</w:t>
      </w:r>
      <w:proofErr w:type="spellEnd"/>
      <w:r w:rsidRPr="00490D28">
        <w:rPr>
          <w:rFonts w:eastAsia="Times New Roman"/>
          <w:sz w:val="22"/>
          <w:szCs w:val="22"/>
          <w:lang w:val="en-NZ"/>
        </w:rPr>
        <w:t xml:space="preserve"> K, Hussein H, </w:t>
      </w:r>
      <w:proofErr w:type="spellStart"/>
      <w:r w:rsidRPr="00490D28">
        <w:rPr>
          <w:rFonts w:eastAsia="Times New Roman"/>
          <w:sz w:val="22"/>
          <w:szCs w:val="22"/>
          <w:lang w:val="en-NZ"/>
        </w:rPr>
        <w:t>Pille</w:t>
      </w:r>
      <w:proofErr w:type="spellEnd"/>
      <w:r w:rsidRPr="00490D28">
        <w:rPr>
          <w:rFonts w:eastAsia="Times New Roman"/>
          <w:sz w:val="22"/>
          <w:szCs w:val="22"/>
          <w:lang w:val="en-NZ"/>
        </w:rPr>
        <w:t xml:space="preserve"> F</w:t>
      </w:r>
      <w:r w:rsidR="00845ED4">
        <w:rPr>
          <w:rFonts w:eastAsia="Times New Roman"/>
          <w:sz w:val="22"/>
          <w:szCs w:val="22"/>
          <w:lang w:val="en-NZ"/>
        </w:rPr>
        <w:t xml:space="preserve"> </w:t>
      </w:r>
      <w:r w:rsidRPr="00490D28">
        <w:rPr>
          <w:rFonts w:eastAsia="Times New Roman"/>
          <w:sz w:val="22"/>
          <w:szCs w:val="22"/>
          <w:lang w:val="en-NZ"/>
        </w:rPr>
        <w:t xml:space="preserve"> </w:t>
      </w:r>
      <w:r w:rsidR="00845ED4">
        <w:rPr>
          <w:rFonts w:eastAsia="Times New Roman"/>
          <w:sz w:val="22"/>
          <w:szCs w:val="22"/>
          <w:lang w:val="en-NZ"/>
        </w:rPr>
        <w:t xml:space="preserve">and </w:t>
      </w:r>
      <w:proofErr w:type="spellStart"/>
      <w:r w:rsidR="00845ED4">
        <w:rPr>
          <w:rFonts w:eastAsia="Times New Roman"/>
          <w:sz w:val="22"/>
          <w:szCs w:val="22"/>
          <w:lang w:val="en-NZ"/>
        </w:rPr>
        <w:t>S</w:t>
      </w:r>
      <w:r w:rsidRPr="00490D28">
        <w:rPr>
          <w:rFonts w:eastAsia="Times New Roman"/>
          <w:sz w:val="22"/>
          <w:szCs w:val="22"/>
          <w:lang w:val="en-NZ"/>
        </w:rPr>
        <w:t>pass</w:t>
      </w:r>
      <w:proofErr w:type="spellEnd"/>
      <w:r w:rsidRPr="00490D28">
        <w:rPr>
          <w:rFonts w:eastAsia="Times New Roman"/>
          <w:sz w:val="22"/>
          <w:szCs w:val="22"/>
          <w:lang w:val="en-NZ"/>
        </w:rPr>
        <w:t xml:space="preserve"> JH</w:t>
      </w:r>
      <w:r>
        <w:rPr>
          <w:rFonts w:eastAsia="Times New Roman"/>
          <w:sz w:val="22"/>
          <w:szCs w:val="22"/>
          <w:lang w:val="en-NZ"/>
        </w:rPr>
        <w:t>.</w:t>
      </w:r>
      <w:r w:rsidRPr="00490D28">
        <w:rPr>
          <w:rFonts w:eastAsia="Times New Roman"/>
          <w:sz w:val="22"/>
          <w:szCs w:val="22"/>
          <w:lang w:val="en-NZ"/>
        </w:rPr>
        <w:t xml:space="preserve"> </w:t>
      </w:r>
      <w:r w:rsidRPr="00490D28">
        <w:rPr>
          <w:rFonts w:cstheme="minorHAnsi"/>
          <w:color w:val="000000"/>
          <w:sz w:val="22"/>
          <w:szCs w:val="22"/>
        </w:rPr>
        <w:t>The use of equine chondrogenic-induced mesenchymal stem cells as a treatment for osteoarthritis: A randomised, double-blinded, placebo-controlled proof-of-concept study. Equine Vet J</w:t>
      </w:r>
      <w:r>
        <w:rPr>
          <w:rFonts w:cstheme="minorHAnsi"/>
          <w:color w:val="000000"/>
          <w:sz w:val="22"/>
          <w:szCs w:val="22"/>
        </w:rPr>
        <w:t xml:space="preserve"> </w:t>
      </w:r>
      <w:r w:rsidR="00845ED4" w:rsidRPr="00490D28">
        <w:rPr>
          <w:rFonts w:eastAsia="Times New Roman"/>
          <w:sz w:val="22"/>
          <w:szCs w:val="22"/>
          <w:lang w:val="en-NZ"/>
        </w:rPr>
        <w:t>2019</w:t>
      </w:r>
      <w:r w:rsidR="00845ED4">
        <w:rPr>
          <w:rFonts w:eastAsia="Times New Roman"/>
          <w:sz w:val="22"/>
          <w:szCs w:val="22"/>
          <w:lang w:val="en-NZ"/>
        </w:rPr>
        <w:t>;</w:t>
      </w:r>
      <w:r w:rsidR="00845ED4" w:rsidRPr="00490D28">
        <w:rPr>
          <w:rFonts w:eastAsia="Times New Roman"/>
          <w:sz w:val="22"/>
          <w:szCs w:val="22"/>
          <w:lang w:val="en-NZ"/>
        </w:rPr>
        <w:t xml:space="preserve"> </w:t>
      </w:r>
      <w:r w:rsidRPr="00B2429E">
        <w:rPr>
          <w:rFonts w:cstheme="minorHAnsi"/>
          <w:color w:val="000000"/>
          <w:sz w:val="22"/>
          <w:szCs w:val="22"/>
        </w:rPr>
        <w:t>51(6):787-794</w:t>
      </w:r>
      <w:r>
        <w:rPr>
          <w:rFonts w:cstheme="minorHAnsi"/>
          <w:color w:val="000000"/>
          <w:sz w:val="22"/>
          <w:szCs w:val="22"/>
        </w:rPr>
        <w:t>.</w:t>
      </w:r>
    </w:p>
    <w:p w14:paraId="04A42A3F" w14:textId="6EA062A7" w:rsidR="003E02AC" w:rsidRPr="00A54BE3" w:rsidRDefault="00F45D92" w:rsidP="003232A4">
      <w:pPr>
        <w:pStyle w:val="Paragraphedeliste"/>
        <w:numPr>
          <w:ilvl w:val="0"/>
          <w:numId w:val="2"/>
        </w:numPr>
        <w:spacing w:before="100" w:beforeAutospacing="1" w:after="100" w:afterAutospacing="1" w:line="480" w:lineRule="auto"/>
        <w:rPr>
          <w:sz w:val="22"/>
          <w:szCs w:val="22"/>
        </w:rPr>
      </w:pPr>
      <w:r>
        <w:rPr>
          <w:rFonts w:cstheme="minorHAnsi"/>
          <w:color w:val="000000"/>
          <w:sz w:val="22"/>
          <w:szCs w:val="22"/>
        </w:rPr>
        <w:t>Nelson B</w:t>
      </w:r>
      <w:r w:rsidR="007806BE">
        <w:rPr>
          <w:rFonts w:cstheme="minorHAnsi"/>
          <w:color w:val="000000"/>
          <w:sz w:val="22"/>
          <w:szCs w:val="22"/>
        </w:rPr>
        <w:t>B</w:t>
      </w:r>
      <w:r>
        <w:rPr>
          <w:rFonts w:cstheme="minorHAnsi"/>
          <w:color w:val="000000"/>
          <w:sz w:val="22"/>
          <w:szCs w:val="22"/>
        </w:rPr>
        <w:t>, King MR</w:t>
      </w:r>
      <w:r w:rsidR="008E3C64">
        <w:rPr>
          <w:rFonts w:cstheme="minorHAnsi"/>
          <w:color w:val="000000"/>
          <w:sz w:val="22"/>
          <w:szCs w:val="22"/>
        </w:rPr>
        <w:t xml:space="preserve"> and </w:t>
      </w:r>
      <w:proofErr w:type="spellStart"/>
      <w:r>
        <w:rPr>
          <w:rFonts w:cstheme="minorHAnsi"/>
          <w:color w:val="000000"/>
          <w:sz w:val="22"/>
          <w:szCs w:val="22"/>
        </w:rPr>
        <w:t>Frisbie</w:t>
      </w:r>
      <w:proofErr w:type="spellEnd"/>
      <w:r>
        <w:rPr>
          <w:rFonts w:cstheme="minorHAnsi"/>
          <w:color w:val="000000"/>
          <w:sz w:val="22"/>
          <w:szCs w:val="22"/>
        </w:rPr>
        <w:t xml:space="preserve"> DD</w:t>
      </w:r>
      <w:r w:rsidR="007806BE">
        <w:rPr>
          <w:rFonts w:cstheme="minorHAnsi"/>
          <w:color w:val="000000"/>
          <w:sz w:val="22"/>
          <w:szCs w:val="22"/>
        </w:rPr>
        <w:t>.</w:t>
      </w:r>
      <w:r>
        <w:rPr>
          <w:rFonts w:cstheme="minorHAnsi"/>
          <w:color w:val="000000"/>
          <w:sz w:val="22"/>
          <w:szCs w:val="22"/>
        </w:rPr>
        <w:t xml:space="preserve"> </w:t>
      </w:r>
      <w:r w:rsidRPr="00307D59">
        <w:rPr>
          <w:rFonts w:cstheme="minorHAnsi"/>
          <w:color w:val="000000"/>
          <w:sz w:val="22"/>
          <w:szCs w:val="22"/>
          <w:lang w:val="en-NZ"/>
        </w:rPr>
        <w:t>Assessment of a novel equine </w:t>
      </w:r>
      <w:proofErr w:type="spellStart"/>
      <w:r w:rsidRPr="00307D59">
        <w:rPr>
          <w:rFonts w:cstheme="minorHAnsi"/>
          <w:color w:val="000000"/>
          <w:sz w:val="22"/>
          <w:szCs w:val="22"/>
          <w:lang w:val="en-NZ"/>
        </w:rPr>
        <w:t>tarsocrural</w:t>
      </w:r>
      <w:proofErr w:type="spellEnd"/>
      <w:r w:rsidRPr="00307D59">
        <w:rPr>
          <w:rFonts w:cstheme="minorHAnsi"/>
          <w:color w:val="000000"/>
          <w:sz w:val="22"/>
          <w:szCs w:val="22"/>
          <w:lang w:val="en-NZ"/>
        </w:rPr>
        <w:t xml:space="preserve"> experimental joint disease model using recombinant interleukin-1β and arthroscopic articular sampling of the medial malleolus of the tibia on the standing sedated horse</w:t>
      </w:r>
      <w:r>
        <w:rPr>
          <w:rFonts w:cstheme="minorHAnsi"/>
          <w:color w:val="000000"/>
          <w:sz w:val="22"/>
          <w:szCs w:val="22"/>
          <w:lang w:val="en-NZ"/>
        </w:rPr>
        <w:t xml:space="preserve">. Vet J </w:t>
      </w:r>
      <w:r w:rsidR="007806BE">
        <w:rPr>
          <w:rFonts w:cstheme="minorHAnsi"/>
          <w:color w:val="000000"/>
          <w:sz w:val="22"/>
          <w:szCs w:val="22"/>
        </w:rPr>
        <w:t xml:space="preserve">2017; </w:t>
      </w:r>
      <w:r w:rsidRPr="00307D59">
        <w:rPr>
          <w:rFonts w:cstheme="minorHAnsi"/>
          <w:color w:val="000000"/>
          <w:sz w:val="22"/>
          <w:szCs w:val="22"/>
          <w:lang w:val="en-NZ"/>
        </w:rPr>
        <w:t>229:</w:t>
      </w:r>
      <w:r>
        <w:rPr>
          <w:rFonts w:cstheme="minorHAnsi"/>
          <w:color w:val="000000"/>
          <w:sz w:val="22"/>
          <w:szCs w:val="22"/>
          <w:lang w:val="en-NZ"/>
        </w:rPr>
        <w:t xml:space="preserve"> </w:t>
      </w:r>
      <w:r w:rsidRPr="00307D59">
        <w:rPr>
          <w:rFonts w:cstheme="minorHAnsi"/>
          <w:color w:val="000000"/>
          <w:sz w:val="22"/>
          <w:szCs w:val="22"/>
          <w:lang w:val="en-NZ"/>
        </w:rPr>
        <w:t>54-59.</w:t>
      </w:r>
    </w:p>
    <w:p w14:paraId="3F856CB5" w14:textId="0113A379" w:rsidR="004171E5" w:rsidRDefault="00F45D92" w:rsidP="003232A4">
      <w:pPr>
        <w:pStyle w:val="Paragraphedeliste"/>
        <w:numPr>
          <w:ilvl w:val="0"/>
          <w:numId w:val="2"/>
        </w:numPr>
        <w:spacing w:before="100" w:after="100" w:line="480" w:lineRule="auto"/>
        <w:rPr>
          <w:lang w:val="en-AU"/>
        </w:rPr>
      </w:pPr>
      <w:proofErr w:type="spellStart"/>
      <w:r w:rsidRPr="00A54BE3">
        <w:rPr>
          <w:rFonts w:cstheme="minorHAnsi"/>
          <w:color w:val="000000"/>
          <w:sz w:val="22"/>
          <w:szCs w:val="22"/>
        </w:rPr>
        <w:lastRenderedPageBreak/>
        <w:t>Kynch</w:t>
      </w:r>
      <w:proofErr w:type="spellEnd"/>
      <w:r w:rsidRPr="00A54BE3">
        <w:rPr>
          <w:rFonts w:cstheme="minorHAnsi"/>
          <w:color w:val="000000"/>
          <w:sz w:val="22"/>
          <w:szCs w:val="22"/>
        </w:rPr>
        <w:t xml:space="preserve"> HK, Vidal MA, </w:t>
      </w:r>
      <w:proofErr w:type="spellStart"/>
      <w:r w:rsidRPr="00A54BE3">
        <w:rPr>
          <w:rFonts w:cstheme="minorHAnsi"/>
          <w:color w:val="000000"/>
          <w:sz w:val="22"/>
          <w:szCs w:val="22"/>
        </w:rPr>
        <w:t>Casbeer</w:t>
      </w:r>
      <w:proofErr w:type="spellEnd"/>
      <w:r w:rsidRPr="00A54BE3">
        <w:rPr>
          <w:rFonts w:cstheme="minorHAnsi"/>
          <w:color w:val="000000"/>
          <w:sz w:val="22"/>
          <w:szCs w:val="22"/>
        </w:rPr>
        <w:t xml:space="preserve"> HC</w:t>
      </w:r>
      <w:r w:rsidR="008E3C64">
        <w:rPr>
          <w:rFonts w:cstheme="minorHAnsi"/>
          <w:color w:val="000000"/>
          <w:sz w:val="22"/>
          <w:szCs w:val="22"/>
        </w:rPr>
        <w:t xml:space="preserve"> and</w:t>
      </w:r>
      <w:r w:rsidRPr="00A54BE3">
        <w:rPr>
          <w:rFonts w:cstheme="minorHAnsi"/>
          <w:color w:val="000000"/>
          <w:sz w:val="22"/>
          <w:szCs w:val="22"/>
        </w:rPr>
        <w:t xml:space="preserve"> </w:t>
      </w:r>
      <w:proofErr w:type="spellStart"/>
      <w:r w:rsidRPr="00A54BE3">
        <w:rPr>
          <w:rFonts w:cstheme="minorHAnsi"/>
          <w:color w:val="000000"/>
          <w:sz w:val="22"/>
          <w:szCs w:val="22"/>
        </w:rPr>
        <w:t>McKemie</w:t>
      </w:r>
      <w:proofErr w:type="spellEnd"/>
      <w:r w:rsidRPr="00A54BE3">
        <w:rPr>
          <w:rFonts w:cstheme="minorHAnsi"/>
          <w:color w:val="000000"/>
          <w:sz w:val="22"/>
          <w:szCs w:val="22"/>
        </w:rPr>
        <w:t xml:space="preserve"> DS</w:t>
      </w:r>
      <w:r w:rsidR="007806BE">
        <w:rPr>
          <w:rFonts w:cstheme="minorHAnsi"/>
          <w:color w:val="000000"/>
          <w:sz w:val="22"/>
          <w:szCs w:val="22"/>
        </w:rPr>
        <w:t xml:space="preserve">. </w:t>
      </w:r>
      <w:r w:rsidRPr="00A54BE3">
        <w:rPr>
          <w:rFonts w:cstheme="minorHAnsi"/>
          <w:color w:val="000000"/>
          <w:sz w:val="22"/>
          <w:szCs w:val="22"/>
        </w:rPr>
        <w:t xml:space="preserve">Pharmacokinetics of </w:t>
      </w:r>
      <w:proofErr w:type="spellStart"/>
      <w:r w:rsidRPr="00A54BE3">
        <w:rPr>
          <w:rFonts w:cstheme="minorHAnsi"/>
          <w:color w:val="000000"/>
          <w:sz w:val="22"/>
          <w:szCs w:val="22"/>
        </w:rPr>
        <w:t>triamcin</w:t>
      </w:r>
      <w:r w:rsidR="008E3C64">
        <w:rPr>
          <w:rFonts w:cstheme="minorHAnsi"/>
          <w:color w:val="000000"/>
          <w:sz w:val="22"/>
          <w:szCs w:val="22"/>
        </w:rPr>
        <w:t>a</w:t>
      </w:r>
      <w:r w:rsidRPr="00A54BE3">
        <w:rPr>
          <w:rFonts w:cstheme="minorHAnsi"/>
          <w:color w:val="000000"/>
          <w:sz w:val="22"/>
          <w:szCs w:val="22"/>
        </w:rPr>
        <w:t>lone</w:t>
      </w:r>
      <w:proofErr w:type="spellEnd"/>
      <w:r w:rsidRPr="00A54BE3">
        <w:rPr>
          <w:rFonts w:cstheme="minorHAnsi"/>
          <w:color w:val="000000"/>
          <w:sz w:val="22"/>
          <w:szCs w:val="22"/>
        </w:rPr>
        <w:t xml:space="preserve"> acetonide following intramuscular and intra-articular administration to exercised Thoroughbred horses. </w:t>
      </w:r>
      <w:r w:rsidRPr="007806BE">
        <w:rPr>
          <w:rFonts w:cstheme="minorHAnsi"/>
          <w:color w:val="000000"/>
          <w:sz w:val="22"/>
          <w:szCs w:val="22"/>
        </w:rPr>
        <w:t>Equine Vet J</w:t>
      </w:r>
      <w:r w:rsidRPr="00A54BE3">
        <w:rPr>
          <w:rFonts w:cstheme="minorHAnsi"/>
          <w:i/>
          <w:iCs/>
          <w:color w:val="000000"/>
          <w:sz w:val="22"/>
          <w:szCs w:val="22"/>
        </w:rPr>
        <w:t xml:space="preserve"> </w:t>
      </w:r>
      <w:r w:rsidR="007806BE" w:rsidRPr="00A54BE3">
        <w:rPr>
          <w:rFonts w:cstheme="minorHAnsi"/>
          <w:color w:val="000000"/>
          <w:sz w:val="22"/>
          <w:szCs w:val="22"/>
        </w:rPr>
        <w:t>2013</w:t>
      </w:r>
      <w:r w:rsidR="007806BE">
        <w:rPr>
          <w:rFonts w:cstheme="minorHAnsi"/>
          <w:color w:val="000000"/>
          <w:sz w:val="22"/>
          <w:szCs w:val="22"/>
        </w:rPr>
        <w:t>;</w:t>
      </w:r>
      <w:r w:rsidR="007806BE" w:rsidRPr="00A54BE3">
        <w:rPr>
          <w:rFonts w:cstheme="minorHAnsi"/>
          <w:color w:val="000000"/>
          <w:sz w:val="22"/>
          <w:szCs w:val="22"/>
        </w:rPr>
        <w:t xml:space="preserve"> </w:t>
      </w:r>
      <w:r w:rsidRPr="007806BE">
        <w:rPr>
          <w:rFonts w:cstheme="minorHAnsi"/>
          <w:color w:val="000000"/>
          <w:sz w:val="22"/>
          <w:szCs w:val="22"/>
        </w:rPr>
        <w:t>45</w:t>
      </w:r>
      <w:r w:rsidRPr="00A54BE3">
        <w:rPr>
          <w:rFonts w:cstheme="minorHAnsi"/>
          <w:color w:val="000000"/>
          <w:sz w:val="22"/>
          <w:szCs w:val="22"/>
        </w:rPr>
        <w:t>: 715-720.</w:t>
      </w:r>
      <w:r>
        <w:rPr>
          <w:lang w:val="en-AU"/>
        </w:rPr>
        <w:br w:type="page"/>
      </w:r>
    </w:p>
    <w:p w14:paraId="7252E8ED" w14:textId="38DA7231" w:rsidR="004171E5" w:rsidRPr="00391401" w:rsidRDefault="00F01411" w:rsidP="0009438C">
      <w:pPr>
        <w:spacing w:line="480" w:lineRule="auto"/>
        <w:rPr>
          <w:b/>
          <w:sz w:val="28"/>
          <w:szCs w:val="28"/>
        </w:rPr>
      </w:pPr>
      <w:r>
        <w:rPr>
          <w:b/>
          <w:sz w:val="28"/>
          <w:szCs w:val="28"/>
        </w:rPr>
        <w:lastRenderedPageBreak/>
        <w:t>9</w:t>
      </w:r>
      <w:r w:rsidR="00FF719C">
        <w:rPr>
          <w:b/>
          <w:sz w:val="28"/>
          <w:szCs w:val="28"/>
        </w:rPr>
        <w:t xml:space="preserve">. </w:t>
      </w:r>
      <w:r w:rsidR="00F45D92" w:rsidRPr="00391401">
        <w:rPr>
          <w:b/>
          <w:sz w:val="28"/>
          <w:szCs w:val="28"/>
        </w:rPr>
        <w:t>Tables</w:t>
      </w:r>
    </w:p>
    <w:p w14:paraId="71BEB3A6" w14:textId="6557C326" w:rsidR="004171E5" w:rsidRDefault="00F45D92" w:rsidP="0009438C">
      <w:pPr>
        <w:spacing w:line="480" w:lineRule="auto"/>
        <w:rPr>
          <w:sz w:val="22"/>
          <w:szCs w:val="22"/>
        </w:rPr>
      </w:pPr>
      <w:r w:rsidRPr="00380DD6">
        <w:rPr>
          <w:b/>
          <w:sz w:val="22"/>
          <w:szCs w:val="22"/>
          <w:u w:val="single"/>
        </w:rPr>
        <w:t xml:space="preserve">Table </w:t>
      </w:r>
      <w:r>
        <w:rPr>
          <w:b/>
          <w:sz w:val="22"/>
          <w:szCs w:val="22"/>
          <w:u w:val="single"/>
        </w:rPr>
        <w:t>1</w:t>
      </w:r>
      <w:r>
        <w:rPr>
          <w:sz w:val="22"/>
          <w:szCs w:val="22"/>
        </w:rPr>
        <w:t>.</w:t>
      </w:r>
      <w:r w:rsidRPr="00F700D6">
        <w:rPr>
          <w:sz w:val="22"/>
          <w:szCs w:val="22"/>
        </w:rPr>
        <w:t xml:space="preserve"> </w:t>
      </w:r>
      <w:r w:rsidRPr="00895315">
        <w:rPr>
          <w:sz w:val="22"/>
          <w:szCs w:val="22"/>
        </w:rPr>
        <w:t xml:space="preserve"> Radiological scoring system</w:t>
      </w:r>
      <w:r>
        <w:rPr>
          <w:sz w:val="22"/>
          <w:szCs w:val="22"/>
        </w:rPr>
        <w:t xml:space="preserve"> of carpal radiographs.</w:t>
      </w:r>
    </w:p>
    <w:tbl>
      <w:tblPr>
        <w:tblW w:w="8814" w:type="dxa"/>
        <w:tblLook w:val="04A0" w:firstRow="1" w:lastRow="0" w:firstColumn="1" w:lastColumn="0" w:noHBand="0" w:noVBand="1"/>
      </w:tblPr>
      <w:tblGrid>
        <w:gridCol w:w="2500"/>
        <w:gridCol w:w="1540"/>
        <w:gridCol w:w="1540"/>
        <w:gridCol w:w="1540"/>
        <w:gridCol w:w="1694"/>
      </w:tblGrid>
      <w:tr w:rsidR="00464EAF" w14:paraId="33EEAFE9" w14:textId="77777777" w:rsidTr="00E858E8">
        <w:trPr>
          <w:trHeight w:val="1600"/>
        </w:trPr>
        <w:tc>
          <w:tcPr>
            <w:tcW w:w="2500" w:type="dxa"/>
            <w:tcBorders>
              <w:top w:val="nil"/>
              <w:left w:val="nil"/>
              <w:bottom w:val="nil"/>
              <w:right w:val="nil"/>
            </w:tcBorders>
            <w:shd w:val="clear" w:color="auto" w:fill="auto"/>
            <w:noWrap/>
            <w:vAlign w:val="center"/>
            <w:hideMark/>
          </w:tcPr>
          <w:p w14:paraId="3BFECDBB" w14:textId="77777777" w:rsidR="004171E5" w:rsidRPr="00931CBE" w:rsidRDefault="00F45D92" w:rsidP="0009438C">
            <w:pPr>
              <w:rPr>
                <w:rFonts w:eastAsia="Times New Roman" w:cstheme="minorHAnsi"/>
                <w:b/>
                <w:lang w:val="en-NZ"/>
              </w:rPr>
            </w:pPr>
            <w:r w:rsidRPr="00931CBE">
              <w:rPr>
                <w:rFonts w:eastAsia="Times New Roman" w:cstheme="minorHAnsi"/>
                <w:b/>
                <w:lang w:val="en-NZ"/>
              </w:rPr>
              <w:t>Score</w:t>
            </w:r>
          </w:p>
        </w:tc>
        <w:tc>
          <w:tcPr>
            <w:tcW w:w="1540" w:type="dxa"/>
            <w:tcBorders>
              <w:top w:val="nil"/>
              <w:left w:val="nil"/>
              <w:bottom w:val="nil"/>
              <w:right w:val="nil"/>
            </w:tcBorders>
            <w:shd w:val="clear" w:color="auto" w:fill="auto"/>
            <w:noWrap/>
            <w:vAlign w:val="center"/>
            <w:hideMark/>
          </w:tcPr>
          <w:p w14:paraId="39276476" w14:textId="77777777" w:rsidR="004171E5" w:rsidRPr="00A134F4" w:rsidRDefault="00F45D92" w:rsidP="0009438C">
            <w:pPr>
              <w:rPr>
                <w:rFonts w:ascii="Calibri" w:eastAsia="Times New Roman" w:hAnsi="Calibri" w:cs="Calibri"/>
                <w:b/>
                <w:bCs/>
                <w:color w:val="000000"/>
                <w:lang w:val="en-NZ"/>
              </w:rPr>
            </w:pPr>
            <w:r w:rsidRPr="00A134F4">
              <w:rPr>
                <w:rFonts w:ascii="Calibri" w:eastAsia="Times New Roman" w:hAnsi="Calibri" w:cs="Calibri"/>
                <w:b/>
                <w:bCs/>
                <w:color w:val="000000"/>
                <w:lang w:val="en-NZ"/>
              </w:rPr>
              <w:t>0</w:t>
            </w:r>
          </w:p>
        </w:tc>
        <w:tc>
          <w:tcPr>
            <w:tcW w:w="1540" w:type="dxa"/>
            <w:tcBorders>
              <w:top w:val="nil"/>
              <w:left w:val="nil"/>
              <w:bottom w:val="nil"/>
              <w:right w:val="nil"/>
            </w:tcBorders>
            <w:shd w:val="clear" w:color="auto" w:fill="auto"/>
            <w:noWrap/>
            <w:vAlign w:val="center"/>
            <w:hideMark/>
          </w:tcPr>
          <w:p w14:paraId="3745E16D" w14:textId="77777777" w:rsidR="004171E5" w:rsidRPr="00A134F4" w:rsidRDefault="00F45D92" w:rsidP="0009438C">
            <w:pPr>
              <w:rPr>
                <w:rFonts w:ascii="Calibri" w:eastAsia="Times New Roman" w:hAnsi="Calibri" w:cs="Calibri"/>
                <w:b/>
                <w:bCs/>
                <w:color w:val="000000"/>
                <w:lang w:val="en-NZ"/>
              </w:rPr>
            </w:pPr>
            <w:r w:rsidRPr="00A134F4">
              <w:rPr>
                <w:rFonts w:ascii="Calibri" w:eastAsia="Times New Roman" w:hAnsi="Calibri" w:cs="Calibri"/>
                <w:b/>
                <w:bCs/>
                <w:color w:val="000000"/>
                <w:lang w:val="en-NZ"/>
              </w:rPr>
              <w:t>1</w:t>
            </w:r>
          </w:p>
        </w:tc>
        <w:tc>
          <w:tcPr>
            <w:tcW w:w="1540" w:type="dxa"/>
            <w:tcBorders>
              <w:top w:val="nil"/>
              <w:left w:val="nil"/>
              <w:bottom w:val="nil"/>
              <w:right w:val="nil"/>
            </w:tcBorders>
            <w:shd w:val="clear" w:color="auto" w:fill="auto"/>
            <w:noWrap/>
            <w:vAlign w:val="center"/>
            <w:hideMark/>
          </w:tcPr>
          <w:p w14:paraId="0EE5F548" w14:textId="77777777" w:rsidR="004171E5" w:rsidRPr="00A134F4" w:rsidRDefault="00F45D92" w:rsidP="0009438C">
            <w:pPr>
              <w:rPr>
                <w:rFonts w:ascii="Calibri" w:eastAsia="Times New Roman" w:hAnsi="Calibri" w:cs="Calibri"/>
                <w:b/>
                <w:bCs/>
                <w:color w:val="000000"/>
                <w:lang w:val="en-NZ"/>
              </w:rPr>
            </w:pPr>
            <w:r w:rsidRPr="00A134F4">
              <w:rPr>
                <w:rFonts w:ascii="Calibri" w:eastAsia="Times New Roman" w:hAnsi="Calibri" w:cs="Calibri"/>
                <w:b/>
                <w:bCs/>
                <w:color w:val="000000"/>
                <w:lang w:val="en-NZ"/>
              </w:rPr>
              <w:t>2</w:t>
            </w:r>
          </w:p>
        </w:tc>
        <w:tc>
          <w:tcPr>
            <w:tcW w:w="1694" w:type="dxa"/>
            <w:tcBorders>
              <w:top w:val="nil"/>
              <w:left w:val="nil"/>
              <w:bottom w:val="nil"/>
              <w:right w:val="nil"/>
            </w:tcBorders>
            <w:shd w:val="clear" w:color="auto" w:fill="auto"/>
            <w:noWrap/>
            <w:vAlign w:val="center"/>
            <w:hideMark/>
          </w:tcPr>
          <w:p w14:paraId="26FF871A" w14:textId="77777777" w:rsidR="004171E5" w:rsidRPr="00A134F4" w:rsidRDefault="00F45D92" w:rsidP="0009438C">
            <w:pPr>
              <w:rPr>
                <w:rFonts w:ascii="Calibri" w:eastAsia="Times New Roman" w:hAnsi="Calibri" w:cs="Calibri"/>
                <w:b/>
                <w:bCs/>
                <w:color w:val="000000"/>
                <w:lang w:val="en-NZ"/>
              </w:rPr>
            </w:pPr>
            <w:r w:rsidRPr="00A134F4">
              <w:rPr>
                <w:rFonts w:ascii="Calibri" w:eastAsia="Times New Roman" w:hAnsi="Calibri" w:cs="Calibri"/>
                <w:b/>
                <w:bCs/>
                <w:color w:val="000000"/>
                <w:lang w:val="en-NZ"/>
              </w:rPr>
              <w:t>3</w:t>
            </w:r>
          </w:p>
        </w:tc>
      </w:tr>
      <w:tr w:rsidR="00464EAF" w:rsidRPr="00F802CC" w14:paraId="49E4E301" w14:textId="77777777" w:rsidTr="00E858E8">
        <w:trPr>
          <w:trHeight w:val="1600"/>
        </w:trPr>
        <w:tc>
          <w:tcPr>
            <w:tcW w:w="2500" w:type="dxa"/>
            <w:tcBorders>
              <w:top w:val="nil"/>
              <w:left w:val="nil"/>
              <w:bottom w:val="nil"/>
              <w:right w:val="nil"/>
            </w:tcBorders>
            <w:shd w:val="clear" w:color="auto" w:fill="auto"/>
            <w:vAlign w:val="center"/>
            <w:hideMark/>
          </w:tcPr>
          <w:p w14:paraId="66DF51B6" w14:textId="422B4601" w:rsidR="004171E5" w:rsidRPr="00F802CC" w:rsidRDefault="00F45D92" w:rsidP="0009438C">
            <w:pPr>
              <w:rPr>
                <w:rFonts w:ascii="Calibri" w:eastAsia="Times New Roman" w:hAnsi="Calibri" w:cs="Calibri"/>
                <w:b/>
                <w:bCs/>
                <w:color w:val="000000"/>
                <w:sz w:val="22"/>
                <w:szCs w:val="22"/>
                <w:lang w:val="en-NZ"/>
              </w:rPr>
            </w:pPr>
            <w:r w:rsidRPr="00F802CC">
              <w:rPr>
                <w:rFonts w:ascii="Calibri" w:eastAsia="Times New Roman" w:hAnsi="Calibri" w:cs="Calibri"/>
                <w:b/>
                <w:bCs/>
                <w:color w:val="000000"/>
                <w:sz w:val="22"/>
                <w:szCs w:val="22"/>
              </w:rPr>
              <w:t xml:space="preserve">Sclerosis </w:t>
            </w:r>
            <w:r w:rsidR="00625B3B" w:rsidRPr="00F802CC">
              <w:rPr>
                <w:rFonts w:ascii="Calibri" w:eastAsia="Times New Roman" w:hAnsi="Calibri" w:cs="Calibri"/>
                <w:b/>
                <w:bCs/>
                <w:color w:val="000000"/>
                <w:sz w:val="22"/>
                <w:szCs w:val="22"/>
              </w:rPr>
              <w:t>and/or</w:t>
            </w:r>
            <w:r w:rsidRPr="00F802CC">
              <w:rPr>
                <w:rFonts w:ascii="Calibri" w:eastAsia="Times New Roman" w:hAnsi="Calibri" w:cs="Calibri"/>
                <w:b/>
                <w:bCs/>
                <w:color w:val="000000"/>
                <w:sz w:val="22"/>
                <w:szCs w:val="22"/>
              </w:rPr>
              <w:t xml:space="preserve"> lysis of </w:t>
            </w:r>
            <w:r w:rsidR="00A568AA" w:rsidRPr="00F802CC">
              <w:rPr>
                <w:rFonts w:ascii="Calibri" w:eastAsia="Times New Roman" w:hAnsi="Calibri" w:cs="Calibri"/>
                <w:b/>
                <w:bCs/>
                <w:color w:val="000000"/>
                <w:sz w:val="22"/>
                <w:szCs w:val="22"/>
              </w:rPr>
              <w:t>radio</w:t>
            </w:r>
            <w:r w:rsidRPr="00F802CC">
              <w:rPr>
                <w:rFonts w:ascii="Calibri" w:eastAsia="Times New Roman" w:hAnsi="Calibri" w:cs="Calibri"/>
                <w:b/>
                <w:bCs/>
                <w:color w:val="000000"/>
                <w:sz w:val="22"/>
                <w:szCs w:val="22"/>
              </w:rPr>
              <w:t>carpal</w:t>
            </w:r>
            <w:r w:rsidR="00A568AA" w:rsidRPr="00F802CC">
              <w:rPr>
                <w:rFonts w:ascii="Calibri" w:eastAsia="Times New Roman" w:hAnsi="Calibri" w:cs="Calibri"/>
                <w:b/>
                <w:bCs/>
                <w:color w:val="000000"/>
                <w:sz w:val="22"/>
                <w:szCs w:val="22"/>
              </w:rPr>
              <w:t xml:space="preserve">, intermediate carpal or radial facet of third carpal </w:t>
            </w:r>
            <w:r w:rsidRPr="00F802CC">
              <w:rPr>
                <w:rFonts w:ascii="Calibri" w:eastAsia="Times New Roman" w:hAnsi="Calibri" w:cs="Calibri"/>
                <w:b/>
                <w:bCs/>
                <w:color w:val="000000"/>
                <w:sz w:val="22"/>
                <w:szCs w:val="22"/>
              </w:rPr>
              <w:t>bone</w:t>
            </w:r>
            <w:r w:rsidR="00C32E95" w:rsidRPr="00F802CC">
              <w:rPr>
                <w:rFonts w:ascii="Calibri" w:eastAsia="Times New Roman" w:hAnsi="Calibri" w:cs="Calibri"/>
                <w:b/>
                <w:bCs/>
                <w:color w:val="000000"/>
                <w:sz w:val="22"/>
                <w:szCs w:val="22"/>
              </w:rPr>
              <w:t>s</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348D2" w14:textId="77777777" w:rsidR="00F42558"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 xml:space="preserve">None to mild sclerosis, </w:t>
            </w:r>
          </w:p>
          <w:p w14:paraId="204EABAE" w14:textId="4F72D0BC" w:rsidR="00467B21"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and no lysis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51CEFA8" w14:textId="04906F4C" w:rsidR="007B09C8" w:rsidRPr="00F802CC" w:rsidRDefault="00F45D92" w:rsidP="003232A4">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M</w:t>
            </w:r>
            <w:r w:rsidR="004171E5" w:rsidRPr="00F802CC">
              <w:rPr>
                <w:rFonts w:ascii="Calibri" w:eastAsia="Times New Roman" w:hAnsi="Calibri" w:cs="Calibri"/>
                <w:color w:val="000000"/>
                <w:sz w:val="22"/>
                <w:szCs w:val="22"/>
                <w:lang w:val="en-NZ"/>
              </w:rPr>
              <w:t xml:space="preserve">ild lysis </w:t>
            </w:r>
            <w:r w:rsidR="00F42558" w:rsidRPr="00F802CC">
              <w:rPr>
                <w:rFonts w:ascii="Calibri" w:eastAsia="Times New Roman" w:hAnsi="Calibri" w:cs="Calibri"/>
                <w:color w:val="000000"/>
                <w:sz w:val="22"/>
                <w:szCs w:val="22"/>
                <w:lang w:val="en-NZ"/>
              </w:rPr>
              <w:t>and/</w:t>
            </w:r>
            <w:r w:rsidR="004171E5" w:rsidRPr="00F802CC">
              <w:rPr>
                <w:rFonts w:ascii="Calibri" w:eastAsia="Times New Roman" w:hAnsi="Calibri" w:cs="Calibri"/>
                <w:color w:val="000000"/>
                <w:sz w:val="22"/>
                <w:szCs w:val="22"/>
                <w:lang w:val="en-NZ"/>
              </w:rPr>
              <w:t>or moderate sclerosis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222B169" w14:textId="2AA3B429"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 xml:space="preserve">Moderate lysis </w:t>
            </w:r>
            <w:r w:rsidR="00F42558" w:rsidRPr="00F802CC">
              <w:rPr>
                <w:rFonts w:ascii="Calibri" w:eastAsia="Times New Roman" w:hAnsi="Calibri" w:cs="Calibri"/>
                <w:color w:val="000000"/>
                <w:sz w:val="22"/>
                <w:szCs w:val="22"/>
                <w:lang w:val="en-NZ"/>
              </w:rPr>
              <w:t>and/</w:t>
            </w:r>
            <w:r w:rsidRPr="00F802CC">
              <w:rPr>
                <w:rFonts w:ascii="Calibri" w:eastAsia="Times New Roman" w:hAnsi="Calibri" w:cs="Calibri"/>
                <w:color w:val="000000"/>
                <w:sz w:val="22"/>
                <w:szCs w:val="22"/>
                <w:lang w:val="en-NZ"/>
              </w:rPr>
              <w:t>or severe sclerosis</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467D1419" w14:textId="77777777" w:rsidR="004171E5" w:rsidRPr="00F802CC" w:rsidRDefault="00F45D92" w:rsidP="0009438C">
            <w:pPr>
              <w:rPr>
                <w:rFonts w:ascii="Calibri" w:eastAsia="Times New Roman" w:hAnsi="Calibri" w:cs="Calibri"/>
                <w:color w:val="000000"/>
                <w:sz w:val="22"/>
                <w:szCs w:val="22"/>
              </w:rPr>
            </w:pPr>
            <w:r w:rsidRPr="00F802CC">
              <w:rPr>
                <w:rFonts w:ascii="Calibri" w:eastAsia="Times New Roman" w:hAnsi="Calibri" w:cs="Calibri"/>
                <w:color w:val="000000"/>
                <w:sz w:val="22"/>
                <w:szCs w:val="22"/>
              </w:rPr>
              <w:t>Severe lysis</w:t>
            </w:r>
          </w:p>
          <w:p w14:paraId="47FCD785" w14:textId="6281E58C" w:rsidR="00F42558"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and any degree of sclerosis</w:t>
            </w:r>
          </w:p>
        </w:tc>
      </w:tr>
      <w:tr w:rsidR="00464EAF" w:rsidRPr="00F802CC" w14:paraId="4CA8870C" w14:textId="77777777" w:rsidTr="00E858E8">
        <w:trPr>
          <w:trHeight w:val="1600"/>
        </w:trPr>
        <w:tc>
          <w:tcPr>
            <w:tcW w:w="2500" w:type="dxa"/>
            <w:tcBorders>
              <w:top w:val="nil"/>
              <w:left w:val="nil"/>
              <w:bottom w:val="nil"/>
              <w:right w:val="nil"/>
            </w:tcBorders>
            <w:shd w:val="clear" w:color="auto" w:fill="auto"/>
            <w:vAlign w:val="center"/>
            <w:hideMark/>
          </w:tcPr>
          <w:p w14:paraId="6CE58776" w14:textId="26C93A3C" w:rsidR="004171E5" w:rsidRPr="00F802CC" w:rsidRDefault="00F45D92" w:rsidP="0009438C">
            <w:pPr>
              <w:rPr>
                <w:rFonts w:ascii="Calibri" w:eastAsia="Times New Roman" w:hAnsi="Calibri" w:cs="Calibri"/>
                <w:b/>
                <w:bCs/>
                <w:color w:val="000000"/>
                <w:sz w:val="22"/>
                <w:szCs w:val="22"/>
                <w:lang w:val="en-NZ"/>
              </w:rPr>
            </w:pPr>
            <w:r w:rsidRPr="00F802CC">
              <w:rPr>
                <w:rFonts w:ascii="Calibri" w:eastAsia="Times New Roman" w:hAnsi="Calibri" w:cs="Calibri"/>
                <w:b/>
                <w:bCs/>
                <w:color w:val="000000"/>
                <w:sz w:val="22"/>
                <w:szCs w:val="22"/>
                <w:lang w:val="en-NZ"/>
              </w:rPr>
              <w:t>Enthesophytes</w:t>
            </w:r>
            <w:r w:rsidR="00932548" w:rsidRPr="00F802CC">
              <w:rPr>
                <w:rFonts w:ascii="Calibri" w:eastAsia="Times New Roman" w:hAnsi="Calibri" w:cs="Calibri"/>
                <w:b/>
                <w:bCs/>
                <w:color w:val="000000"/>
                <w:sz w:val="22"/>
                <w:szCs w:val="22"/>
                <w:lang w:val="en-NZ"/>
              </w:rPr>
              <w:t xml:space="preserve"> on dorsal aspect of radiocarpal or intermediate carpal bones</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14:paraId="3C8A9B80" w14:textId="6CEE080A"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None</w:t>
            </w:r>
          </w:p>
        </w:tc>
        <w:tc>
          <w:tcPr>
            <w:tcW w:w="1540" w:type="dxa"/>
            <w:tcBorders>
              <w:top w:val="nil"/>
              <w:left w:val="nil"/>
              <w:bottom w:val="single" w:sz="4" w:space="0" w:color="auto"/>
              <w:right w:val="single" w:sz="4" w:space="0" w:color="auto"/>
            </w:tcBorders>
            <w:shd w:val="clear" w:color="auto" w:fill="auto"/>
            <w:vAlign w:val="center"/>
            <w:hideMark/>
          </w:tcPr>
          <w:p w14:paraId="2C7C4B0D" w14:textId="7A6A859D"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Mild</w:t>
            </w:r>
            <w:r w:rsidR="00DB7F96" w:rsidRPr="00F802CC">
              <w:rPr>
                <w:rFonts w:ascii="Calibri" w:eastAsia="Times New Roman" w:hAnsi="Calibri" w:cs="Calibri"/>
                <w:color w:val="000000"/>
                <w:sz w:val="22"/>
                <w:szCs w:val="22"/>
                <w:lang w:val="en-NZ"/>
              </w:rPr>
              <w:t xml:space="preserve"> - just noticeable</w:t>
            </w:r>
          </w:p>
        </w:tc>
        <w:tc>
          <w:tcPr>
            <w:tcW w:w="1540" w:type="dxa"/>
            <w:tcBorders>
              <w:top w:val="nil"/>
              <w:left w:val="nil"/>
              <w:bottom w:val="single" w:sz="4" w:space="0" w:color="auto"/>
              <w:right w:val="single" w:sz="4" w:space="0" w:color="auto"/>
            </w:tcBorders>
            <w:shd w:val="clear" w:color="auto" w:fill="auto"/>
            <w:vAlign w:val="center"/>
            <w:hideMark/>
          </w:tcPr>
          <w:p w14:paraId="37580B7D" w14:textId="580AD8B0"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Moderate</w:t>
            </w:r>
            <w:r w:rsidR="00DB7F96" w:rsidRPr="00F802CC">
              <w:rPr>
                <w:rFonts w:ascii="Calibri" w:eastAsia="Times New Roman" w:hAnsi="Calibri" w:cs="Calibri"/>
                <w:color w:val="000000"/>
                <w:sz w:val="22"/>
                <w:szCs w:val="22"/>
                <w:lang w:val="en-NZ"/>
              </w:rPr>
              <w:t xml:space="preserve"> -</w:t>
            </w:r>
            <w:r w:rsidRPr="00F802CC">
              <w:rPr>
                <w:rFonts w:ascii="Calibri" w:eastAsia="Times New Roman" w:hAnsi="Calibri" w:cs="Calibri"/>
                <w:color w:val="000000"/>
                <w:sz w:val="22"/>
                <w:szCs w:val="22"/>
                <w:lang w:val="en-NZ"/>
              </w:rPr>
              <w:t xml:space="preserve">  </w:t>
            </w:r>
            <w:r w:rsidR="00DB7F96" w:rsidRPr="00F802CC">
              <w:rPr>
                <w:rFonts w:ascii="Calibri" w:eastAsia="Times New Roman" w:hAnsi="Calibri" w:cs="Calibri"/>
                <w:color w:val="000000"/>
                <w:sz w:val="22"/>
                <w:szCs w:val="22"/>
                <w:lang w:val="en-NZ"/>
              </w:rPr>
              <w:t>sharp definition but remains discrete overall</w:t>
            </w:r>
          </w:p>
        </w:tc>
        <w:tc>
          <w:tcPr>
            <w:tcW w:w="1694" w:type="dxa"/>
            <w:tcBorders>
              <w:top w:val="nil"/>
              <w:left w:val="nil"/>
              <w:bottom w:val="single" w:sz="4" w:space="0" w:color="auto"/>
              <w:right w:val="single" w:sz="4" w:space="0" w:color="auto"/>
            </w:tcBorders>
            <w:shd w:val="clear" w:color="auto" w:fill="auto"/>
            <w:vAlign w:val="center"/>
            <w:hideMark/>
          </w:tcPr>
          <w:p w14:paraId="47BD851D" w14:textId="552C6A3F"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Severe</w:t>
            </w:r>
            <w:r w:rsidR="00DB7F96" w:rsidRPr="00F802CC">
              <w:rPr>
                <w:rFonts w:ascii="Calibri" w:eastAsia="Times New Roman" w:hAnsi="Calibri" w:cs="Calibri"/>
                <w:color w:val="000000"/>
                <w:sz w:val="22"/>
                <w:szCs w:val="22"/>
                <w:lang w:val="en-NZ"/>
              </w:rPr>
              <w:t xml:space="preserve"> -  sharp and obvious</w:t>
            </w:r>
          </w:p>
        </w:tc>
      </w:tr>
      <w:tr w:rsidR="00464EAF" w14:paraId="57BDAE7C" w14:textId="77777777" w:rsidTr="00E858E8">
        <w:trPr>
          <w:trHeight w:val="1600"/>
        </w:trPr>
        <w:tc>
          <w:tcPr>
            <w:tcW w:w="2500" w:type="dxa"/>
            <w:tcBorders>
              <w:top w:val="nil"/>
              <w:left w:val="nil"/>
              <w:bottom w:val="nil"/>
              <w:right w:val="nil"/>
            </w:tcBorders>
            <w:shd w:val="clear" w:color="auto" w:fill="auto"/>
            <w:vAlign w:val="center"/>
            <w:hideMark/>
          </w:tcPr>
          <w:p w14:paraId="7851A535" w14:textId="0E9A1AFD" w:rsidR="004171E5" w:rsidRPr="00F802CC" w:rsidRDefault="00F45D92" w:rsidP="0009438C">
            <w:pPr>
              <w:rPr>
                <w:rFonts w:ascii="Calibri" w:eastAsia="Times New Roman" w:hAnsi="Calibri" w:cs="Calibri"/>
                <w:b/>
                <w:bCs/>
                <w:color w:val="000000"/>
                <w:sz w:val="22"/>
                <w:szCs w:val="22"/>
                <w:lang w:val="en-NZ"/>
              </w:rPr>
            </w:pPr>
            <w:r w:rsidRPr="00F802CC">
              <w:rPr>
                <w:rFonts w:ascii="Calibri" w:eastAsia="Times New Roman" w:hAnsi="Calibri" w:cs="Calibri"/>
                <w:b/>
                <w:bCs/>
                <w:color w:val="000000"/>
                <w:sz w:val="22"/>
                <w:szCs w:val="22"/>
                <w:lang w:val="en-NZ"/>
              </w:rPr>
              <w:t>Osteophyte</w:t>
            </w:r>
            <w:r w:rsidR="00F42558" w:rsidRPr="00F802CC">
              <w:rPr>
                <w:rFonts w:ascii="Calibri" w:eastAsia="Times New Roman" w:hAnsi="Calibri" w:cs="Calibri"/>
                <w:b/>
                <w:bCs/>
                <w:color w:val="000000"/>
                <w:sz w:val="22"/>
                <w:szCs w:val="22"/>
                <w:lang w:val="en-NZ"/>
              </w:rPr>
              <w:t>s</w:t>
            </w:r>
            <w:r w:rsidR="00C32E95" w:rsidRPr="00F802CC">
              <w:rPr>
                <w:rFonts w:ascii="Calibri" w:eastAsia="Times New Roman" w:hAnsi="Calibri" w:cs="Calibri"/>
                <w:b/>
                <w:bCs/>
                <w:color w:val="000000"/>
                <w:sz w:val="22"/>
                <w:szCs w:val="22"/>
                <w:lang w:val="en-NZ"/>
              </w:rPr>
              <w:t xml:space="preserve"> (re</w:t>
            </w:r>
            <w:r w:rsidR="00932548" w:rsidRPr="00F802CC">
              <w:rPr>
                <w:rFonts w:ascii="Calibri" w:eastAsia="Times New Roman" w:hAnsi="Calibri" w:cs="Calibri"/>
                <w:b/>
                <w:bCs/>
                <w:color w:val="000000"/>
                <w:sz w:val="22"/>
                <w:szCs w:val="22"/>
                <w:lang w:val="en-NZ"/>
              </w:rPr>
              <w:t>modelling</w:t>
            </w:r>
            <w:r w:rsidR="00C32E95" w:rsidRPr="00F802CC">
              <w:rPr>
                <w:rFonts w:ascii="Calibri" w:eastAsia="Times New Roman" w:hAnsi="Calibri" w:cs="Calibri"/>
                <w:b/>
                <w:bCs/>
                <w:color w:val="000000"/>
                <w:sz w:val="22"/>
                <w:szCs w:val="22"/>
                <w:lang w:val="en-NZ"/>
              </w:rPr>
              <w:t>)</w:t>
            </w:r>
            <w:r w:rsidR="00932548" w:rsidRPr="00F802CC">
              <w:rPr>
                <w:rFonts w:ascii="Calibri" w:eastAsia="Times New Roman" w:hAnsi="Calibri" w:cs="Calibri"/>
                <w:b/>
                <w:bCs/>
                <w:color w:val="000000"/>
                <w:sz w:val="22"/>
                <w:szCs w:val="22"/>
                <w:lang w:val="en-NZ"/>
              </w:rPr>
              <w:t xml:space="preserve"> associated with middle carpal joint</w:t>
            </w:r>
          </w:p>
        </w:tc>
        <w:tc>
          <w:tcPr>
            <w:tcW w:w="1540" w:type="dxa"/>
            <w:tcBorders>
              <w:top w:val="nil"/>
              <w:left w:val="single" w:sz="4" w:space="0" w:color="auto"/>
              <w:bottom w:val="single" w:sz="4" w:space="0" w:color="auto"/>
              <w:right w:val="single" w:sz="4" w:space="0" w:color="auto"/>
            </w:tcBorders>
            <w:shd w:val="clear" w:color="auto" w:fill="auto"/>
            <w:noWrap/>
            <w:vAlign w:val="center"/>
            <w:hideMark/>
          </w:tcPr>
          <w:p w14:paraId="6F3BD7E4" w14:textId="77777777"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None</w:t>
            </w:r>
          </w:p>
        </w:tc>
        <w:tc>
          <w:tcPr>
            <w:tcW w:w="1540" w:type="dxa"/>
            <w:tcBorders>
              <w:top w:val="nil"/>
              <w:left w:val="nil"/>
              <w:bottom w:val="single" w:sz="4" w:space="0" w:color="auto"/>
              <w:right w:val="single" w:sz="4" w:space="0" w:color="auto"/>
            </w:tcBorders>
            <w:shd w:val="clear" w:color="auto" w:fill="auto"/>
            <w:vAlign w:val="center"/>
            <w:hideMark/>
          </w:tcPr>
          <w:p w14:paraId="65D6268F" w14:textId="0260E30A" w:rsidR="004171E5"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 xml:space="preserve">Mild </w:t>
            </w:r>
            <w:r w:rsidR="00DB7F96" w:rsidRPr="00F802CC">
              <w:rPr>
                <w:rFonts w:ascii="Calibri" w:eastAsia="Times New Roman" w:hAnsi="Calibri" w:cs="Calibri"/>
                <w:color w:val="000000"/>
                <w:sz w:val="22"/>
                <w:szCs w:val="22"/>
                <w:lang w:val="en-NZ"/>
              </w:rPr>
              <w:t>-</w:t>
            </w:r>
            <w:r w:rsidR="00932548" w:rsidRPr="00F802CC">
              <w:rPr>
                <w:rFonts w:ascii="Calibri" w:eastAsia="Times New Roman" w:hAnsi="Calibri" w:cs="Calibri"/>
                <w:color w:val="000000"/>
                <w:sz w:val="22"/>
                <w:szCs w:val="22"/>
                <w:lang w:val="en-NZ"/>
              </w:rPr>
              <w:t xml:space="preserve"> just noticeable</w:t>
            </w:r>
          </w:p>
        </w:tc>
        <w:tc>
          <w:tcPr>
            <w:tcW w:w="1540" w:type="dxa"/>
            <w:tcBorders>
              <w:top w:val="nil"/>
              <w:left w:val="nil"/>
              <w:bottom w:val="single" w:sz="4" w:space="0" w:color="auto"/>
              <w:right w:val="single" w:sz="4" w:space="0" w:color="auto"/>
            </w:tcBorders>
            <w:shd w:val="clear" w:color="auto" w:fill="auto"/>
            <w:vAlign w:val="center"/>
            <w:hideMark/>
          </w:tcPr>
          <w:p w14:paraId="639228F8" w14:textId="1C63E88C" w:rsidR="007B09C8"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Moderate</w:t>
            </w:r>
            <w:r w:rsidR="00DB7F96" w:rsidRPr="00F802CC">
              <w:rPr>
                <w:rFonts w:ascii="Calibri" w:eastAsia="Times New Roman" w:hAnsi="Calibri" w:cs="Calibri"/>
                <w:color w:val="000000"/>
                <w:sz w:val="22"/>
                <w:szCs w:val="22"/>
                <w:lang w:val="en-NZ"/>
              </w:rPr>
              <w:t xml:space="preserve"> -sharp definition but remains discrete overall</w:t>
            </w:r>
          </w:p>
        </w:tc>
        <w:tc>
          <w:tcPr>
            <w:tcW w:w="1694" w:type="dxa"/>
            <w:tcBorders>
              <w:top w:val="nil"/>
              <w:left w:val="nil"/>
              <w:bottom w:val="single" w:sz="4" w:space="0" w:color="auto"/>
              <w:right w:val="single" w:sz="4" w:space="0" w:color="auto"/>
            </w:tcBorders>
            <w:shd w:val="clear" w:color="auto" w:fill="auto"/>
            <w:vAlign w:val="center"/>
            <w:hideMark/>
          </w:tcPr>
          <w:p w14:paraId="793A96F2" w14:textId="56C885E7" w:rsidR="007B09C8" w:rsidRPr="00F802CC" w:rsidRDefault="00F45D92" w:rsidP="0009438C">
            <w:pPr>
              <w:rPr>
                <w:rFonts w:ascii="Calibri" w:eastAsia="Times New Roman" w:hAnsi="Calibri" w:cs="Calibri"/>
                <w:color w:val="000000"/>
                <w:sz w:val="22"/>
                <w:szCs w:val="22"/>
                <w:lang w:val="en-NZ"/>
              </w:rPr>
            </w:pPr>
            <w:r w:rsidRPr="00F802CC">
              <w:rPr>
                <w:rFonts w:ascii="Calibri" w:eastAsia="Times New Roman" w:hAnsi="Calibri" w:cs="Calibri"/>
                <w:color w:val="000000"/>
                <w:sz w:val="22"/>
                <w:szCs w:val="22"/>
                <w:lang w:val="en-NZ"/>
              </w:rPr>
              <w:t>Severe</w:t>
            </w:r>
            <w:r w:rsidR="00DB7F96" w:rsidRPr="00F802CC">
              <w:rPr>
                <w:rFonts w:ascii="Calibri" w:eastAsia="Times New Roman" w:hAnsi="Calibri" w:cs="Calibri"/>
                <w:color w:val="000000"/>
                <w:sz w:val="22"/>
                <w:szCs w:val="22"/>
                <w:lang w:val="en-NZ"/>
              </w:rPr>
              <w:t xml:space="preserve"> -  sharp and obvious</w:t>
            </w:r>
            <w:r w:rsidRPr="00F802CC">
              <w:rPr>
                <w:rFonts w:ascii="Calibri" w:eastAsia="Times New Roman" w:hAnsi="Calibri" w:cs="Calibri"/>
                <w:color w:val="000000"/>
                <w:sz w:val="22"/>
                <w:szCs w:val="22"/>
                <w:lang w:val="en-NZ"/>
              </w:rPr>
              <w:t xml:space="preserve"> </w:t>
            </w:r>
          </w:p>
        </w:tc>
      </w:tr>
    </w:tbl>
    <w:p w14:paraId="22DBAC88" w14:textId="42221DA4" w:rsidR="004171E5" w:rsidRDefault="00F45D92" w:rsidP="003232A4">
      <w:pPr>
        <w:spacing w:line="480" w:lineRule="auto"/>
        <w:rPr>
          <w:b/>
          <w:sz w:val="22"/>
          <w:szCs w:val="22"/>
          <w:u w:val="single"/>
        </w:rPr>
      </w:pPr>
      <w:r>
        <w:rPr>
          <w:b/>
          <w:sz w:val="22"/>
          <w:szCs w:val="22"/>
          <w:u w:val="single"/>
        </w:rPr>
        <w:br w:type="page"/>
      </w:r>
    </w:p>
    <w:p w14:paraId="1DA72EE7" w14:textId="77777777" w:rsidR="004171E5" w:rsidRPr="00895315" w:rsidRDefault="00F45D92" w:rsidP="003232A4">
      <w:pPr>
        <w:spacing w:line="480" w:lineRule="auto"/>
        <w:rPr>
          <w:sz w:val="22"/>
          <w:szCs w:val="22"/>
        </w:rPr>
      </w:pPr>
      <w:r w:rsidRPr="003840EA">
        <w:rPr>
          <w:b/>
          <w:sz w:val="22"/>
          <w:szCs w:val="22"/>
          <w:u w:val="single"/>
        </w:rPr>
        <w:lastRenderedPageBreak/>
        <w:t xml:space="preserve">Table </w:t>
      </w:r>
      <w:r>
        <w:rPr>
          <w:b/>
          <w:sz w:val="22"/>
          <w:szCs w:val="22"/>
          <w:u w:val="single"/>
        </w:rPr>
        <w:t>2</w:t>
      </w:r>
      <w:r>
        <w:rPr>
          <w:sz w:val="22"/>
          <w:szCs w:val="22"/>
        </w:rPr>
        <w:t>: P</w:t>
      </w:r>
      <w:r w:rsidRPr="00895315">
        <w:rPr>
          <w:sz w:val="22"/>
          <w:szCs w:val="22"/>
        </w:rPr>
        <w:t>re-admission variables per treatment group</w:t>
      </w:r>
      <w:r>
        <w:rPr>
          <w:sz w:val="22"/>
          <w:szCs w:val="22"/>
        </w:rPr>
        <w:t xml:space="preserve">. </w:t>
      </w:r>
    </w:p>
    <w:tbl>
      <w:tblPr>
        <w:tblW w:w="9207" w:type="dxa"/>
        <w:tblLayout w:type="fixed"/>
        <w:tblLook w:val="04A0" w:firstRow="1" w:lastRow="0" w:firstColumn="1" w:lastColumn="0" w:noHBand="0" w:noVBand="1"/>
      </w:tblPr>
      <w:tblGrid>
        <w:gridCol w:w="3119"/>
        <w:gridCol w:w="1418"/>
        <w:gridCol w:w="1559"/>
        <w:gridCol w:w="1559"/>
        <w:gridCol w:w="1552"/>
      </w:tblGrid>
      <w:tr w:rsidR="00464EAF" w14:paraId="2F348DF8" w14:textId="79542A34" w:rsidTr="00BB159C">
        <w:trPr>
          <w:trHeight w:val="500"/>
        </w:trPr>
        <w:tc>
          <w:tcPr>
            <w:tcW w:w="3119" w:type="dxa"/>
            <w:tcBorders>
              <w:top w:val="nil"/>
              <w:left w:val="nil"/>
              <w:bottom w:val="nil"/>
              <w:right w:val="nil"/>
            </w:tcBorders>
            <w:shd w:val="clear" w:color="auto" w:fill="auto"/>
            <w:noWrap/>
            <w:vAlign w:val="bottom"/>
            <w:hideMark/>
          </w:tcPr>
          <w:p w14:paraId="31BF1183" w14:textId="77777777" w:rsidR="00CC452C" w:rsidRPr="00F74827" w:rsidRDefault="00CC452C" w:rsidP="0009438C">
            <w:pPr>
              <w:rPr>
                <w:rFonts w:ascii="Times New Roman" w:eastAsia="Times New Roman" w:hAnsi="Times New Roman" w:cs="Times New Roman"/>
                <w:sz w:val="22"/>
                <w:szCs w:val="22"/>
                <w:lang w:val="en-NZ"/>
              </w:rPr>
            </w:pPr>
          </w:p>
        </w:tc>
        <w:tc>
          <w:tcPr>
            <w:tcW w:w="1418" w:type="dxa"/>
            <w:tcBorders>
              <w:top w:val="nil"/>
              <w:left w:val="nil"/>
              <w:bottom w:val="nil"/>
              <w:right w:val="nil"/>
            </w:tcBorders>
            <w:shd w:val="clear" w:color="auto" w:fill="auto"/>
            <w:noWrap/>
            <w:vAlign w:val="bottom"/>
            <w:hideMark/>
          </w:tcPr>
          <w:p w14:paraId="0A0F8DE8" w14:textId="176E4DC4" w:rsidR="00CC452C" w:rsidRPr="00F74827" w:rsidRDefault="00F45D92" w:rsidP="0009438C">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 xml:space="preserve">2.5% </w:t>
            </w:r>
            <w:r w:rsidRPr="00F74827">
              <w:rPr>
                <w:rFonts w:ascii="Calibri" w:eastAsia="Times New Roman" w:hAnsi="Calibri" w:cs="Calibri"/>
                <w:color w:val="000000"/>
                <w:sz w:val="22"/>
                <w:szCs w:val="22"/>
                <w:lang w:val="en-NZ"/>
              </w:rPr>
              <w:t>PAAG</w:t>
            </w:r>
          </w:p>
        </w:tc>
        <w:tc>
          <w:tcPr>
            <w:tcW w:w="1559" w:type="dxa"/>
            <w:tcBorders>
              <w:top w:val="nil"/>
              <w:left w:val="nil"/>
              <w:bottom w:val="nil"/>
              <w:right w:val="nil"/>
            </w:tcBorders>
            <w:shd w:val="clear" w:color="auto" w:fill="auto"/>
            <w:noWrap/>
            <w:vAlign w:val="bottom"/>
            <w:hideMark/>
          </w:tcPr>
          <w:p w14:paraId="11C3C36B" w14:textId="77777777" w:rsidR="00CC452C" w:rsidRPr="00F74827" w:rsidRDefault="00F45D92" w:rsidP="0009438C">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TA</w:t>
            </w:r>
          </w:p>
        </w:tc>
        <w:tc>
          <w:tcPr>
            <w:tcW w:w="1559" w:type="dxa"/>
            <w:tcBorders>
              <w:top w:val="nil"/>
              <w:left w:val="nil"/>
              <w:bottom w:val="nil"/>
              <w:right w:val="nil"/>
            </w:tcBorders>
            <w:shd w:val="clear" w:color="auto" w:fill="auto"/>
            <w:noWrap/>
            <w:vAlign w:val="bottom"/>
            <w:hideMark/>
          </w:tcPr>
          <w:p w14:paraId="1E2C93F3" w14:textId="77777777" w:rsidR="00CC452C" w:rsidRPr="00F74827" w:rsidRDefault="00F45D92" w:rsidP="0009438C">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HA</w:t>
            </w:r>
          </w:p>
        </w:tc>
        <w:tc>
          <w:tcPr>
            <w:tcW w:w="1552" w:type="dxa"/>
            <w:tcBorders>
              <w:top w:val="nil"/>
              <w:left w:val="nil"/>
              <w:bottom w:val="nil"/>
              <w:right w:val="nil"/>
            </w:tcBorders>
          </w:tcPr>
          <w:p w14:paraId="2CE3F6B1" w14:textId="77777777" w:rsidR="00CC452C" w:rsidRPr="00F74827" w:rsidRDefault="00CC452C" w:rsidP="0009438C">
            <w:pPr>
              <w:rPr>
                <w:rFonts w:ascii="Calibri" w:eastAsia="Times New Roman" w:hAnsi="Calibri" w:cs="Calibri"/>
                <w:color w:val="000000"/>
                <w:sz w:val="22"/>
                <w:szCs w:val="22"/>
                <w:lang w:val="en-NZ"/>
              </w:rPr>
            </w:pPr>
          </w:p>
        </w:tc>
      </w:tr>
      <w:tr w:rsidR="00464EAF" w14:paraId="27CB9D0C" w14:textId="407BAA0F" w:rsidTr="00BB159C">
        <w:trPr>
          <w:trHeight w:val="500"/>
        </w:trPr>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0E3741E2"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Number</w:t>
            </w:r>
          </w:p>
        </w:tc>
        <w:tc>
          <w:tcPr>
            <w:tcW w:w="1418" w:type="dxa"/>
            <w:tcBorders>
              <w:top w:val="single" w:sz="4" w:space="0" w:color="auto"/>
              <w:left w:val="nil"/>
              <w:bottom w:val="single" w:sz="4" w:space="0" w:color="auto"/>
              <w:right w:val="single" w:sz="4" w:space="0" w:color="auto"/>
            </w:tcBorders>
            <w:shd w:val="clear" w:color="auto" w:fill="auto"/>
            <w:noWrap/>
            <w:hideMark/>
          </w:tcPr>
          <w:p w14:paraId="78E725F5"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12</w:t>
            </w:r>
          </w:p>
        </w:tc>
        <w:tc>
          <w:tcPr>
            <w:tcW w:w="1559" w:type="dxa"/>
            <w:tcBorders>
              <w:top w:val="single" w:sz="4" w:space="0" w:color="auto"/>
              <w:left w:val="nil"/>
              <w:bottom w:val="single" w:sz="4" w:space="0" w:color="auto"/>
              <w:right w:val="single" w:sz="4" w:space="0" w:color="auto"/>
            </w:tcBorders>
            <w:shd w:val="clear" w:color="auto" w:fill="auto"/>
            <w:noWrap/>
            <w:hideMark/>
          </w:tcPr>
          <w:p w14:paraId="56A8244F"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11</w:t>
            </w:r>
          </w:p>
        </w:tc>
        <w:tc>
          <w:tcPr>
            <w:tcW w:w="1559" w:type="dxa"/>
            <w:tcBorders>
              <w:top w:val="single" w:sz="4" w:space="0" w:color="auto"/>
              <w:left w:val="nil"/>
              <w:bottom w:val="single" w:sz="4" w:space="0" w:color="auto"/>
              <w:right w:val="single" w:sz="4" w:space="0" w:color="auto"/>
            </w:tcBorders>
            <w:shd w:val="clear" w:color="auto" w:fill="auto"/>
            <w:noWrap/>
            <w:hideMark/>
          </w:tcPr>
          <w:p w14:paraId="0B85D1BB"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10</w:t>
            </w:r>
          </w:p>
        </w:tc>
        <w:tc>
          <w:tcPr>
            <w:tcW w:w="1552" w:type="dxa"/>
            <w:tcBorders>
              <w:top w:val="single" w:sz="4" w:space="0" w:color="auto"/>
              <w:left w:val="nil"/>
              <w:bottom w:val="single" w:sz="4" w:space="0" w:color="auto"/>
              <w:right w:val="single" w:sz="4" w:space="0" w:color="auto"/>
            </w:tcBorders>
          </w:tcPr>
          <w:p w14:paraId="62484E18" w14:textId="0F5FF0A3" w:rsidR="00BB159C"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P</w:t>
            </w:r>
            <w:r w:rsidR="00CC452C">
              <w:rPr>
                <w:rFonts w:ascii="Calibri" w:eastAsia="Times New Roman" w:hAnsi="Calibri" w:cs="Calibri"/>
                <w:color w:val="000000"/>
                <w:sz w:val="22"/>
                <w:szCs w:val="22"/>
                <w:lang w:val="en-NZ"/>
              </w:rPr>
              <w:t>-values</w:t>
            </w:r>
            <w:r>
              <w:rPr>
                <w:rFonts w:ascii="Calibri" w:eastAsia="Times New Roman" w:hAnsi="Calibri" w:cs="Calibri"/>
                <w:color w:val="000000"/>
                <w:sz w:val="22"/>
                <w:szCs w:val="22"/>
                <w:lang w:val="en-NZ"/>
              </w:rPr>
              <w:t xml:space="preserve"> </w:t>
            </w:r>
          </w:p>
          <w:p w14:paraId="6337DF68" w14:textId="2434019A"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(at the 95% CI)</w:t>
            </w:r>
          </w:p>
        </w:tc>
      </w:tr>
      <w:tr w:rsidR="00464EAF" w14:paraId="2D8974E8" w14:textId="71829070"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49548BFB" w14:textId="72E67DD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Age range (mean/median)</w:t>
            </w:r>
          </w:p>
        </w:tc>
        <w:tc>
          <w:tcPr>
            <w:tcW w:w="1418" w:type="dxa"/>
            <w:tcBorders>
              <w:top w:val="nil"/>
              <w:left w:val="nil"/>
              <w:bottom w:val="single" w:sz="4" w:space="0" w:color="auto"/>
              <w:right w:val="single" w:sz="4" w:space="0" w:color="auto"/>
            </w:tcBorders>
            <w:shd w:val="clear" w:color="auto" w:fill="auto"/>
            <w:noWrap/>
            <w:hideMark/>
          </w:tcPr>
          <w:p w14:paraId="4B8B05FB"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2-5 (3.08/3)</w:t>
            </w:r>
          </w:p>
        </w:tc>
        <w:tc>
          <w:tcPr>
            <w:tcW w:w="1559" w:type="dxa"/>
            <w:tcBorders>
              <w:top w:val="nil"/>
              <w:left w:val="nil"/>
              <w:bottom w:val="single" w:sz="4" w:space="0" w:color="auto"/>
              <w:right w:val="single" w:sz="4" w:space="0" w:color="auto"/>
            </w:tcBorders>
            <w:shd w:val="clear" w:color="auto" w:fill="auto"/>
            <w:noWrap/>
            <w:hideMark/>
          </w:tcPr>
          <w:p w14:paraId="2F715A4E"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2-4 (3/3)</w:t>
            </w:r>
          </w:p>
        </w:tc>
        <w:tc>
          <w:tcPr>
            <w:tcW w:w="1559" w:type="dxa"/>
            <w:tcBorders>
              <w:top w:val="nil"/>
              <w:left w:val="nil"/>
              <w:bottom w:val="single" w:sz="4" w:space="0" w:color="auto"/>
              <w:right w:val="single" w:sz="4" w:space="0" w:color="auto"/>
            </w:tcBorders>
            <w:shd w:val="clear" w:color="auto" w:fill="auto"/>
            <w:noWrap/>
            <w:hideMark/>
          </w:tcPr>
          <w:p w14:paraId="2AA2404C"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2-6 (2.8/3)</w:t>
            </w:r>
          </w:p>
        </w:tc>
        <w:tc>
          <w:tcPr>
            <w:tcW w:w="1552" w:type="dxa"/>
            <w:tcBorders>
              <w:top w:val="nil"/>
              <w:left w:val="nil"/>
              <w:bottom w:val="single" w:sz="4" w:space="0" w:color="auto"/>
              <w:right w:val="single" w:sz="4" w:space="0" w:color="auto"/>
            </w:tcBorders>
          </w:tcPr>
          <w:p w14:paraId="38EC1BF6" w14:textId="745140A8"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P&gt;0.05</w:t>
            </w:r>
          </w:p>
        </w:tc>
      </w:tr>
      <w:tr w:rsidR="00464EAF" w14:paraId="3765C136" w14:textId="54F98F32"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0D56C532"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Sprinter (%)</w:t>
            </w:r>
          </w:p>
        </w:tc>
        <w:tc>
          <w:tcPr>
            <w:tcW w:w="1418" w:type="dxa"/>
            <w:tcBorders>
              <w:top w:val="nil"/>
              <w:left w:val="nil"/>
              <w:bottom w:val="single" w:sz="4" w:space="0" w:color="auto"/>
              <w:right w:val="single" w:sz="4" w:space="0" w:color="auto"/>
            </w:tcBorders>
            <w:shd w:val="clear" w:color="auto" w:fill="auto"/>
            <w:noWrap/>
            <w:hideMark/>
          </w:tcPr>
          <w:p w14:paraId="54D7CBA1"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5 (42)</w:t>
            </w:r>
          </w:p>
        </w:tc>
        <w:tc>
          <w:tcPr>
            <w:tcW w:w="1559" w:type="dxa"/>
            <w:tcBorders>
              <w:top w:val="nil"/>
              <w:left w:val="nil"/>
              <w:bottom w:val="single" w:sz="4" w:space="0" w:color="auto"/>
              <w:right w:val="single" w:sz="4" w:space="0" w:color="auto"/>
            </w:tcBorders>
            <w:shd w:val="clear" w:color="auto" w:fill="auto"/>
            <w:noWrap/>
            <w:hideMark/>
          </w:tcPr>
          <w:p w14:paraId="75ABCFBA"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5 (45)</w:t>
            </w:r>
          </w:p>
        </w:tc>
        <w:tc>
          <w:tcPr>
            <w:tcW w:w="1559" w:type="dxa"/>
            <w:tcBorders>
              <w:top w:val="nil"/>
              <w:left w:val="nil"/>
              <w:bottom w:val="single" w:sz="4" w:space="0" w:color="auto"/>
              <w:right w:val="single" w:sz="4" w:space="0" w:color="auto"/>
            </w:tcBorders>
            <w:shd w:val="clear" w:color="auto" w:fill="auto"/>
            <w:noWrap/>
            <w:hideMark/>
          </w:tcPr>
          <w:p w14:paraId="5B4D1685"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4 (40)</w:t>
            </w:r>
          </w:p>
        </w:tc>
        <w:tc>
          <w:tcPr>
            <w:tcW w:w="1552" w:type="dxa"/>
            <w:vMerge w:val="restart"/>
            <w:tcBorders>
              <w:top w:val="nil"/>
              <w:left w:val="nil"/>
              <w:right w:val="single" w:sz="4" w:space="0" w:color="auto"/>
            </w:tcBorders>
          </w:tcPr>
          <w:p w14:paraId="04F76169" w14:textId="2EDC1484"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P&gt;0.05</w:t>
            </w:r>
          </w:p>
        </w:tc>
      </w:tr>
      <w:tr w:rsidR="00464EAF" w14:paraId="10EC8837" w14:textId="2160B05E"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55B206BD"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Miler (%)</w:t>
            </w:r>
          </w:p>
        </w:tc>
        <w:tc>
          <w:tcPr>
            <w:tcW w:w="1418" w:type="dxa"/>
            <w:tcBorders>
              <w:top w:val="nil"/>
              <w:left w:val="nil"/>
              <w:bottom w:val="single" w:sz="4" w:space="0" w:color="auto"/>
              <w:right w:val="single" w:sz="4" w:space="0" w:color="auto"/>
            </w:tcBorders>
            <w:shd w:val="clear" w:color="auto" w:fill="auto"/>
            <w:noWrap/>
            <w:hideMark/>
          </w:tcPr>
          <w:p w14:paraId="29B95D7F"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5 (42)</w:t>
            </w:r>
          </w:p>
        </w:tc>
        <w:tc>
          <w:tcPr>
            <w:tcW w:w="1559" w:type="dxa"/>
            <w:tcBorders>
              <w:top w:val="nil"/>
              <w:left w:val="nil"/>
              <w:bottom w:val="single" w:sz="4" w:space="0" w:color="auto"/>
              <w:right w:val="single" w:sz="4" w:space="0" w:color="auto"/>
            </w:tcBorders>
            <w:shd w:val="clear" w:color="auto" w:fill="auto"/>
            <w:noWrap/>
            <w:hideMark/>
          </w:tcPr>
          <w:p w14:paraId="4744AD00"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4 (36)</w:t>
            </w:r>
          </w:p>
        </w:tc>
        <w:tc>
          <w:tcPr>
            <w:tcW w:w="1559" w:type="dxa"/>
            <w:tcBorders>
              <w:top w:val="nil"/>
              <w:left w:val="nil"/>
              <w:bottom w:val="single" w:sz="4" w:space="0" w:color="auto"/>
              <w:right w:val="single" w:sz="4" w:space="0" w:color="auto"/>
            </w:tcBorders>
            <w:shd w:val="clear" w:color="auto" w:fill="auto"/>
            <w:noWrap/>
            <w:hideMark/>
          </w:tcPr>
          <w:p w14:paraId="30ADA700"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4 (40)</w:t>
            </w:r>
          </w:p>
        </w:tc>
        <w:tc>
          <w:tcPr>
            <w:tcW w:w="1552" w:type="dxa"/>
            <w:vMerge/>
            <w:tcBorders>
              <w:left w:val="nil"/>
              <w:right w:val="single" w:sz="4" w:space="0" w:color="auto"/>
            </w:tcBorders>
          </w:tcPr>
          <w:p w14:paraId="155ADAF8" w14:textId="77777777" w:rsidR="00CC452C" w:rsidRPr="00F74827" w:rsidRDefault="00CC452C" w:rsidP="003232A4">
            <w:pPr>
              <w:rPr>
                <w:rFonts w:ascii="Calibri" w:eastAsia="Times New Roman" w:hAnsi="Calibri" w:cs="Calibri"/>
                <w:color w:val="000000"/>
                <w:sz w:val="22"/>
                <w:szCs w:val="22"/>
                <w:lang w:val="en-NZ"/>
              </w:rPr>
            </w:pPr>
          </w:p>
        </w:tc>
      </w:tr>
      <w:tr w:rsidR="00464EAF" w14:paraId="54FF76B5" w14:textId="598F273F"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5D3257F5"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Stayer (%)</w:t>
            </w:r>
          </w:p>
        </w:tc>
        <w:tc>
          <w:tcPr>
            <w:tcW w:w="1418" w:type="dxa"/>
            <w:tcBorders>
              <w:top w:val="nil"/>
              <w:left w:val="nil"/>
              <w:bottom w:val="single" w:sz="4" w:space="0" w:color="auto"/>
              <w:right w:val="single" w:sz="4" w:space="0" w:color="auto"/>
            </w:tcBorders>
            <w:shd w:val="clear" w:color="auto" w:fill="auto"/>
            <w:noWrap/>
            <w:hideMark/>
          </w:tcPr>
          <w:p w14:paraId="6F6531C2"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 (16)</w:t>
            </w:r>
          </w:p>
        </w:tc>
        <w:tc>
          <w:tcPr>
            <w:tcW w:w="1559" w:type="dxa"/>
            <w:tcBorders>
              <w:top w:val="nil"/>
              <w:left w:val="nil"/>
              <w:bottom w:val="single" w:sz="4" w:space="0" w:color="auto"/>
              <w:right w:val="single" w:sz="4" w:space="0" w:color="auto"/>
            </w:tcBorders>
            <w:shd w:val="clear" w:color="auto" w:fill="auto"/>
            <w:noWrap/>
            <w:hideMark/>
          </w:tcPr>
          <w:p w14:paraId="1832E4ED"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 (19)</w:t>
            </w:r>
          </w:p>
        </w:tc>
        <w:tc>
          <w:tcPr>
            <w:tcW w:w="1559" w:type="dxa"/>
            <w:tcBorders>
              <w:top w:val="nil"/>
              <w:left w:val="nil"/>
              <w:bottom w:val="single" w:sz="4" w:space="0" w:color="auto"/>
              <w:right w:val="single" w:sz="4" w:space="0" w:color="auto"/>
            </w:tcBorders>
            <w:shd w:val="clear" w:color="auto" w:fill="auto"/>
            <w:noWrap/>
            <w:hideMark/>
          </w:tcPr>
          <w:p w14:paraId="73851EE7"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2 (20)</w:t>
            </w:r>
          </w:p>
        </w:tc>
        <w:tc>
          <w:tcPr>
            <w:tcW w:w="1552" w:type="dxa"/>
            <w:vMerge/>
            <w:tcBorders>
              <w:left w:val="nil"/>
              <w:bottom w:val="single" w:sz="4" w:space="0" w:color="auto"/>
              <w:right w:val="single" w:sz="4" w:space="0" w:color="auto"/>
            </w:tcBorders>
          </w:tcPr>
          <w:p w14:paraId="63E17CD8" w14:textId="77777777" w:rsidR="00CC452C" w:rsidRPr="00F74827" w:rsidRDefault="00CC452C" w:rsidP="003232A4">
            <w:pPr>
              <w:rPr>
                <w:rFonts w:ascii="Calibri" w:eastAsia="Times New Roman" w:hAnsi="Calibri" w:cs="Calibri"/>
                <w:color w:val="000000"/>
                <w:sz w:val="22"/>
                <w:szCs w:val="22"/>
                <w:lang w:val="en-NZ"/>
              </w:rPr>
            </w:pPr>
          </w:p>
        </w:tc>
      </w:tr>
      <w:tr w:rsidR="00464EAF" w14:paraId="3F814174" w14:textId="5C7F45F4"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6779E215" w14:textId="0F7696AC"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Lameness range (mean/median)</w:t>
            </w:r>
          </w:p>
        </w:tc>
        <w:tc>
          <w:tcPr>
            <w:tcW w:w="1418" w:type="dxa"/>
            <w:tcBorders>
              <w:top w:val="nil"/>
              <w:left w:val="nil"/>
              <w:bottom w:val="single" w:sz="4" w:space="0" w:color="auto"/>
              <w:right w:val="single" w:sz="4" w:space="0" w:color="auto"/>
            </w:tcBorders>
            <w:shd w:val="clear" w:color="auto" w:fill="auto"/>
            <w:noWrap/>
            <w:hideMark/>
          </w:tcPr>
          <w:p w14:paraId="49E321C9"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1-3 (1.67/1)</w:t>
            </w:r>
          </w:p>
        </w:tc>
        <w:tc>
          <w:tcPr>
            <w:tcW w:w="1559" w:type="dxa"/>
            <w:tcBorders>
              <w:top w:val="nil"/>
              <w:left w:val="nil"/>
              <w:bottom w:val="single" w:sz="4" w:space="0" w:color="auto"/>
              <w:right w:val="single" w:sz="4" w:space="0" w:color="auto"/>
            </w:tcBorders>
            <w:shd w:val="clear" w:color="auto" w:fill="auto"/>
            <w:noWrap/>
            <w:hideMark/>
          </w:tcPr>
          <w:p w14:paraId="2993F3EA" w14:textId="77777777" w:rsidR="00CC452C" w:rsidRPr="00F74827" w:rsidRDefault="00F45D92" w:rsidP="003232A4">
            <w:pPr>
              <w:rPr>
                <w:rFonts w:ascii="Calibri" w:eastAsia="Times New Roman" w:hAnsi="Calibri" w:cs="Calibri"/>
                <w:color w:val="000000"/>
                <w:sz w:val="22"/>
                <w:szCs w:val="22"/>
                <w:lang w:val="en-NZ"/>
              </w:rPr>
            </w:pPr>
            <w:r w:rsidRPr="00CC452C">
              <w:rPr>
                <w:rFonts w:ascii="Calibri" w:eastAsia="Times New Roman" w:hAnsi="Calibri" w:cs="Calibri"/>
                <w:color w:val="000000"/>
                <w:sz w:val="22"/>
                <w:szCs w:val="22"/>
                <w:lang w:val="en-NZ"/>
              </w:rPr>
              <w:t>1-4 (2.18/2)</w:t>
            </w:r>
          </w:p>
        </w:tc>
        <w:tc>
          <w:tcPr>
            <w:tcW w:w="1559" w:type="dxa"/>
            <w:tcBorders>
              <w:top w:val="nil"/>
              <w:left w:val="nil"/>
              <w:bottom w:val="single" w:sz="4" w:space="0" w:color="auto"/>
              <w:right w:val="single" w:sz="4" w:space="0" w:color="auto"/>
            </w:tcBorders>
            <w:shd w:val="clear" w:color="auto" w:fill="auto"/>
            <w:noWrap/>
            <w:hideMark/>
          </w:tcPr>
          <w:p w14:paraId="2C010DF5"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1-3 (1.8/1.5)</w:t>
            </w:r>
          </w:p>
        </w:tc>
        <w:tc>
          <w:tcPr>
            <w:tcW w:w="1552" w:type="dxa"/>
            <w:tcBorders>
              <w:top w:val="nil"/>
              <w:left w:val="nil"/>
              <w:bottom w:val="single" w:sz="4" w:space="0" w:color="auto"/>
              <w:right w:val="single" w:sz="4" w:space="0" w:color="auto"/>
            </w:tcBorders>
          </w:tcPr>
          <w:p w14:paraId="19AB9987" w14:textId="4C0BDA1A"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 xml:space="preserve">P&gt;0.05 </w:t>
            </w:r>
          </w:p>
        </w:tc>
      </w:tr>
      <w:tr w:rsidR="00464EAF" w14:paraId="765AAC73" w14:textId="672D9B7E"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5CB8C3A0" w14:textId="537EF7CF"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Effusion range (mean/median)</w:t>
            </w:r>
          </w:p>
        </w:tc>
        <w:tc>
          <w:tcPr>
            <w:tcW w:w="1418" w:type="dxa"/>
            <w:tcBorders>
              <w:top w:val="nil"/>
              <w:left w:val="nil"/>
              <w:bottom w:val="single" w:sz="4" w:space="0" w:color="auto"/>
              <w:right w:val="single" w:sz="4" w:space="0" w:color="auto"/>
            </w:tcBorders>
            <w:shd w:val="clear" w:color="auto" w:fill="auto"/>
            <w:noWrap/>
            <w:hideMark/>
          </w:tcPr>
          <w:p w14:paraId="3735ABB7"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(0.5/0)</w:t>
            </w:r>
          </w:p>
        </w:tc>
        <w:tc>
          <w:tcPr>
            <w:tcW w:w="1559" w:type="dxa"/>
            <w:tcBorders>
              <w:top w:val="nil"/>
              <w:left w:val="nil"/>
              <w:bottom w:val="single" w:sz="4" w:space="0" w:color="auto"/>
              <w:right w:val="single" w:sz="4" w:space="0" w:color="auto"/>
            </w:tcBorders>
            <w:shd w:val="clear" w:color="auto" w:fill="auto"/>
            <w:noWrap/>
            <w:hideMark/>
          </w:tcPr>
          <w:p w14:paraId="2109561C"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0-1 (0.1/0)</w:t>
            </w:r>
          </w:p>
        </w:tc>
        <w:tc>
          <w:tcPr>
            <w:tcW w:w="1559" w:type="dxa"/>
            <w:tcBorders>
              <w:top w:val="nil"/>
              <w:left w:val="nil"/>
              <w:bottom w:val="single" w:sz="4" w:space="0" w:color="auto"/>
              <w:right w:val="single" w:sz="4" w:space="0" w:color="auto"/>
            </w:tcBorders>
            <w:shd w:val="clear" w:color="auto" w:fill="auto"/>
            <w:noWrap/>
            <w:hideMark/>
          </w:tcPr>
          <w:p w14:paraId="7E3946B6"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(0.2/0)</w:t>
            </w:r>
          </w:p>
        </w:tc>
        <w:tc>
          <w:tcPr>
            <w:tcW w:w="1552" w:type="dxa"/>
            <w:tcBorders>
              <w:top w:val="nil"/>
              <w:left w:val="nil"/>
              <w:bottom w:val="single" w:sz="4" w:space="0" w:color="auto"/>
              <w:right w:val="single" w:sz="4" w:space="0" w:color="auto"/>
            </w:tcBorders>
          </w:tcPr>
          <w:p w14:paraId="5BB32D9A" w14:textId="7DBB0297"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 xml:space="preserve">P&gt;0.05 </w:t>
            </w:r>
          </w:p>
        </w:tc>
      </w:tr>
      <w:tr w:rsidR="00464EAF" w14:paraId="4C19AAC2" w14:textId="03E95E51" w:rsidTr="00BB159C">
        <w:trPr>
          <w:trHeight w:val="500"/>
        </w:trPr>
        <w:tc>
          <w:tcPr>
            <w:tcW w:w="3119" w:type="dxa"/>
            <w:tcBorders>
              <w:top w:val="nil"/>
              <w:left w:val="single" w:sz="4" w:space="0" w:color="auto"/>
              <w:bottom w:val="single" w:sz="4" w:space="0" w:color="auto"/>
              <w:right w:val="single" w:sz="4" w:space="0" w:color="auto"/>
            </w:tcBorders>
            <w:shd w:val="clear" w:color="auto" w:fill="auto"/>
            <w:noWrap/>
            <w:hideMark/>
          </w:tcPr>
          <w:p w14:paraId="0F96AD31" w14:textId="72B1ECCE"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 xml:space="preserve">Reaction to </w:t>
            </w:r>
            <w:r w:rsidR="00CF285A">
              <w:rPr>
                <w:rFonts w:ascii="Calibri" w:eastAsia="Times New Roman" w:hAnsi="Calibri" w:cs="Calibri"/>
                <w:color w:val="000000"/>
                <w:sz w:val="22"/>
                <w:szCs w:val="22"/>
                <w:lang w:val="en-NZ"/>
              </w:rPr>
              <w:t xml:space="preserve">carpal </w:t>
            </w:r>
            <w:r w:rsidRPr="00F74827">
              <w:rPr>
                <w:rFonts w:ascii="Calibri" w:eastAsia="Times New Roman" w:hAnsi="Calibri" w:cs="Calibri"/>
                <w:color w:val="000000"/>
                <w:sz w:val="22"/>
                <w:szCs w:val="22"/>
                <w:lang w:val="en-NZ"/>
              </w:rPr>
              <w:t>flexion range (mean/median)</w:t>
            </w:r>
          </w:p>
        </w:tc>
        <w:tc>
          <w:tcPr>
            <w:tcW w:w="1418" w:type="dxa"/>
            <w:tcBorders>
              <w:top w:val="nil"/>
              <w:left w:val="nil"/>
              <w:bottom w:val="single" w:sz="4" w:space="0" w:color="auto"/>
              <w:right w:val="single" w:sz="4" w:space="0" w:color="auto"/>
            </w:tcBorders>
            <w:shd w:val="clear" w:color="auto" w:fill="auto"/>
            <w:noWrap/>
            <w:hideMark/>
          </w:tcPr>
          <w:p w14:paraId="227EFC8E"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(0.67/0.5)</w:t>
            </w:r>
          </w:p>
        </w:tc>
        <w:tc>
          <w:tcPr>
            <w:tcW w:w="1559" w:type="dxa"/>
            <w:tcBorders>
              <w:top w:val="nil"/>
              <w:left w:val="nil"/>
              <w:bottom w:val="single" w:sz="4" w:space="0" w:color="auto"/>
              <w:right w:val="single" w:sz="4" w:space="0" w:color="auto"/>
            </w:tcBorders>
            <w:shd w:val="clear" w:color="auto" w:fill="auto"/>
            <w:noWrap/>
            <w:hideMark/>
          </w:tcPr>
          <w:p w14:paraId="7CAB9F8F" w14:textId="245E48CA"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(0.54/0)</w:t>
            </w:r>
          </w:p>
        </w:tc>
        <w:tc>
          <w:tcPr>
            <w:tcW w:w="1559" w:type="dxa"/>
            <w:tcBorders>
              <w:top w:val="nil"/>
              <w:left w:val="nil"/>
              <w:bottom w:val="single" w:sz="4" w:space="0" w:color="auto"/>
              <w:right w:val="single" w:sz="4" w:space="0" w:color="auto"/>
            </w:tcBorders>
            <w:shd w:val="clear" w:color="auto" w:fill="auto"/>
            <w:noWrap/>
            <w:hideMark/>
          </w:tcPr>
          <w:p w14:paraId="5F153831"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0-2(0.6/0)</w:t>
            </w:r>
          </w:p>
        </w:tc>
        <w:tc>
          <w:tcPr>
            <w:tcW w:w="1552" w:type="dxa"/>
            <w:tcBorders>
              <w:top w:val="nil"/>
              <w:left w:val="nil"/>
              <w:bottom w:val="single" w:sz="4" w:space="0" w:color="auto"/>
              <w:right w:val="single" w:sz="4" w:space="0" w:color="auto"/>
            </w:tcBorders>
          </w:tcPr>
          <w:p w14:paraId="2AD3F616" w14:textId="05BF7103"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 xml:space="preserve">P&gt;0.05 </w:t>
            </w:r>
          </w:p>
        </w:tc>
      </w:tr>
      <w:tr w:rsidR="00464EAF" w14:paraId="441C567B" w14:textId="2094675C" w:rsidTr="00BB159C">
        <w:trPr>
          <w:trHeight w:val="500"/>
        </w:trPr>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0FB8B117" w14:textId="3744370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 xml:space="preserve">Radiological </w:t>
            </w:r>
            <w:r>
              <w:rPr>
                <w:rFonts w:ascii="Calibri" w:eastAsia="Times New Roman" w:hAnsi="Calibri" w:cs="Calibri"/>
                <w:color w:val="000000"/>
                <w:sz w:val="22"/>
                <w:szCs w:val="22"/>
                <w:lang w:val="en-NZ"/>
              </w:rPr>
              <w:t>grade</w:t>
            </w:r>
            <w:r w:rsidRPr="00F74827">
              <w:rPr>
                <w:rFonts w:ascii="Calibri" w:eastAsia="Times New Roman" w:hAnsi="Calibri" w:cs="Calibri"/>
                <w:color w:val="000000"/>
                <w:sz w:val="22"/>
                <w:szCs w:val="22"/>
                <w:lang w:val="en-NZ"/>
              </w:rPr>
              <w:t xml:space="preserve"> range (mean/median)</w:t>
            </w:r>
          </w:p>
        </w:tc>
        <w:tc>
          <w:tcPr>
            <w:tcW w:w="1418" w:type="dxa"/>
            <w:tcBorders>
              <w:top w:val="single" w:sz="4" w:space="0" w:color="auto"/>
              <w:left w:val="nil"/>
              <w:bottom w:val="single" w:sz="4" w:space="0" w:color="auto"/>
              <w:right w:val="single" w:sz="4" w:space="0" w:color="auto"/>
            </w:tcBorders>
            <w:shd w:val="clear" w:color="auto" w:fill="auto"/>
            <w:noWrap/>
            <w:hideMark/>
          </w:tcPr>
          <w:p w14:paraId="3B6E8650"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(0.5/0)</w:t>
            </w:r>
          </w:p>
        </w:tc>
        <w:tc>
          <w:tcPr>
            <w:tcW w:w="1559" w:type="dxa"/>
            <w:tcBorders>
              <w:top w:val="single" w:sz="4" w:space="0" w:color="auto"/>
              <w:left w:val="nil"/>
              <w:bottom w:val="single" w:sz="4" w:space="0" w:color="auto"/>
              <w:right w:val="single" w:sz="4" w:space="0" w:color="auto"/>
            </w:tcBorders>
            <w:shd w:val="clear" w:color="auto" w:fill="auto"/>
            <w:noWrap/>
            <w:hideMark/>
          </w:tcPr>
          <w:p w14:paraId="1A23856E" w14:textId="1C5F38BD"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w:t>
            </w:r>
            <w:r w:rsidR="00527B86">
              <w:rPr>
                <w:rFonts w:ascii="Calibri" w:eastAsia="Times New Roman" w:hAnsi="Calibri" w:cs="Calibri"/>
                <w:color w:val="000000"/>
                <w:sz w:val="22"/>
                <w:szCs w:val="22"/>
                <w:lang w:val="en-NZ"/>
              </w:rPr>
              <w:t xml:space="preserve"> </w:t>
            </w:r>
            <w:r w:rsidRPr="00F74827">
              <w:rPr>
                <w:rFonts w:ascii="Calibri" w:eastAsia="Times New Roman" w:hAnsi="Calibri" w:cs="Calibri"/>
                <w:color w:val="000000"/>
                <w:sz w:val="22"/>
                <w:szCs w:val="22"/>
                <w:lang w:val="en-NZ"/>
              </w:rPr>
              <w:t>(0.</w:t>
            </w:r>
            <w:r>
              <w:rPr>
                <w:rFonts w:ascii="Calibri" w:eastAsia="Times New Roman" w:hAnsi="Calibri" w:cs="Calibri"/>
                <w:color w:val="000000"/>
                <w:sz w:val="22"/>
                <w:szCs w:val="22"/>
                <w:lang w:val="en-NZ"/>
              </w:rPr>
              <w:t>36</w:t>
            </w:r>
            <w:r w:rsidRPr="00F74827">
              <w:rPr>
                <w:rFonts w:ascii="Calibri" w:eastAsia="Times New Roman" w:hAnsi="Calibri" w:cs="Calibri"/>
                <w:color w:val="000000"/>
                <w:sz w:val="22"/>
                <w:szCs w:val="22"/>
                <w:lang w:val="en-NZ"/>
              </w:rPr>
              <w:t>/0.5)</w:t>
            </w:r>
          </w:p>
        </w:tc>
        <w:tc>
          <w:tcPr>
            <w:tcW w:w="1559" w:type="dxa"/>
            <w:tcBorders>
              <w:top w:val="single" w:sz="4" w:space="0" w:color="auto"/>
              <w:left w:val="nil"/>
              <w:bottom w:val="single" w:sz="4" w:space="0" w:color="auto"/>
              <w:right w:val="single" w:sz="4" w:space="0" w:color="auto"/>
            </w:tcBorders>
            <w:shd w:val="clear" w:color="auto" w:fill="auto"/>
            <w:noWrap/>
            <w:hideMark/>
          </w:tcPr>
          <w:p w14:paraId="5FC282AF" w14:textId="77777777" w:rsidR="00CC452C" w:rsidRPr="00F74827" w:rsidRDefault="00F45D92" w:rsidP="003232A4">
            <w:pPr>
              <w:rPr>
                <w:rFonts w:ascii="Calibri" w:eastAsia="Times New Roman" w:hAnsi="Calibri" w:cs="Calibri"/>
                <w:color w:val="000000"/>
                <w:sz w:val="22"/>
                <w:szCs w:val="22"/>
                <w:lang w:val="en-NZ"/>
              </w:rPr>
            </w:pPr>
            <w:r w:rsidRPr="00F74827">
              <w:rPr>
                <w:rFonts w:ascii="Calibri" w:eastAsia="Times New Roman" w:hAnsi="Calibri" w:cs="Calibri"/>
                <w:color w:val="000000"/>
                <w:sz w:val="22"/>
                <w:szCs w:val="22"/>
                <w:lang w:val="en-NZ"/>
              </w:rPr>
              <w:t>0-2 (0.6/0.5)</w:t>
            </w:r>
          </w:p>
        </w:tc>
        <w:tc>
          <w:tcPr>
            <w:tcW w:w="1552" w:type="dxa"/>
            <w:tcBorders>
              <w:top w:val="single" w:sz="4" w:space="0" w:color="auto"/>
              <w:left w:val="nil"/>
              <w:bottom w:val="single" w:sz="4" w:space="0" w:color="auto"/>
              <w:right w:val="single" w:sz="4" w:space="0" w:color="auto"/>
            </w:tcBorders>
          </w:tcPr>
          <w:p w14:paraId="784E0531" w14:textId="6CCFA12D" w:rsidR="00CC452C" w:rsidRPr="00F74827" w:rsidRDefault="00F45D92" w:rsidP="003232A4">
            <w:pPr>
              <w:rPr>
                <w:rFonts w:ascii="Calibri" w:eastAsia="Times New Roman" w:hAnsi="Calibri" w:cs="Calibri"/>
                <w:color w:val="000000"/>
                <w:sz w:val="22"/>
                <w:szCs w:val="22"/>
                <w:lang w:val="en-NZ"/>
              </w:rPr>
            </w:pPr>
            <w:r>
              <w:rPr>
                <w:rFonts w:ascii="Calibri" w:eastAsia="Times New Roman" w:hAnsi="Calibri" w:cs="Calibri"/>
                <w:color w:val="000000"/>
                <w:sz w:val="22"/>
                <w:szCs w:val="22"/>
                <w:lang w:val="en-NZ"/>
              </w:rPr>
              <w:t>P&gt;0.05</w:t>
            </w:r>
          </w:p>
        </w:tc>
      </w:tr>
    </w:tbl>
    <w:p w14:paraId="0E2E7D89" w14:textId="77777777" w:rsidR="004171E5" w:rsidRDefault="00F45D92" w:rsidP="0009438C">
      <w:pPr>
        <w:spacing w:line="480" w:lineRule="auto"/>
        <w:rPr>
          <w:b/>
          <w:sz w:val="22"/>
          <w:szCs w:val="22"/>
        </w:rPr>
      </w:pPr>
      <w:r>
        <w:rPr>
          <w:b/>
          <w:sz w:val="22"/>
          <w:szCs w:val="22"/>
        </w:rPr>
        <w:br w:type="page"/>
      </w:r>
    </w:p>
    <w:p w14:paraId="295EAB96" w14:textId="4818089E" w:rsidR="004171E5" w:rsidRPr="00C46847" w:rsidRDefault="00F45D92" w:rsidP="0009438C">
      <w:pPr>
        <w:spacing w:line="480" w:lineRule="auto"/>
        <w:rPr>
          <w:sz w:val="22"/>
          <w:szCs w:val="22"/>
        </w:rPr>
      </w:pPr>
      <w:r w:rsidRPr="00C46847">
        <w:rPr>
          <w:b/>
          <w:sz w:val="22"/>
          <w:szCs w:val="22"/>
        </w:rPr>
        <w:lastRenderedPageBreak/>
        <w:t>Table 3</w:t>
      </w:r>
      <w:r w:rsidRPr="00C46847">
        <w:rPr>
          <w:sz w:val="22"/>
          <w:szCs w:val="22"/>
        </w:rPr>
        <w:t xml:space="preserve">: Results at 6-weeks for lameness, effusion, and reaction to </w:t>
      </w:r>
      <w:r w:rsidR="00CF285A">
        <w:rPr>
          <w:sz w:val="22"/>
          <w:szCs w:val="22"/>
        </w:rPr>
        <w:t xml:space="preserve">carpal </w:t>
      </w:r>
      <w:r w:rsidRPr="00C46847">
        <w:rPr>
          <w:sz w:val="22"/>
          <w:szCs w:val="22"/>
        </w:rPr>
        <w:t>flexion of the joints treated with 2.5% PAAG, TA or HA. Success=complete resolution, Nil=no change</w:t>
      </w:r>
      <w:r w:rsidR="003C6D11">
        <w:rPr>
          <w:sz w:val="22"/>
          <w:szCs w:val="22"/>
        </w:rPr>
        <w:t xml:space="preserve"> or partial improvement</w:t>
      </w:r>
      <w:r w:rsidRPr="00C46847">
        <w:rPr>
          <w:sz w:val="22"/>
          <w:szCs w:val="22"/>
        </w:rPr>
        <w:t>, Fail=deterioration of variables from the time at admission. Withdrawn=those withdrawn from the study before 6 weeks due to treatment failure and considered as Fail. Statistical differences indicated by an asterisk (*) when p&lt;0.05.</w:t>
      </w:r>
    </w:p>
    <w:tbl>
      <w:tblPr>
        <w:tblStyle w:val="Grilledutableau"/>
        <w:tblW w:w="5000" w:type="pct"/>
        <w:tblLook w:val="04A0" w:firstRow="1" w:lastRow="0" w:firstColumn="1" w:lastColumn="0" w:noHBand="0" w:noVBand="1"/>
      </w:tblPr>
      <w:tblGrid>
        <w:gridCol w:w="2491"/>
        <w:gridCol w:w="1192"/>
        <w:gridCol w:w="952"/>
        <w:gridCol w:w="718"/>
        <w:gridCol w:w="647"/>
        <w:gridCol w:w="1670"/>
        <w:gridCol w:w="818"/>
      </w:tblGrid>
      <w:tr w:rsidR="00464EAF" w14:paraId="4B28AD26" w14:textId="77777777" w:rsidTr="00BB159C">
        <w:trPr>
          <w:trHeight w:val="227"/>
        </w:trPr>
        <w:tc>
          <w:tcPr>
            <w:tcW w:w="1467"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2FE97488" w14:textId="77777777" w:rsidR="004171E5" w:rsidRPr="00C46847" w:rsidRDefault="00F45D92" w:rsidP="0009438C">
            <w:pPr>
              <w:spacing w:line="480" w:lineRule="auto"/>
              <w:rPr>
                <w:b/>
                <w:sz w:val="18"/>
                <w:szCs w:val="18"/>
              </w:rPr>
            </w:pPr>
            <w:r w:rsidRPr="00C46847">
              <w:rPr>
                <w:b/>
                <w:sz w:val="18"/>
                <w:szCs w:val="18"/>
              </w:rPr>
              <w:t>Treatment</w:t>
            </w:r>
          </w:p>
        </w:tc>
        <w:tc>
          <w:tcPr>
            <w:tcW w:w="702"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2A28537C" w14:textId="77777777" w:rsidR="004171E5" w:rsidRPr="00C46847" w:rsidRDefault="00F45D92" w:rsidP="0009438C">
            <w:pPr>
              <w:spacing w:line="480" w:lineRule="auto"/>
              <w:rPr>
                <w:b/>
                <w:bCs/>
                <w:sz w:val="18"/>
                <w:szCs w:val="18"/>
              </w:rPr>
            </w:pPr>
            <w:r w:rsidRPr="00C46847">
              <w:rPr>
                <w:b/>
                <w:bCs/>
                <w:sz w:val="18"/>
                <w:szCs w:val="18"/>
              </w:rPr>
              <w:t>2.5% PAAG</w:t>
            </w:r>
          </w:p>
        </w:tc>
        <w:tc>
          <w:tcPr>
            <w:tcW w:w="561"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81779DC" w14:textId="77777777" w:rsidR="004171E5" w:rsidRPr="00C46847" w:rsidRDefault="00F45D92" w:rsidP="0009438C">
            <w:pPr>
              <w:spacing w:line="480" w:lineRule="auto"/>
              <w:rPr>
                <w:b/>
                <w:bCs/>
                <w:sz w:val="18"/>
                <w:szCs w:val="18"/>
              </w:rPr>
            </w:pPr>
            <w:r w:rsidRPr="00C46847">
              <w:rPr>
                <w:b/>
                <w:bCs/>
                <w:sz w:val="18"/>
                <w:szCs w:val="18"/>
              </w:rPr>
              <w:t>TA</w:t>
            </w:r>
          </w:p>
        </w:tc>
        <w:tc>
          <w:tcPr>
            <w:tcW w:w="423"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7AAE781" w14:textId="77777777" w:rsidR="004171E5" w:rsidRPr="00C46847" w:rsidRDefault="00F45D92" w:rsidP="0009438C">
            <w:pPr>
              <w:spacing w:line="480" w:lineRule="auto"/>
              <w:rPr>
                <w:b/>
                <w:bCs/>
                <w:sz w:val="18"/>
                <w:szCs w:val="18"/>
              </w:rPr>
            </w:pPr>
            <w:r w:rsidRPr="00C46847">
              <w:rPr>
                <w:b/>
                <w:bCs/>
                <w:sz w:val="18"/>
                <w:szCs w:val="18"/>
              </w:rPr>
              <w:t>HA</w:t>
            </w:r>
          </w:p>
        </w:tc>
        <w:tc>
          <w:tcPr>
            <w:tcW w:w="381"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22802000" w14:textId="77777777" w:rsidR="004171E5" w:rsidRPr="00C46847" w:rsidRDefault="00F45D92" w:rsidP="0009438C">
            <w:pPr>
              <w:spacing w:line="480" w:lineRule="auto"/>
              <w:rPr>
                <w:b/>
                <w:bCs/>
                <w:sz w:val="18"/>
                <w:szCs w:val="18"/>
              </w:rPr>
            </w:pPr>
            <w:r w:rsidRPr="00C46847">
              <w:rPr>
                <w:b/>
                <w:bCs/>
                <w:sz w:val="18"/>
                <w:szCs w:val="18"/>
              </w:rPr>
              <w:t xml:space="preserve">Total </w:t>
            </w:r>
          </w:p>
        </w:tc>
        <w:tc>
          <w:tcPr>
            <w:tcW w:w="984"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28585533" w14:textId="77777777" w:rsidR="004171E5" w:rsidRPr="00C46847" w:rsidRDefault="00F45D92" w:rsidP="0009438C">
            <w:pPr>
              <w:spacing w:line="480" w:lineRule="auto"/>
              <w:rPr>
                <w:b/>
                <w:sz w:val="18"/>
                <w:szCs w:val="18"/>
              </w:rPr>
            </w:pPr>
            <w:r w:rsidRPr="00C46847">
              <w:rPr>
                <w:b/>
                <w:sz w:val="18"/>
                <w:szCs w:val="18"/>
              </w:rPr>
              <w:t>Chi-Squared Statistic</w:t>
            </w:r>
          </w:p>
        </w:tc>
        <w:tc>
          <w:tcPr>
            <w:tcW w:w="483"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5FC95E04" w14:textId="77777777" w:rsidR="004171E5" w:rsidRPr="00C46847" w:rsidRDefault="00F45D92" w:rsidP="0009438C">
            <w:pPr>
              <w:spacing w:line="480" w:lineRule="auto"/>
              <w:rPr>
                <w:b/>
                <w:sz w:val="18"/>
                <w:szCs w:val="18"/>
              </w:rPr>
            </w:pPr>
            <w:r w:rsidRPr="00C46847">
              <w:rPr>
                <w:b/>
                <w:sz w:val="18"/>
                <w:szCs w:val="18"/>
              </w:rPr>
              <w:t>p-Value</w:t>
            </w:r>
          </w:p>
        </w:tc>
      </w:tr>
      <w:tr w:rsidR="00464EAF" w14:paraId="4EB9E4C9" w14:textId="77777777" w:rsidTr="00E858E8">
        <w:trPr>
          <w:trHeight w:val="227"/>
        </w:trPr>
        <w:tc>
          <w:tcPr>
            <w:tcW w:w="5000" w:type="pct"/>
            <w:gridSpan w:val="7"/>
            <w:tcBorders>
              <w:top w:val="single" w:sz="18" w:space="0" w:color="000000" w:themeColor="text1"/>
              <w:left w:val="single" w:sz="4" w:space="0" w:color="000000" w:themeColor="text1"/>
              <w:bottom w:val="single" w:sz="4" w:space="0" w:color="000000" w:themeColor="text1"/>
              <w:right w:val="nil"/>
            </w:tcBorders>
          </w:tcPr>
          <w:p w14:paraId="728761A5" w14:textId="77777777" w:rsidR="004171E5" w:rsidRPr="00C46847" w:rsidRDefault="00F45D92" w:rsidP="0009438C">
            <w:pPr>
              <w:spacing w:line="480" w:lineRule="auto"/>
              <w:rPr>
                <w:sz w:val="18"/>
                <w:szCs w:val="18"/>
              </w:rPr>
            </w:pPr>
            <w:r w:rsidRPr="00C46847">
              <w:rPr>
                <w:b/>
                <w:bCs/>
                <w:sz w:val="18"/>
                <w:szCs w:val="18"/>
              </w:rPr>
              <w:t>LAMENESS</w:t>
            </w:r>
          </w:p>
        </w:tc>
      </w:tr>
      <w:tr w:rsidR="00464EAF" w14:paraId="05A097D1"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AD7F3" w14:textId="77777777" w:rsidR="004171E5" w:rsidRPr="00C46847" w:rsidRDefault="00F45D92" w:rsidP="0009438C">
            <w:pPr>
              <w:spacing w:line="480" w:lineRule="auto"/>
              <w:rPr>
                <w:sz w:val="18"/>
                <w:szCs w:val="18"/>
              </w:rPr>
            </w:pPr>
            <w:r w:rsidRPr="00C46847">
              <w:rPr>
                <w:sz w:val="18"/>
                <w:szCs w:val="18"/>
              </w:rPr>
              <w:t>Success</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8B5275" w14:textId="77777777" w:rsidR="004171E5" w:rsidRPr="00C46847" w:rsidRDefault="00F45D92" w:rsidP="0009438C">
            <w:pPr>
              <w:spacing w:line="480" w:lineRule="auto"/>
              <w:rPr>
                <w:sz w:val="18"/>
                <w:szCs w:val="18"/>
              </w:rPr>
            </w:pPr>
            <w:r w:rsidRPr="00C46847">
              <w:rPr>
                <w:sz w:val="18"/>
                <w:szCs w:val="18"/>
              </w:rPr>
              <w:t>10 *</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7096D" w14:textId="77777777" w:rsidR="004171E5" w:rsidRPr="00C46847" w:rsidRDefault="00F45D92" w:rsidP="0009438C">
            <w:pPr>
              <w:spacing w:line="480" w:lineRule="auto"/>
              <w:rPr>
                <w:sz w:val="18"/>
                <w:szCs w:val="18"/>
              </w:rPr>
            </w:pPr>
            <w:r w:rsidRPr="00C46847">
              <w:rPr>
                <w:sz w:val="18"/>
                <w:szCs w:val="18"/>
              </w:rPr>
              <w:t>3</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6179E8" w14:textId="77777777" w:rsidR="004171E5" w:rsidRPr="00C46847" w:rsidRDefault="00F45D92" w:rsidP="0009438C">
            <w:pPr>
              <w:spacing w:line="480" w:lineRule="auto"/>
              <w:rPr>
                <w:sz w:val="18"/>
                <w:szCs w:val="18"/>
              </w:rPr>
            </w:pPr>
            <w:r w:rsidRPr="00C46847">
              <w:rPr>
                <w:sz w:val="18"/>
                <w:szCs w:val="18"/>
              </w:rPr>
              <w:t>4</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E94EA" w14:textId="77777777" w:rsidR="004171E5" w:rsidRPr="00C46847" w:rsidRDefault="00F45D92" w:rsidP="0009438C">
            <w:pPr>
              <w:spacing w:line="480" w:lineRule="auto"/>
              <w:rPr>
                <w:sz w:val="18"/>
                <w:szCs w:val="18"/>
              </w:rPr>
            </w:pPr>
            <w:r w:rsidRPr="00C46847">
              <w:rPr>
                <w:sz w:val="18"/>
                <w:szCs w:val="18"/>
              </w:rPr>
              <w:t>17</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3DAD5"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EE0BD" w14:textId="77777777" w:rsidR="004171E5" w:rsidRPr="00C46847" w:rsidRDefault="004171E5" w:rsidP="0009438C">
            <w:pPr>
              <w:spacing w:line="480" w:lineRule="auto"/>
              <w:rPr>
                <w:sz w:val="18"/>
                <w:szCs w:val="18"/>
              </w:rPr>
            </w:pPr>
          </w:p>
        </w:tc>
      </w:tr>
      <w:tr w:rsidR="00464EAF" w14:paraId="25DAAC66"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CE8A4" w14:textId="77777777" w:rsidR="004171E5" w:rsidRPr="00C46847" w:rsidRDefault="00F45D92" w:rsidP="0009438C">
            <w:pPr>
              <w:spacing w:line="480" w:lineRule="auto"/>
              <w:rPr>
                <w:sz w:val="18"/>
                <w:szCs w:val="18"/>
              </w:rPr>
            </w:pPr>
            <w:r w:rsidRPr="00C46847">
              <w:rPr>
                <w:sz w:val="18"/>
                <w:szCs w:val="18"/>
              </w:rPr>
              <w:t>Nil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5D2DE" w14:textId="77777777" w:rsidR="004171E5" w:rsidRPr="00C46847" w:rsidRDefault="00F45D92" w:rsidP="0009438C">
            <w:pPr>
              <w:spacing w:line="480" w:lineRule="auto"/>
              <w:rPr>
                <w:sz w:val="18"/>
                <w:szCs w:val="18"/>
              </w:rPr>
            </w:pPr>
            <w:r w:rsidRPr="00C46847">
              <w:rPr>
                <w:sz w:val="18"/>
                <w:szCs w:val="18"/>
              </w:rPr>
              <w:t>1</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748B8" w14:textId="77777777" w:rsidR="004171E5" w:rsidRPr="00C46847" w:rsidRDefault="00F45D92" w:rsidP="0009438C">
            <w:pPr>
              <w:spacing w:line="480" w:lineRule="auto"/>
              <w:rPr>
                <w:sz w:val="18"/>
                <w:szCs w:val="18"/>
              </w:rPr>
            </w:pPr>
            <w:r w:rsidRPr="00C46847">
              <w:rPr>
                <w:sz w:val="18"/>
                <w:szCs w:val="18"/>
              </w:rPr>
              <w:t>1</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CD8BEB" w14:textId="77777777" w:rsidR="004171E5" w:rsidRPr="00C46847" w:rsidRDefault="00F45D92" w:rsidP="0009438C">
            <w:pPr>
              <w:spacing w:line="480" w:lineRule="auto"/>
              <w:rPr>
                <w:sz w:val="18"/>
                <w:szCs w:val="18"/>
              </w:rPr>
            </w:pPr>
            <w:r w:rsidRPr="00C46847">
              <w:rPr>
                <w:sz w:val="18"/>
                <w:szCs w:val="18"/>
              </w:rPr>
              <w:t>3</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D7E61" w14:textId="77777777" w:rsidR="004171E5" w:rsidRPr="00C46847" w:rsidRDefault="00F45D92" w:rsidP="0009438C">
            <w:pPr>
              <w:spacing w:line="480" w:lineRule="auto"/>
              <w:rPr>
                <w:sz w:val="18"/>
                <w:szCs w:val="18"/>
              </w:rPr>
            </w:pPr>
            <w:r w:rsidRPr="00C46847">
              <w:rPr>
                <w:sz w:val="18"/>
                <w:szCs w:val="18"/>
              </w:rPr>
              <w:t>5</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661812"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6334B" w14:textId="77777777" w:rsidR="004171E5" w:rsidRPr="00C46847" w:rsidRDefault="004171E5" w:rsidP="0009438C">
            <w:pPr>
              <w:spacing w:line="480" w:lineRule="auto"/>
              <w:rPr>
                <w:sz w:val="18"/>
                <w:szCs w:val="18"/>
              </w:rPr>
            </w:pPr>
          </w:p>
        </w:tc>
      </w:tr>
      <w:tr w:rsidR="00464EAF" w14:paraId="7EE04AA5"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148AF6" w14:textId="77777777" w:rsidR="004171E5" w:rsidRPr="00C46847" w:rsidRDefault="00F45D92" w:rsidP="0009438C">
            <w:pPr>
              <w:spacing w:line="480" w:lineRule="auto"/>
              <w:rPr>
                <w:sz w:val="18"/>
                <w:szCs w:val="18"/>
              </w:rPr>
            </w:pPr>
            <w:r w:rsidRPr="00C46847">
              <w:rPr>
                <w:sz w:val="18"/>
                <w:szCs w:val="18"/>
              </w:rPr>
              <w:t>Fail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3EB44" w14:textId="77777777" w:rsidR="004171E5" w:rsidRPr="00C46847" w:rsidRDefault="00F45D92" w:rsidP="0009438C">
            <w:pPr>
              <w:spacing w:line="480" w:lineRule="auto"/>
              <w:rPr>
                <w:sz w:val="18"/>
                <w:szCs w:val="18"/>
              </w:rPr>
            </w:pPr>
            <w:r w:rsidRPr="00C46847">
              <w:rPr>
                <w:sz w:val="18"/>
                <w:szCs w:val="18"/>
              </w:rPr>
              <w:t>1</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558C3" w14:textId="77777777" w:rsidR="004171E5" w:rsidRPr="00C46847" w:rsidRDefault="00F45D92" w:rsidP="0009438C">
            <w:pPr>
              <w:spacing w:line="480" w:lineRule="auto"/>
              <w:rPr>
                <w:sz w:val="18"/>
                <w:szCs w:val="18"/>
              </w:rPr>
            </w:pPr>
            <w:r w:rsidRPr="00C46847">
              <w:rPr>
                <w:sz w:val="18"/>
                <w:szCs w:val="18"/>
              </w:rPr>
              <w:t>3</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AE823" w14:textId="77777777" w:rsidR="004171E5" w:rsidRPr="00C46847" w:rsidRDefault="00F45D92" w:rsidP="0009438C">
            <w:pPr>
              <w:spacing w:line="480" w:lineRule="auto"/>
              <w:rPr>
                <w:sz w:val="18"/>
                <w:szCs w:val="18"/>
              </w:rPr>
            </w:pPr>
            <w:r w:rsidRPr="00C46847">
              <w:rPr>
                <w:sz w:val="18"/>
                <w:szCs w:val="18"/>
              </w:rPr>
              <w:t>3</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86282" w14:textId="77777777" w:rsidR="004171E5" w:rsidRPr="00C46847" w:rsidRDefault="00F45D92" w:rsidP="0009438C">
            <w:pPr>
              <w:spacing w:line="480" w:lineRule="auto"/>
              <w:rPr>
                <w:sz w:val="18"/>
                <w:szCs w:val="18"/>
              </w:rPr>
            </w:pPr>
            <w:r w:rsidRPr="00C46847">
              <w:rPr>
                <w:sz w:val="18"/>
                <w:szCs w:val="18"/>
              </w:rPr>
              <w:t>7</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7B5E4"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9F386" w14:textId="77777777" w:rsidR="004171E5" w:rsidRPr="00C46847" w:rsidRDefault="004171E5" w:rsidP="0009438C">
            <w:pPr>
              <w:spacing w:line="480" w:lineRule="auto"/>
              <w:rPr>
                <w:sz w:val="18"/>
                <w:szCs w:val="18"/>
              </w:rPr>
            </w:pPr>
          </w:p>
        </w:tc>
      </w:tr>
      <w:tr w:rsidR="00464EAF" w14:paraId="07F24F6A"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C9C97" w14:textId="77777777" w:rsidR="004171E5" w:rsidRPr="00C46847" w:rsidRDefault="00F45D92" w:rsidP="0009438C">
            <w:pPr>
              <w:spacing w:line="480" w:lineRule="auto"/>
              <w:rPr>
                <w:sz w:val="18"/>
                <w:szCs w:val="18"/>
              </w:rPr>
            </w:pPr>
            <w:r w:rsidRPr="00C46847">
              <w:rPr>
                <w:sz w:val="18"/>
                <w:szCs w:val="18"/>
              </w:rPr>
              <w:t>Withdrawn</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304869" w14:textId="77777777" w:rsidR="004171E5" w:rsidRPr="00C46847" w:rsidRDefault="00F45D92" w:rsidP="0009438C">
            <w:pPr>
              <w:spacing w:line="480" w:lineRule="auto"/>
              <w:rPr>
                <w:sz w:val="18"/>
                <w:szCs w:val="18"/>
              </w:rPr>
            </w:pPr>
            <w:r w:rsidRPr="00C46847">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56D236" w14:textId="77777777" w:rsidR="004171E5" w:rsidRPr="00C46847" w:rsidRDefault="00F45D92" w:rsidP="0009438C">
            <w:pPr>
              <w:spacing w:line="480" w:lineRule="auto"/>
              <w:rPr>
                <w:sz w:val="18"/>
                <w:szCs w:val="18"/>
              </w:rPr>
            </w:pPr>
            <w:r w:rsidRPr="00C46847">
              <w:rPr>
                <w:sz w:val="18"/>
                <w:szCs w:val="18"/>
              </w:rPr>
              <w:t>4</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CB5B61" w14:textId="77777777" w:rsidR="004171E5" w:rsidRPr="00C46847" w:rsidRDefault="00F45D92" w:rsidP="0009438C">
            <w:pPr>
              <w:spacing w:line="480" w:lineRule="auto"/>
              <w:rPr>
                <w:sz w:val="18"/>
                <w:szCs w:val="18"/>
              </w:rPr>
            </w:pPr>
            <w:r w:rsidRPr="00C46847">
              <w:rPr>
                <w:sz w:val="18"/>
                <w:szCs w:val="18"/>
              </w:rPr>
              <w:t>0</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7D5215" w14:textId="77777777" w:rsidR="004171E5" w:rsidRPr="00C46847" w:rsidRDefault="00F45D92" w:rsidP="0009438C">
            <w:pPr>
              <w:spacing w:line="480" w:lineRule="auto"/>
              <w:rPr>
                <w:sz w:val="18"/>
                <w:szCs w:val="18"/>
              </w:rPr>
            </w:pPr>
            <w:r w:rsidRPr="00C46847">
              <w:rPr>
                <w:sz w:val="18"/>
                <w:szCs w:val="18"/>
              </w:rPr>
              <w:t>4</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2D229"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54343" w14:textId="77777777" w:rsidR="004171E5" w:rsidRPr="00C46847" w:rsidRDefault="004171E5" w:rsidP="0009438C">
            <w:pPr>
              <w:spacing w:line="480" w:lineRule="auto"/>
              <w:rPr>
                <w:sz w:val="18"/>
                <w:szCs w:val="18"/>
              </w:rPr>
            </w:pPr>
          </w:p>
        </w:tc>
      </w:tr>
      <w:tr w:rsidR="00464EAF" w14:paraId="7158D6B0" w14:textId="77777777" w:rsidTr="00BB159C">
        <w:trPr>
          <w:trHeight w:val="227"/>
        </w:trPr>
        <w:tc>
          <w:tcPr>
            <w:tcW w:w="1467"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75DD4289" w14:textId="77777777" w:rsidR="004171E5" w:rsidRPr="00C46847" w:rsidRDefault="00F45D92" w:rsidP="0009438C">
            <w:pPr>
              <w:spacing w:line="480" w:lineRule="auto"/>
              <w:rPr>
                <w:sz w:val="18"/>
                <w:szCs w:val="18"/>
              </w:rPr>
            </w:pPr>
            <w:r w:rsidRPr="00C46847">
              <w:rPr>
                <w:sz w:val="18"/>
                <w:szCs w:val="18"/>
              </w:rPr>
              <w:t>Proportion Successful Treatments</w:t>
            </w:r>
          </w:p>
        </w:tc>
        <w:tc>
          <w:tcPr>
            <w:tcW w:w="702"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444E8857" w14:textId="77777777" w:rsidR="004171E5" w:rsidRPr="00C46847" w:rsidRDefault="00F45D92" w:rsidP="0009438C">
            <w:pPr>
              <w:spacing w:line="480" w:lineRule="auto"/>
              <w:rPr>
                <w:sz w:val="18"/>
                <w:szCs w:val="18"/>
              </w:rPr>
            </w:pPr>
            <w:r w:rsidRPr="00C46847">
              <w:rPr>
                <w:sz w:val="18"/>
                <w:szCs w:val="18"/>
              </w:rPr>
              <w:t>83.3% *</w:t>
            </w:r>
          </w:p>
        </w:tc>
        <w:tc>
          <w:tcPr>
            <w:tcW w:w="561"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13D15424" w14:textId="77777777" w:rsidR="004171E5" w:rsidRPr="00C46847" w:rsidRDefault="00F45D92" w:rsidP="0009438C">
            <w:pPr>
              <w:spacing w:line="480" w:lineRule="auto"/>
              <w:rPr>
                <w:sz w:val="18"/>
                <w:szCs w:val="18"/>
              </w:rPr>
            </w:pPr>
            <w:r w:rsidRPr="00C46847">
              <w:rPr>
                <w:sz w:val="18"/>
                <w:szCs w:val="18"/>
              </w:rPr>
              <w:t>27.3%</w:t>
            </w:r>
          </w:p>
        </w:tc>
        <w:tc>
          <w:tcPr>
            <w:tcW w:w="423"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60959715" w14:textId="77777777" w:rsidR="004171E5" w:rsidRPr="00C46847" w:rsidRDefault="00F45D92" w:rsidP="0009438C">
            <w:pPr>
              <w:spacing w:line="480" w:lineRule="auto"/>
              <w:rPr>
                <w:sz w:val="18"/>
                <w:szCs w:val="18"/>
              </w:rPr>
            </w:pPr>
            <w:r w:rsidRPr="00C46847">
              <w:rPr>
                <w:sz w:val="18"/>
                <w:szCs w:val="18"/>
              </w:rPr>
              <w:t>40.0%</w:t>
            </w:r>
          </w:p>
        </w:tc>
        <w:tc>
          <w:tcPr>
            <w:tcW w:w="381"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65D1EEB2" w14:textId="77777777" w:rsidR="004171E5" w:rsidRPr="00C46847" w:rsidRDefault="004171E5" w:rsidP="0009438C">
            <w:pPr>
              <w:spacing w:line="480" w:lineRule="auto"/>
              <w:rPr>
                <w:i/>
                <w:sz w:val="18"/>
                <w:szCs w:val="18"/>
              </w:rPr>
            </w:pPr>
          </w:p>
        </w:tc>
        <w:tc>
          <w:tcPr>
            <w:tcW w:w="984"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41BF1C59" w14:textId="77777777" w:rsidR="004171E5" w:rsidRPr="00C46847" w:rsidRDefault="00F45D92" w:rsidP="0009438C">
            <w:pPr>
              <w:spacing w:line="480" w:lineRule="auto"/>
              <w:rPr>
                <w:sz w:val="18"/>
                <w:szCs w:val="18"/>
              </w:rPr>
            </w:pPr>
            <w:r w:rsidRPr="00C46847">
              <w:rPr>
                <w:sz w:val="18"/>
                <w:szCs w:val="18"/>
              </w:rPr>
              <w:t>7.98</w:t>
            </w:r>
          </w:p>
        </w:tc>
        <w:tc>
          <w:tcPr>
            <w:tcW w:w="483"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5BAF5B92" w14:textId="77777777" w:rsidR="004171E5" w:rsidRPr="00C46847" w:rsidRDefault="00F45D92" w:rsidP="0009438C">
            <w:pPr>
              <w:spacing w:line="480" w:lineRule="auto"/>
              <w:rPr>
                <w:b/>
                <w:bCs/>
                <w:sz w:val="18"/>
                <w:szCs w:val="18"/>
              </w:rPr>
            </w:pPr>
            <w:r w:rsidRPr="00C46847">
              <w:rPr>
                <w:b/>
                <w:bCs/>
                <w:sz w:val="18"/>
                <w:szCs w:val="18"/>
              </w:rPr>
              <w:t>0.019</w:t>
            </w:r>
          </w:p>
        </w:tc>
      </w:tr>
      <w:tr w:rsidR="00464EAF" w14:paraId="0E7DE6EA" w14:textId="77777777" w:rsidTr="00E858E8">
        <w:trPr>
          <w:trHeight w:val="227"/>
        </w:trPr>
        <w:tc>
          <w:tcPr>
            <w:tcW w:w="5000" w:type="pct"/>
            <w:gridSpan w:val="7"/>
            <w:tcBorders>
              <w:top w:val="single" w:sz="18" w:space="0" w:color="000000" w:themeColor="text1"/>
              <w:left w:val="single" w:sz="4" w:space="0" w:color="000000" w:themeColor="text1"/>
              <w:bottom w:val="single" w:sz="4" w:space="0" w:color="000000" w:themeColor="text1"/>
              <w:right w:val="nil"/>
            </w:tcBorders>
          </w:tcPr>
          <w:p w14:paraId="7831184B" w14:textId="77777777" w:rsidR="004171E5" w:rsidRPr="00C46847" w:rsidRDefault="00F45D92" w:rsidP="0009438C">
            <w:pPr>
              <w:spacing w:line="480" w:lineRule="auto"/>
              <w:rPr>
                <w:b/>
                <w:bCs/>
                <w:sz w:val="18"/>
                <w:szCs w:val="18"/>
              </w:rPr>
            </w:pPr>
            <w:r w:rsidRPr="00C46847">
              <w:rPr>
                <w:b/>
                <w:bCs/>
                <w:sz w:val="18"/>
                <w:szCs w:val="18"/>
              </w:rPr>
              <w:t>EFFUSION</w:t>
            </w:r>
          </w:p>
        </w:tc>
      </w:tr>
      <w:tr w:rsidR="00464EAF" w14:paraId="68FFB1E4"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10679E" w14:textId="77777777" w:rsidR="004171E5" w:rsidRPr="00C46847" w:rsidRDefault="00F45D92" w:rsidP="0009438C">
            <w:pPr>
              <w:spacing w:line="480" w:lineRule="auto"/>
              <w:rPr>
                <w:sz w:val="18"/>
                <w:szCs w:val="18"/>
              </w:rPr>
            </w:pPr>
            <w:r w:rsidRPr="00C46847">
              <w:rPr>
                <w:sz w:val="18"/>
                <w:szCs w:val="18"/>
              </w:rPr>
              <w:t>Success</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3CC41" w14:textId="77777777" w:rsidR="004171E5" w:rsidRPr="00C46847" w:rsidRDefault="00F45D92" w:rsidP="0009438C">
            <w:pPr>
              <w:spacing w:line="480" w:lineRule="auto"/>
              <w:rPr>
                <w:sz w:val="18"/>
                <w:szCs w:val="18"/>
              </w:rPr>
            </w:pPr>
            <w:r w:rsidRPr="00C46847">
              <w:rPr>
                <w:sz w:val="18"/>
                <w:szCs w:val="18"/>
              </w:rPr>
              <w:t>6 *</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9F8167" w14:textId="77777777" w:rsidR="004171E5" w:rsidRPr="00C46847" w:rsidRDefault="00F45D92" w:rsidP="0009438C">
            <w:pPr>
              <w:spacing w:line="480" w:lineRule="auto"/>
              <w:rPr>
                <w:sz w:val="18"/>
                <w:szCs w:val="18"/>
              </w:rPr>
            </w:pPr>
            <w:r w:rsidRPr="00C46847">
              <w:rPr>
                <w:sz w:val="18"/>
                <w:szCs w:val="18"/>
              </w:rPr>
              <w:t>0</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341134" w14:textId="77777777" w:rsidR="004171E5" w:rsidRPr="00C46847" w:rsidRDefault="00F45D92" w:rsidP="0009438C">
            <w:pPr>
              <w:spacing w:line="480" w:lineRule="auto"/>
              <w:rPr>
                <w:sz w:val="18"/>
                <w:szCs w:val="18"/>
              </w:rPr>
            </w:pPr>
            <w:r w:rsidRPr="00C46847">
              <w:rPr>
                <w:sz w:val="18"/>
                <w:szCs w:val="18"/>
              </w:rPr>
              <w:t>0</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84C7FC" w14:textId="77777777" w:rsidR="004171E5" w:rsidRPr="00C46847" w:rsidRDefault="00F45D92" w:rsidP="0009438C">
            <w:pPr>
              <w:spacing w:line="480" w:lineRule="auto"/>
              <w:rPr>
                <w:sz w:val="18"/>
                <w:szCs w:val="18"/>
              </w:rPr>
            </w:pPr>
            <w:r w:rsidRPr="00C46847">
              <w:rPr>
                <w:sz w:val="18"/>
                <w:szCs w:val="18"/>
              </w:rPr>
              <w:t>6</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9156C"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781EA" w14:textId="77777777" w:rsidR="004171E5" w:rsidRPr="00C46847" w:rsidRDefault="004171E5" w:rsidP="0009438C">
            <w:pPr>
              <w:spacing w:line="480" w:lineRule="auto"/>
              <w:rPr>
                <w:b/>
                <w:bCs/>
                <w:sz w:val="18"/>
                <w:szCs w:val="18"/>
              </w:rPr>
            </w:pPr>
          </w:p>
        </w:tc>
      </w:tr>
      <w:tr w:rsidR="00464EAF" w14:paraId="14EDD2E6"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586766" w14:textId="77777777" w:rsidR="004171E5" w:rsidRPr="00C46847" w:rsidRDefault="00F45D92" w:rsidP="0009438C">
            <w:pPr>
              <w:spacing w:line="480" w:lineRule="auto"/>
              <w:rPr>
                <w:sz w:val="18"/>
                <w:szCs w:val="18"/>
              </w:rPr>
            </w:pPr>
            <w:r w:rsidRPr="00C46847">
              <w:rPr>
                <w:sz w:val="18"/>
                <w:szCs w:val="18"/>
              </w:rPr>
              <w:t>Nil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83794A" w14:textId="77777777" w:rsidR="004171E5" w:rsidRPr="00C46847" w:rsidRDefault="00F45D92" w:rsidP="0009438C">
            <w:pPr>
              <w:spacing w:line="480" w:lineRule="auto"/>
              <w:rPr>
                <w:sz w:val="18"/>
                <w:szCs w:val="18"/>
              </w:rPr>
            </w:pPr>
            <w:r w:rsidRPr="00C46847">
              <w:rPr>
                <w:sz w:val="18"/>
                <w:szCs w:val="18"/>
              </w:rPr>
              <w:t>3</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D0DF6D" w14:textId="77777777" w:rsidR="004171E5" w:rsidRPr="00C46847" w:rsidRDefault="00F45D92" w:rsidP="0009438C">
            <w:pPr>
              <w:spacing w:line="480" w:lineRule="auto"/>
              <w:rPr>
                <w:sz w:val="18"/>
                <w:szCs w:val="18"/>
              </w:rPr>
            </w:pPr>
            <w:r w:rsidRPr="00C46847">
              <w:rPr>
                <w:sz w:val="18"/>
                <w:szCs w:val="18"/>
              </w:rPr>
              <w:t>5</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846BD" w14:textId="77777777" w:rsidR="004171E5" w:rsidRPr="00C46847" w:rsidRDefault="00F45D92" w:rsidP="0009438C">
            <w:pPr>
              <w:spacing w:line="480" w:lineRule="auto"/>
              <w:rPr>
                <w:sz w:val="18"/>
                <w:szCs w:val="18"/>
              </w:rPr>
            </w:pPr>
            <w:r w:rsidRPr="00C46847">
              <w:rPr>
                <w:sz w:val="18"/>
                <w:szCs w:val="18"/>
              </w:rPr>
              <w:t>6</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EC14F" w14:textId="77777777" w:rsidR="004171E5" w:rsidRPr="00C46847" w:rsidRDefault="00F45D92" w:rsidP="0009438C">
            <w:pPr>
              <w:spacing w:line="480" w:lineRule="auto"/>
              <w:rPr>
                <w:sz w:val="18"/>
                <w:szCs w:val="18"/>
              </w:rPr>
            </w:pPr>
            <w:r w:rsidRPr="00C46847">
              <w:rPr>
                <w:sz w:val="18"/>
                <w:szCs w:val="18"/>
              </w:rPr>
              <w:t>14</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AEF42"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97EAF" w14:textId="77777777" w:rsidR="004171E5" w:rsidRPr="00C46847" w:rsidRDefault="004171E5" w:rsidP="0009438C">
            <w:pPr>
              <w:spacing w:line="480" w:lineRule="auto"/>
              <w:rPr>
                <w:b/>
                <w:bCs/>
                <w:sz w:val="18"/>
                <w:szCs w:val="18"/>
              </w:rPr>
            </w:pPr>
          </w:p>
        </w:tc>
      </w:tr>
      <w:tr w:rsidR="00464EAF" w14:paraId="3AC908BE"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0746F" w14:textId="77777777" w:rsidR="004171E5" w:rsidRPr="00C46847" w:rsidRDefault="00F45D92" w:rsidP="0009438C">
            <w:pPr>
              <w:spacing w:line="480" w:lineRule="auto"/>
              <w:rPr>
                <w:sz w:val="18"/>
                <w:szCs w:val="18"/>
              </w:rPr>
            </w:pPr>
            <w:r w:rsidRPr="00C46847">
              <w:rPr>
                <w:sz w:val="18"/>
                <w:szCs w:val="18"/>
              </w:rPr>
              <w:t>Fail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3F869D" w14:textId="77777777" w:rsidR="004171E5" w:rsidRPr="00C46847" w:rsidRDefault="00F45D92" w:rsidP="0009438C">
            <w:pPr>
              <w:spacing w:line="480" w:lineRule="auto"/>
              <w:rPr>
                <w:sz w:val="18"/>
                <w:szCs w:val="18"/>
              </w:rPr>
            </w:pPr>
            <w:r w:rsidRPr="00C46847">
              <w:rPr>
                <w:sz w:val="18"/>
                <w:szCs w:val="18"/>
              </w:rPr>
              <w:t>3</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1C0909" w14:textId="77777777" w:rsidR="004171E5" w:rsidRPr="00C46847" w:rsidRDefault="00F45D92" w:rsidP="0009438C">
            <w:pPr>
              <w:spacing w:line="480" w:lineRule="auto"/>
              <w:rPr>
                <w:sz w:val="18"/>
                <w:szCs w:val="18"/>
              </w:rPr>
            </w:pPr>
            <w:r w:rsidRPr="00C46847">
              <w:rPr>
                <w:sz w:val="18"/>
                <w:szCs w:val="18"/>
              </w:rPr>
              <w:t>2</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935A22" w14:textId="77777777" w:rsidR="004171E5" w:rsidRPr="00C46847" w:rsidRDefault="00F45D92" w:rsidP="0009438C">
            <w:pPr>
              <w:spacing w:line="480" w:lineRule="auto"/>
              <w:rPr>
                <w:sz w:val="18"/>
                <w:szCs w:val="18"/>
              </w:rPr>
            </w:pPr>
            <w:r w:rsidRPr="00C46847">
              <w:rPr>
                <w:sz w:val="18"/>
                <w:szCs w:val="18"/>
              </w:rPr>
              <w:t>4</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F5CF94" w14:textId="77777777" w:rsidR="004171E5" w:rsidRPr="00C46847" w:rsidRDefault="00F45D92" w:rsidP="0009438C">
            <w:pPr>
              <w:spacing w:line="480" w:lineRule="auto"/>
              <w:rPr>
                <w:sz w:val="18"/>
                <w:szCs w:val="18"/>
              </w:rPr>
            </w:pPr>
            <w:r w:rsidRPr="00C46847">
              <w:rPr>
                <w:sz w:val="18"/>
                <w:szCs w:val="18"/>
              </w:rPr>
              <w:t>9</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912BE"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0E2C9" w14:textId="77777777" w:rsidR="004171E5" w:rsidRPr="00C46847" w:rsidRDefault="004171E5" w:rsidP="0009438C">
            <w:pPr>
              <w:spacing w:line="480" w:lineRule="auto"/>
              <w:rPr>
                <w:b/>
                <w:bCs/>
                <w:sz w:val="18"/>
                <w:szCs w:val="18"/>
              </w:rPr>
            </w:pPr>
          </w:p>
        </w:tc>
      </w:tr>
      <w:tr w:rsidR="00464EAF" w14:paraId="56315BE9"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1450D" w14:textId="77777777" w:rsidR="004171E5" w:rsidRPr="00C46847" w:rsidRDefault="00F45D92" w:rsidP="0009438C">
            <w:pPr>
              <w:spacing w:line="480" w:lineRule="auto"/>
              <w:rPr>
                <w:sz w:val="18"/>
                <w:szCs w:val="18"/>
              </w:rPr>
            </w:pPr>
            <w:r w:rsidRPr="00C46847">
              <w:rPr>
                <w:sz w:val="18"/>
                <w:szCs w:val="18"/>
              </w:rPr>
              <w:t>Withdrawn</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2F05F" w14:textId="77777777" w:rsidR="004171E5" w:rsidRPr="00C46847" w:rsidRDefault="00F45D92" w:rsidP="0009438C">
            <w:pPr>
              <w:spacing w:line="480" w:lineRule="auto"/>
              <w:rPr>
                <w:sz w:val="18"/>
                <w:szCs w:val="18"/>
              </w:rPr>
            </w:pPr>
            <w:r w:rsidRPr="00C46847">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EC2E86" w14:textId="77777777" w:rsidR="004171E5" w:rsidRPr="00C46847" w:rsidRDefault="00F45D92" w:rsidP="0009438C">
            <w:pPr>
              <w:spacing w:line="480" w:lineRule="auto"/>
              <w:rPr>
                <w:sz w:val="18"/>
                <w:szCs w:val="18"/>
              </w:rPr>
            </w:pPr>
            <w:r w:rsidRPr="00C46847">
              <w:rPr>
                <w:sz w:val="18"/>
                <w:szCs w:val="18"/>
              </w:rPr>
              <w:t>4</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C1A57D" w14:textId="77777777" w:rsidR="004171E5" w:rsidRPr="00C46847" w:rsidRDefault="00F45D92" w:rsidP="0009438C">
            <w:pPr>
              <w:spacing w:line="480" w:lineRule="auto"/>
              <w:rPr>
                <w:sz w:val="18"/>
                <w:szCs w:val="18"/>
              </w:rPr>
            </w:pPr>
            <w:r w:rsidRPr="00C46847">
              <w:rPr>
                <w:sz w:val="18"/>
                <w:szCs w:val="18"/>
              </w:rPr>
              <w:t>0</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6B24E" w14:textId="77777777" w:rsidR="004171E5" w:rsidRPr="00C46847" w:rsidRDefault="00F45D92" w:rsidP="0009438C">
            <w:pPr>
              <w:spacing w:line="480" w:lineRule="auto"/>
              <w:rPr>
                <w:sz w:val="18"/>
                <w:szCs w:val="18"/>
              </w:rPr>
            </w:pPr>
            <w:r w:rsidRPr="00C46847">
              <w:rPr>
                <w:sz w:val="18"/>
                <w:szCs w:val="18"/>
              </w:rPr>
              <w:t>4</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234AF3"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F4CC7" w14:textId="77777777" w:rsidR="004171E5" w:rsidRPr="00C46847" w:rsidRDefault="004171E5" w:rsidP="0009438C">
            <w:pPr>
              <w:spacing w:line="480" w:lineRule="auto"/>
              <w:rPr>
                <w:b/>
                <w:bCs/>
                <w:sz w:val="18"/>
                <w:szCs w:val="18"/>
              </w:rPr>
            </w:pPr>
          </w:p>
        </w:tc>
      </w:tr>
      <w:tr w:rsidR="00464EAF" w14:paraId="7B178686" w14:textId="77777777" w:rsidTr="00BB159C">
        <w:trPr>
          <w:trHeight w:val="227"/>
        </w:trPr>
        <w:tc>
          <w:tcPr>
            <w:tcW w:w="1467" w:type="pct"/>
            <w:tcBorders>
              <w:top w:val="single" w:sz="4" w:space="0" w:color="000000" w:themeColor="text1"/>
              <w:left w:val="single" w:sz="4" w:space="0" w:color="000000" w:themeColor="text1"/>
              <w:bottom w:val="single" w:sz="4" w:space="0" w:color="auto"/>
              <w:right w:val="single" w:sz="4" w:space="0" w:color="auto"/>
            </w:tcBorders>
            <w:hideMark/>
          </w:tcPr>
          <w:p w14:paraId="3E9FEFE2" w14:textId="77777777" w:rsidR="004171E5" w:rsidRPr="00C46847" w:rsidRDefault="00F45D92" w:rsidP="0009438C">
            <w:pPr>
              <w:spacing w:line="480" w:lineRule="auto"/>
              <w:rPr>
                <w:sz w:val="18"/>
                <w:szCs w:val="18"/>
              </w:rPr>
            </w:pPr>
            <w:r w:rsidRPr="00C46847">
              <w:rPr>
                <w:sz w:val="18"/>
                <w:szCs w:val="18"/>
              </w:rPr>
              <w:t>Proportion Successful Treatments</w:t>
            </w:r>
          </w:p>
        </w:tc>
        <w:tc>
          <w:tcPr>
            <w:tcW w:w="702" w:type="pct"/>
            <w:tcBorders>
              <w:top w:val="single" w:sz="4" w:space="0" w:color="000000" w:themeColor="text1"/>
              <w:left w:val="single" w:sz="4" w:space="0" w:color="auto"/>
              <w:bottom w:val="single" w:sz="4" w:space="0" w:color="auto"/>
              <w:right w:val="single" w:sz="4" w:space="0" w:color="auto"/>
            </w:tcBorders>
            <w:hideMark/>
          </w:tcPr>
          <w:p w14:paraId="18C27CB5" w14:textId="77777777" w:rsidR="004171E5" w:rsidRPr="00C46847" w:rsidRDefault="00F45D92" w:rsidP="0009438C">
            <w:pPr>
              <w:spacing w:line="480" w:lineRule="auto"/>
              <w:rPr>
                <w:sz w:val="18"/>
                <w:szCs w:val="18"/>
              </w:rPr>
            </w:pPr>
            <w:r w:rsidRPr="00C46847">
              <w:rPr>
                <w:sz w:val="18"/>
                <w:szCs w:val="18"/>
              </w:rPr>
              <w:t>50.0% *</w:t>
            </w:r>
          </w:p>
        </w:tc>
        <w:tc>
          <w:tcPr>
            <w:tcW w:w="561" w:type="pct"/>
            <w:tcBorders>
              <w:top w:val="single" w:sz="4" w:space="0" w:color="000000" w:themeColor="text1"/>
              <w:left w:val="single" w:sz="4" w:space="0" w:color="auto"/>
              <w:bottom w:val="single" w:sz="4" w:space="0" w:color="auto"/>
              <w:right w:val="single" w:sz="4" w:space="0" w:color="auto"/>
            </w:tcBorders>
            <w:hideMark/>
          </w:tcPr>
          <w:p w14:paraId="7836E9CB" w14:textId="77777777" w:rsidR="004171E5" w:rsidRPr="00C46847" w:rsidRDefault="00F45D92" w:rsidP="0009438C">
            <w:pPr>
              <w:spacing w:line="480" w:lineRule="auto"/>
              <w:rPr>
                <w:sz w:val="18"/>
                <w:szCs w:val="18"/>
              </w:rPr>
            </w:pPr>
            <w:r w:rsidRPr="00C46847">
              <w:rPr>
                <w:sz w:val="18"/>
                <w:szCs w:val="18"/>
              </w:rPr>
              <w:t>0.0%</w:t>
            </w:r>
          </w:p>
        </w:tc>
        <w:tc>
          <w:tcPr>
            <w:tcW w:w="423" w:type="pct"/>
            <w:tcBorders>
              <w:top w:val="single" w:sz="4" w:space="0" w:color="000000" w:themeColor="text1"/>
              <w:left w:val="single" w:sz="4" w:space="0" w:color="auto"/>
              <w:bottom w:val="single" w:sz="4" w:space="0" w:color="auto"/>
              <w:right w:val="single" w:sz="4" w:space="0" w:color="auto"/>
            </w:tcBorders>
            <w:hideMark/>
          </w:tcPr>
          <w:p w14:paraId="6DB3F9DE" w14:textId="77777777" w:rsidR="004171E5" w:rsidRPr="00C46847" w:rsidRDefault="00F45D92" w:rsidP="0009438C">
            <w:pPr>
              <w:spacing w:line="480" w:lineRule="auto"/>
              <w:rPr>
                <w:sz w:val="18"/>
                <w:szCs w:val="18"/>
              </w:rPr>
            </w:pPr>
            <w:r w:rsidRPr="00C46847">
              <w:rPr>
                <w:sz w:val="18"/>
                <w:szCs w:val="18"/>
              </w:rPr>
              <w:t>0.0%</w:t>
            </w:r>
          </w:p>
        </w:tc>
        <w:tc>
          <w:tcPr>
            <w:tcW w:w="381" w:type="pct"/>
            <w:tcBorders>
              <w:top w:val="single" w:sz="4" w:space="0" w:color="000000" w:themeColor="text1"/>
              <w:left w:val="single" w:sz="4" w:space="0" w:color="auto"/>
              <w:bottom w:val="single" w:sz="4" w:space="0" w:color="auto"/>
              <w:right w:val="single" w:sz="4" w:space="0" w:color="auto"/>
            </w:tcBorders>
          </w:tcPr>
          <w:p w14:paraId="2C85B3DC" w14:textId="77777777" w:rsidR="004171E5" w:rsidRPr="00C46847" w:rsidRDefault="004171E5" w:rsidP="0009438C">
            <w:pPr>
              <w:spacing w:line="480" w:lineRule="auto"/>
              <w:rPr>
                <w:i/>
                <w:sz w:val="18"/>
                <w:szCs w:val="18"/>
              </w:rPr>
            </w:pPr>
          </w:p>
        </w:tc>
        <w:tc>
          <w:tcPr>
            <w:tcW w:w="984" w:type="pct"/>
            <w:tcBorders>
              <w:top w:val="single" w:sz="4" w:space="0" w:color="000000" w:themeColor="text1"/>
              <w:left w:val="single" w:sz="4" w:space="0" w:color="auto"/>
              <w:bottom w:val="single" w:sz="4" w:space="0" w:color="auto"/>
              <w:right w:val="single" w:sz="4" w:space="0" w:color="auto"/>
            </w:tcBorders>
            <w:hideMark/>
          </w:tcPr>
          <w:p w14:paraId="2051BC4A" w14:textId="77777777" w:rsidR="004171E5" w:rsidRPr="00C46847" w:rsidRDefault="00F45D92" w:rsidP="0009438C">
            <w:pPr>
              <w:spacing w:line="480" w:lineRule="auto"/>
              <w:rPr>
                <w:sz w:val="18"/>
                <w:szCs w:val="18"/>
              </w:rPr>
            </w:pPr>
            <w:r w:rsidRPr="00C46847">
              <w:rPr>
                <w:sz w:val="18"/>
                <w:szCs w:val="18"/>
              </w:rPr>
              <w:t>12.83</w:t>
            </w:r>
          </w:p>
        </w:tc>
        <w:tc>
          <w:tcPr>
            <w:tcW w:w="483" w:type="pct"/>
            <w:tcBorders>
              <w:top w:val="single" w:sz="4" w:space="0" w:color="000000" w:themeColor="text1"/>
              <w:left w:val="single" w:sz="4" w:space="0" w:color="auto"/>
              <w:bottom w:val="single" w:sz="4" w:space="0" w:color="auto"/>
              <w:right w:val="single" w:sz="4" w:space="0" w:color="auto"/>
            </w:tcBorders>
            <w:hideMark/>
          </w:tcPr>
          <w:p w14:paraId="7AB133A7" w14:textId="77777777" w:rsidR="004171E5" w:rsidRPr="00C46847" w:rsidRDefault="00F45D92" w:rsidP="0009438C">
            <w:pPr>
              <w:spacing w:line="480" w:lineRule="auto"/>
              <w:rPr>
                <w:b/>
                <w:bCs/>
                <w:sz w:val="18"/>
                <w:szCs w:val="18"/>
              </w:rPr>
            </w:pPr>
            <w:r w:rsidRPr="00C46847">
              <w:rPr>
                <w:b/>
                <w:bCs/>
                <w:sz w:val="18"/>
                <w:szCs w:val="18"/>
              </w:rPr>
              <w:t>0.002</w:t>
            </w:r>
          </w:p>
        </w:tc>
      </w:tr>
      <w:tr w:rsidR="00464EAF" w14:paraId="5C7FEA9F" w14:textId="77777777" w:rsidTr="00E858E8">
        <w:trPr>
          <w:trHeight w:val="227"/>
        </w:trPr>
        <w:tc>
          <w:tcPr>
            <w:tcW w:w="5000" w:type="pct"/>
            <w:gridSpan w:val="7"/>
            <w:tcBorders>
              <w:top w:val="single" w:sz="18" w:space="0" w:color="000000" w:themeColor="text1"/>
              <w:left w:val="single" w:sz="4" w:space="0" w:color="000000" w:themeColor="text1"/>
              <w:bottom w:val="single" w:sz="4" w:space="0" w:color="000000" w:themeColor="text1"/>
              <w:right w:val="nil"/>
            </w:tcBorders>
          </w:tcPr>
          <w:p w14:paraId="5090C26F" w14:textId="77777777" w:rsidR="004171E5" w:rsidRPr="00C46847" w:rsidRDefault="00F45D92" w:rsidP="003232A4">
            <w:pPr>
              <w:spacing w:line="480" w:lineRule="auto"/>
              <w:rPr>
                <w:b/>
                <w:bCs/>
                <w:sz w:val="18"/>
                <w:szCs w:val="18"/>
              </w:rPr>
            </w:pPr>
            <w:r w:rsidRPr="00C46847">
              <w:rPr>
                <w:b/>
                <w:bCs/>
                <w:sz w:val="18"/>
                <w:szCs w:val="18"/>
              </w:rPr>
              <w:t>REACTION TO</w:t>
            </w:r>
            <w:r>
              <w:rPr>
                <w:b/>
                <w:bCs/>
                <w:sz w:val="18"/>
                <w:szCs w:val="18"/>
              </w:rPr>
              <w:t xml:space="preserve"> </w:t>
            </w:r>
            <w:r w:rsidRPr="00C46847">
              <w:rPr>
                <w:b/>
                <w:bCs/>
                <w:sz w:val="18"/>
                <w:szCs w:val="18"/>
              </w:rPr>
              <w:t>FLEXION</w:t>
            </w:r>
          </w:p>
        </w:tc>
      </w:tr>
      <w:tr w:rsidR="00464EAF" w14:paraId="06828212"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58CED9" w14:textId="77777777" w:rsidR="004171E5" w:rsidRPr="00C46847" w:rsidRDefault="00F45D92" w:rsidP="0009438C">
            <w:pPr>
              <w:spacing w:line="480" w:lineRule="auto"/>
              <w:rPr>
                <w:sz w:val="18"/>
                <w:szCs w:val="18"/>
              </w:rPr>
            </w:pPr>
            <w:r w:rsidRPr="00C46847">
              <w:rPr>
                <w:sz w:val="18"/>
                <w:szCs w:val="18"/>
              </w:rPr>
              <w:t>Success</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0422B1" w14:textId="77777777" w:rsidR="004171E5" w:rsidRPr="00C46847" w:rsidRDefault="00F45D92" w:rsidP="0009438C">
            <w:pPr>
              <w:spacing w:line="480" w:lineRule="auto"/>
              <w:rPr>
                <w:sz w:val="18"/>
                <w:szCs w:val="18"/>
              </w:rPr>
            </w:pPr>
            <w:r w:rsidRPr="00C46847">
              <w:rPr>
                <w:sz w:val="18"/>
                <w:szCs w:val="18"/>
              </w:rPr>
              <w:t>6</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39B31" w14:textId="77777777" w:rsidR="004171E5" w:rsidRPr="00C46847" w:rsidRDefault="00F45D92" w:rsidP="0009438C">
            <w:pPr>
              <w:spacing w:line="480" w:lineRule="auto"/>
              <w:rPr>
                <w:sz w:val="18"/>
                <w:szCs w:val="18"/>
              </w:rPr>
            </w:pPr>
            <w:r w:rsidRPr="00C46847">
              <w:rPr>
                <w:sz w:val="18"/>
                <w:szCs w:val="18"/>
              </w:rPr>
              <w:t>1</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559E29" w14:textId="77777777" w:rsidR="004171E5" w:rsidRPr="00C46847" w:rsidRDefault="00F45D92" w:rsidP="0009438C">
            <w:pPr>
              <w:spacing w:line="480" w:lineRule="auto"/>
              <w:rPr>
                <w:sz w:val="18"/>
                <w:szCs w:val="18"/>
              </w:rPr>
            </w:pPr>
            <w:r w:rsidRPr="00C46847">
              <w:rPr>
                <w:sz w:val="18"/>
                <w:szCs w:val="18"/>
              </w:rPr>
              <w:t>2</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A1725E" w14:textId="77777777" w:rsidR="004171E5" w:rsidRPr="00C46847" w:rsidRDefault="00F45D92" w:rsidP="0009438C">
            <w:pPr>
              <w:spacing w:line="480" w:lineRule="auto"/>
              <w:rPr>
                <w:sz w:val="18"/>
                <w:szCs w:val="18"/>
              </w:rPr>
            </w:pPr>
            <w:r w:rsidRPr="00C46847">
              <w:rPr>
                <w:sz w:val="18"/>
                <w:szCs w:val="18"/>
              </w:rPr>
              <w:t>9</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D7A81"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19875" w14:textId="77777777" w:rsidR="004171E5" w:rsidRPr="00C46847" w:rsidRDefault="004171E5" w:rsidP="0009438C">
            <w:pPr>
              <w:spacing w:line="480" w:lineRule="auto"/>
              <w:rPr>
                <w:b/>
                <w:bCs/>
                <w:sz w:val="18"/>
                <w:szCs w:val="18"/>
              </w:rPr>
            </w:pPr>
          </w:p>
        </w:tc>
      </w:tr>
      <w:tr w:rsidR="00464EAF" w14:paraId="047E89CC"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C49D8B" w14:textId="77777777" w:rsidR="004171E5" w:rsidRPr="00C46847" w:rsidRDefault="00F45D92" w:rsidP="0009438C">
            <w:pPr>
              <w:spacing w:line="480" w:lineRule="auto"/>
              <w:rPr>
                <w:sz w:val="18"/>
                <w:szCs w:val="18"/>
              </w:rPr>
            </w:pPr>
            <w:r w:rsidRPr="00C46847">
              <w:rPr>
                <w:sz w:val="18"/>
                <w:szCs w:val="18"/>
              </w:rPr>
              <w:t>Nil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DCC663" w14:textId="77777777" w:rsidR="004171E5" w:rsidRPr="00C46847" w:rsidRDefault="00F45D92" w:rsidP="0009438C">
            <w:pPr>
              <w:spacing w:line="480" w:lineRule="auto"/>
              <w:rPr>
                <w:sz w:val="18"/>
                <w:szCs w:val="18"/>
              </w:rPr>
            </w:pPr>
            <w:r w:rsidRPr="00C46847">
              <w:rPr>
                <w:sz w:val="18"/>
                <w:szCs w:val="18"/>
              </w:rPr>
              <w:t>4</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B399E9" w14:textId="77777777" w:rsidR="004171E5" w:rsidRPr="00C46847" w:rsidRDefault="00F45D92" w:rsidP="0009438C">
            <w:pPr>
              <w:spacing w:line="480" w:lineRule="auto"/>
              <w:rPr>
                <w:sz w:val="18"/>
                <w:szCs w:val="18"/>
              </w:rPr>
            </w:pPr>
            <w:r w:rsidRPr="00C46847">
              <w:rPr>
                <w:sz w:val="18"/>
                <w:szCs w:val="18"/>
              </w:rPr>
              <w:t>3</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24403D" w14:textId="77777777" w:rsidR="004171E5" w:rsidRPr="00C46847" w:rsidRDefault="00F45D92" w:rsidP="0009438C">
            <w:pPr>
              <w:spacing w:line="480" w:lineRule="auto"/>
              <w:rPr>
                <w:sz w:val="18"/>
                <w:szCs w:val="18"/>
              </w:rPr>
            </w:pPr>
            <w:r w:rsidRPr="00C46847">
              <w:rPr>
                <w:sz w:val="18"/>
                <w:szCs w:val="18"/>
              </w:rPr>
              <w:t>6</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C1074D" w14:textId="77777777" w:rsidR="004171E5" w:rsidRPr="00C46847" w:rsidRDefault="00F45D92" w:rsidP="0009438C">
            <w:pPr>
              <w:spacing w:line="480" w:lineRule="auto"/>
              <w:rPr>
                <w:sz w:val="18"/>
                <w:szCs w:val="18"/>
              </w:rPr>
            </w:pPr>
            <w:r w:rsidRPr="00C46847">
              <w:rPr>
                <w:sz w:val="18"/>
                <w:szCs w:val="18"/>
              </w:rPr>
              <w:t>13</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1F615"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A5227" w14:textId="77777777" w:rsidR="004171E5" w:rsidRPr="00C46847" w:rsidRDefault="004171E5" w:rsidP="0009438C">
            <w:pPr>
              <w:spacing w:line="480" w:lineRule="auto"/>
              <w:rPr>
                <w:b/>
                <w:bCs/>
                <w:sz w:val="18"/>
                <w:szCs w:val="18"/>
              </w:rPr>
            </w:pPr>
          </w:p>
        </w:tc>
      </w:tr>
      <w:tr w:rsidR="00464EAF" w14:paraId="22BF4968"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7912AE" w14:textId="77777777" w:rsidR="004171E5" w:rsidRPr="00C46847" w:rsidRDefault="00F45D92" w:rsidP="0009438C">
            <w:pPr>
              <w:spacing w:line="480" w:lineRule="auto"/>
              <w:rPr>
                <w:sz w:val="18"/>
                <w:szCs w:val="18"/>
              </w:rPr>
            </w:pPr>
            <w:r w:rsidRPr="00C46847">
              <w:rPr>
                <w:sz w:val="18"/>
                <w:szCs w:val="18"/>
              </w:rPr>
              <w:t>Fail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CE6033" w14:textId="77777777" w:rsidR="004171E5" w:rsidRPr="00C46847" w:rsidRDefault="00F45D92" w:rsidP="0009438C">
            <w:pPr>
              <w:spacing w:line="480" w:lineRule="auto"/>
              <w:rPr>
                <w:sz w:val="18"/>
                <w:szCs w:val="18"/>
              </w:rPr>
            </w:pPr>
            <w:r w:rsidRPr="00C46847">
              <w:rPr>
                <w:sz w:val="18"/>
                <w:szCs w:val="18"/>
              </w:rPr>
              <w:t>2</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4D46D6" w14:textId="77777777" w:rsidR="004171E5" w:rsidRPr="00C46847" w:rsidRDefault="00F45D92" w:rsidP="0009438C">
            <w:pPr>
              <w:spacing w:line="480" w:lineRule="auto"/>
              <w:rPr>
                <w:sz w:val="18"/>
                <w:szCs w:val="18"/>
              </w:rPr>
            </w:pPr>
            <w:r w:rsidRPr="00C46847">
              <w:rPr>
                <w:sz w:val="18"/>
                <w:szCs w:val="18"/>
              </w:rPr>
              <w:t>3</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3766E" w14:textId="77777777" w:rsidR="004171E5" w:rsidRPr="00C46847" w:rsidRDefault="00F45D92" w:rsidP="0009438C">
            <w:pPr>
              <w:spacing w:line="480" w:lineRule="auto"/>
              <w:rPr>
                <w:sz w:val="18"/>
                <w:szCs w:val="18"/>
              </w:rPr>
            </w:pPr>
            <w:r w:rsidRPr="00C46847">
              <w:rPr>
                <w:sz w:val="18"/>
                <w:szCs w:val="18"/>
              </w:rPr>
              <w:t>2</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32903" w14:textId="77777777" w:rsidR="004171E5" w:rsidRPr="00C46847" w:rsidRDefault="00F45D92" w:rsidP="0009438C">
            <w:pPr>
              <w:spacing w:line="480" w:lineRule="auto"/>
              <w:rPr>
                <w:sz w:val="18"/>
                <w:szCs w:val="18"/>
              </w:rPr>
            </w:pPr>
            <w:r w:rsidRPr="00C46847">
              <w:rPr>
                <w:sz w:val="18"/>
                <w:szCs w:val="18"/>
              </w:rPr>
              <w:t>7</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923C5"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E0194" w14:textId="77777777" w:rsidR="004171E5" w:rsidRPr="00C46847" w:rsidRDefault="004171E5" w:rsidP="0009438C">
            <w:pPr>
              <w:spacing w:line="480" w:lineRule="auto"/>
              <w:rPr>
                <w:b/>
                <w:bCs/>
                <w:sz w:val="18"/>
                <w:szCs w:val="18"/>
              </w:rPr>
            </w:pPr>
          </w:p>
        </w:tc>
      </w:tr>
      <w:tr w:rsidR="00464EAF" w14:paraId="125768B7" w14:textId="77777777" w:rsidTr="00BB159C">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6FEEEE" w14:textId="77777777" w:rsidR="004171E5" w:rsidRPr="00C46847" w:rsidRDefault="00F45D92" w:rsidP="0009438C">
            <w:pPr>
              <w:spacing w:line="480" w:lineRule="auto"/>
              <w:rPr>
                <w:sz w:val="18"/>
                <w:szCs w:val="18"/>
              </w:rPr>
            </w:pPr>
            <w:r w:rsidRPr="00C46847">
              <w:rPr>
                <w:sz w:val="18"/>
                <w:szCs w:val="18"/>
              </w:rPr>
              <w:t>Withdrawn</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2DEA44" w14:textId="77777777" w:rsidR="004171E5" w:rsidRPr="00C46847" w:rsidRDefault="00F45D92" w:rsidP="0009438C">
            <w:pPr>
              <w:spacing w:line="480" w:lineRule="auto"/>
              <w:rPr>
                <w:sz w:val="18"/>
                <w:szCs w:val="18"/>
              </w:rPr>
            </w:pPr>
            <w:r w:rsidRPr="00C46847">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810953" w14:textId="77777777" w:rsidR="004171E5" w:rsidRPr="00C46847" w:rsidRDefault="00F45D92" w:rsidP="0009438C">
            <w:pPr>
              <w:spacing w:line="480" w:lineRule="auto"/>
              <w:rPr>
                <w:sz w:val="18"/>
                <w:szCs w:val="18"/>
              </w:rPr>
            </w:pPr>
            <w:r w:rsidRPr="00C46847">
              <w:rPr>
                <w:sz w:val="18"/>
                <w:szCs w:val="18"/>
              </w:rPr>
              <w:t>4</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4F67BB" w14:textId="77777777" w:rsidR="004171E5" w:rsidRPr="00C46847" w:rsidRDefault="00F45D92" w:rsidP="0009438C">
            <w:pPr>
              <w:spacing w:line="480" w:lineRule="auto"/>
              <w:rPr>
                <w:sz w:val="18"/>
                <w:szCs w:val="18"/>
              </w:rPr>
            </w:pPr>
            <w:r w:rsidRPr="00C46847">
              <w:rPr>
                <w:sz w:val="18"/>
                <w:szCs w:val="18"/>
              </w:rPr>
              <w:t>0</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B3BB7" w14:textId="77777777" w:rsidR="004171E5" w:rsidRPr="00C46847" w:rsidRDefault="00F45D92" w:rsidP="0009438C">
            <w:pPr>
              <w:spacing w:line="480" w:lineRule="auto"/>
              <w:rPr>
                <w:sz w:val="18"/>
                <w:szCs w:val="18"/>
              </w:rPr>
            </w:pPr>
            <w:r w:rsidRPr="00C46847">
              <w:rPr>
                <w:sz w:val="18"/>
                <w:szCs w:val="18"/>
              </w:rPr>
              <w:t>4</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9999" w14:textId="77777777" w:rsidR="004171E5" w:rsidRPr="00C46847" w:rsidRDefault="004171E5" w:rsidP="0009438C">
            <w:pPr>
              <w:spacing w:line="480" w:lineRule="auto"/>
              <w:rPr>
                <w:sz w:val="18"/>
                <w:szCs w:val="18"/>
              </w:rPr>
            </w:pPr>
          </w:p>
        </w:tc>
        <w:tc>
          <w:tcPr>
            <w:tcW w:w="4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74C50" w14:textId="77777777" w:rsidR="004171E5" w:rsidRPr="00C46847" w:rsidRDefault="004171E5" w:rsidP="0009438C">
            <w:pPr>
              <w:spacing w:line="480" w:lineRule="auto"/>
              <w:rPr>
                <w:b/>
                <w:bCs/>
                <w:sz w:val="18"/>
                <w:szCs w:val="18"/>
              </w:rPr>
            </w:pPr>
          </w:p>
        </w:tc>
      </w:tr>
      <w:tr w:rsidR="00464EAF" w14:paraId="39F1DB33" w14:textId="77777777" w:rsidTr="00BB159C">
        <w:trPr>
          <w:trHeight w:val="227"/>
        </w:trPr>
        <w:tc>
          <w:tcPr>
            <w:tcW w:w="1467" w:type="pct"/>
            <w:tcBorders>
              <w:top w:val="single" w:sz="4" w:space="0" w:color="auto"/>
              <w:left w:val="single" w:sz="4" w:space="0" w:color="auto"/>
              <w:bottom w:val="single" w:sz="4" w:space="0" w:color="auto"/>
              <w:right w:val="single" w:sz="4" w:space="0" w:color="auto"/>
            </w:tcBorders>
            <w:hideMark/>
          </w:tcPr>
          <w:p w14:paraId="3E58EB2E" w14:textId="77777777" w:rsidR="004171E5" w:rsidRPr="00C46847" w:rsidRDefault="00F45D92" w:rsidP="0009438C">
            <w:pPr>
              <w:spacing w:line="480" w:lineRule="auto"/>
              <w:rPr>
                <w:sz w:val="18"/>
                <w:szCs w:val="18"/>
              </w:rPr>
            </w:pPr>
            <w:r w:rsidRPr="00C46847">
              <w:rPr>
                <w:sz w:val="18"/>
                <w:szCs w:val="18"/>
              </w:rPr>
              <w:t>Proportion Successful Treatments</w:t>
            </w:r>
          </w:p>
        </w:tc>
        <w:tc>
          <w:tcPr>
            <w:tcW w:w="702" w:type="pct"/>
            <w:tcBorders>
              <w:top w:val="single" w:sz="4" w:space="0" w:color="auto"/>
              <w:left w:val="single" w:sz="4" w:space="0" w:color="auto"/>
              <w:bottom w:val="single" w:sz="4" w:space="0" w:color="auto"/>
              <w:right w:val="single" w:sz="4" w:space="0" w:color="auto"/>
            </w:tcBorders>
            <w:hideMark/>
          </w:tcPr>
          <w:p w14:paraId="74430E1D" w14:textId="77777777" w:rsidR="004171E5" w:rsidRPr="00C46847" w:rsidRDefault="00F45D92" w:rsidP="0009438C">
            <w:pPr>
              <w:spacing w:line="480" w:lineRule="auto"/>
              <w:rPr>
                <w:sz w:val="18"/>
                <w:szCs w:val="18"/>
              </w:rPr>
            </w:pPr>
            <w:r w:rsidRPr="00C46847">
              <w:rPr>
                <w:sz w:val="18"/>
                <w:szCs w:val="18"/>
              </w:rPr>
              <w:t>50.0%</w:t>
            </w:r>
          </w:p>
        </w:tc>
        <w:tc>
          <w:tcPr>
            <w:tcW w:w="561" w:type="pct"/>
            <w:tcBorders>
              <w:top w:val="single" w:sz="4" w:space="0" w:color="auto"/>
              <w:left w:val="single" w:sz="4" w:space="0" w:color="auto"/>
              <w:bottom w:val="single" w:sz="4" w:space="0" w:color="auto"/>
              <w:right w:val="single" w:sz="4" w:space="0" w:color="auto"/>
            </w:tcBorders>
            <w:hideMark/>
          </w:tcPr>
          <w:p w14:paraId="4B815689" w14:textId="77777777" w:rsidR="004171E5" w:rsidRPr="00C46847" w:rsidRDefault="00F45D92" w:rsidP="0009438C">
            <w:pPr>
              <w:spacing w:line="480" w:lineRule="auto"/>
              <w:rPr>
                <w:sz w:val="18"/>
                <w:szCs w:val="18"/>
              </w:rPr>
            </w:pPr>
            <w:r w:rsidRPr="00C46847">
              <w:rPr>
                <w:sz w:val="18"/>
                <w:szCs w:val="18"/>
              </w:rPr>
              <w:t>9.1%</w:t>
            </w:r>
          </w:p>
        </w:tc>
        <w:tc>
          <w:tcPr>
            <w:tcW w:w="423" w:type="pct"/>
            <w:tcBorders>
              <w:top w:val="single" w:sz="4" w:space="0" w:color="auto"/>
              <w:left w:val="single" w:sz="4" w:space="0" w:color="auto"/>
              <w:bottom w:val="single" w:sz="4" w:space="0" w:color="auto"/>
              <w:right w:val="single" w:sz="4" w:space="0" w:color="auto"/>
            </w:tcBorders>
            <w:hideMark/>
          </w:tcPr>
          <w:p w14:paraId="3BE1A41B" w14:textId="77777777" w:rsidR="004171E5" w:rsidRPr="00C46847" w:rsidRDefault="00F45D92" w:rsidP="0009438C">
            <w:pPr>
              <w:spacing w:line="480" w:lineRule="auto"/>
              <w:rPr>
                <w:sz w:val="18"/>
                <w:szCs w:val="18"/>
              </w:rPr>
            </w:pPr>
            <w:r w:rsidRPr="00C46847">
              <w:rPr>
                <w:sz w:val="18"/>
                <w:szCs w:val="18"/>
              </w:rPr>
              <w:t>20.0%</w:t>
            </w:r>
          </w:p>
        </w:tc>
        <w:tc>
          <w:tcPr>
            <w:tcW w:w="381" w:type="pct"/>
            <w:tcBorders>
              <w:top w:val="single" w:sz="4" w:space="0" w:color="auto"/>
              <w:left w:val="single" w:sz="4" w:space="0" w:color="auto"/>
              <w:bottom w:val="single" w:sz="4" w:space="0" w:color="auto"/>
              <w:right w:val="single" w:sz="4" w:space="0" w:color="auto"/>
            </w:tcBorders>
          </w:tcPr>
          <w:p w14:paraId="5A616D95" w14:textId="77777777" w:rsidR="004171E5" w:rsidRPr="00C46847" w:rsidRDefault="004171E5" w:rsidP="0009438C">
            <w:pPr>
              <w:spacing w:line="480" w:lineRule="auto"/>
              <w:rPr>
                <w:i/>
                <w:sz w:val="18"/>
                <w:szCs w:val="18"/>
              </w:rPr>
            </w:pPr>
          </w:p>
        </w:tc>
        <w:tc>
          <w:tcPr>
            <w:tcW w:w="984" w:type="pct"/>
            <w:tcBorders>
              <w:top w:val="single" w:sz="4" w:space="0" w:color="auto"/>
              <w:left w:val="single" w:sz="4" w:space="0" w:color="auto"/>
              <w:bottom w:val="single" w:sz="4" w:space="0" w:color="auto"/>
              <w:right w:val="single" w:sz="4" w:space="0" w:color="auto"/>
            </w:tcBorders>
            <w:hideMark/>
          </w:tcPr>
          <w:p w14:paraId="66B5DBCC" w14:textId="77777777" w:rsidR="004171E5" w:rsidRPr="00C46847" w:rsidRDefault="00F45D92" w:rsidP="0009438C">
            <w:pPr>
              <w:spacing w:line="480" w:lineRule="auto"/>
              <w:rPr>
                <w:sz w:val="18"/>
                <w:szCs w:val="18"/>
              </w:rPr>
            </w:pPr>
            <w:r w:rsidRPr="00C46847">
              <w:rPr>
                <w:sz w:val="18"/>
                <w:szCs w:val="18"/>
              </w:rPr>
              <w:t>5.22</w:t>
            </w:r>
          </w:p>
        </w:tc>
        <w:tc>
          <w:tcPr>
            <w:tcW w:w="483" w:type="pct"/>
            <w:tcBorders>
              <w:top w:val="single" w:sz="4" w:space="0" w:color="auto"/>
              <w:left w:val="single" w:sz="4" w:space="0" w:color="auto"/>
              <w:bottom w:val="single" w:sz="4" w:space="0" w:color="auto"/>
              <w:right w:val="single" w:sz="4" w:space="0" w:color="auto"/>
            </w:tcBorders>
            <w:hideMark/>
          </w:tcPr>
          <w:p w14:paraId="69BE05D0" w14:textId="77777777" w:rsidR="004171E5" w:rsidRPr="00C46847" w:rsidRDefault="00F45D92" w:rsidP="0009438C">
            <w:pPr>
              <w:spacing w:line="480" w:lineRule="auto"/>
              <w:rPr>
                <w:bCs/>
                <w:sz w:val="18"/>
                <w:szCs w:val="18"/>
              </w:rPr>
            </w:pPr>
            <w:r w:rsidRPr="00C46847">
              <w:rPr>
                <w:bCs/>
                <w:sz w:val="18"/>
                <w:szCs w:val="18"/>
              </w:rPr>
              <w:t>0.073</w:t>
            </w:r>
          </w:p>
        </w:tc>
      </w:tr>
    </w:tbl>
    <w:p w14:paraId="0E72F6D1" w14:textId="77777777" w:rsidR="004171E5" w:rsidRDefault="00F45D92" w:rsidP="003232A4">
      <w:pPr>
        <w:spacing w:line="480" w:lineRule="auto"/>
        <w:rPr>
          <w:sz w:val="22"/>
          <w:szCs w:val="22"/>
        </w:rPr>
      </w:pPr>
      <w:r>
        <w:rPr>
          <w:sz w:val="22"/>
          <w:szCs w:val="22"/>
        </w:rPr>
        <w:br w:type="page"/>
      </w:r>
    </w:p>
    <w:p w14:paraId="528B45A4" w14:textId="0002DDFE" w:rsidR="00055F68" w:rsidRDefault="00F45D92" w:rsidP="003232A4">
      <w:pPr>
        <w:spacing w:line="480" w:lineRule="auto"/>
        <w:rPr>
          <w:sz w:val="22"/>
          <w:szCs w:val="22"/>
        </w:rPr>
      </w:pPr>
      <w:r w:rsidRPr="00406BC8">
        <w:rPr>
          <w:b/>
          <w:sz w:val="22"/>
          <w:szCs w:val="22"/>
        </w:rPr>
        <w:lastRenderedPageBreak/>
        <w:t>Table 3:</w:t>
      </w:r>
      <w:r>
        <w:rPr>
          <w:sz w:val="22"/>
          <w:szCs w:val="22"/>
        </w:rPr>
        <w:t xml:space="preserve"> (Continued.) Pairwise comparison for success and 95% confidence intervals at</w:t>
      </w:r>
      <w:r w:rsidRPr="00895315">
        <w:rPr>
          <w:sz w:val="22"/>
          <w:szCs w:val="22"/>
        </w:rPr>
        <w:t xml:space="preserve"> </w:t>
      </w:r>
      <w:r>
        <w:rPr>
          <w:sz w:val="22"/>
          <w:szCs w:val="22"/>
        </w:rPr>
        <w:t xml:space="preserve">6-weeks for lameness, effusion, and reaction to </w:t>
      </w:r>
      <w:r w:rsidR="00CF285A">
        <w:rPr>
          <w:sz w:val="22"/>
          <w:szCs w:val="22"/>
        </w:rPr>
        <w:t xml:space="preserve">carpal </w:t>
      </w:r>
      <w:r>
        <w:rPr>
          <w:sz w:val="22"/>
          <w:szCs w:val="22"/>
        </w:rPr>
        <w:t xml:space="preserve">flexion of the joints treated with 2.5% PAAG, TA or HA. Statistical significance indicated by an asterisk(*) when p&lt;0.05 and by a little hat(^) when p&lt;0.1. </w:t>
      </w:r>
    </w:p>
    <w:tbl>
      <w:tblPr>
        <w:tblStyle w:val="Grilledutableau"/>
        <w:tblpPr w:leftFromText="141" w:rightFromText="141" w:vertAnchor="text" w:horzAnchor="margin" w:tblpY="155"/>
        <w:tblW w:w="5000" w:type="pct"/>
        <w:tblLook w:val="04A0" w:firstRow="1" w:lastRow="0" w:firstColumn="1" w:lastColumn="0" w:noHBand="0" w:noVBand="1"/>
      </w:tblPr>
      <w:tblGrid>
        <w:gridCol w:w="1753"/>
        <w:gridCol w:w="1757"/>
        <w:gridCol w:w="1171"/>
        <w:gridCol w:w="1171"/>
        <w:gridCol w:w="1317"/>
        <w:gridCol w:w="1319"/>
      </w:tblGrid>
      <w:tr w:rsidR="00464EAF" w14:paraId="70344FF4" w14:textId="77777777" w:rsidTr="00E858E8">
        <w:trPr>
          <w:trHeight w:val="227"/>
        </w:trPr>
        <w:tc>
          <w:tcPr>
            <w:tcW w:w="1032"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43FB8D41" w14:textId="77777777" w:rsidR="00055F68" w:rsidRPr="00C46847" w:rsidRDefault="00F45D92" w:rsidP="0009438C">
            <w:pPr>
              <w:spacing w:line="480" w:lineRule="auto"/>
              <w:rPr>
                <w:b/>
                <w:sz w:val="18"/>
                <w:szCs w:val="18"/>
              </w:rPr>
            </w:pPr>
            <w:r w:rsidRPr="00C46847">
              <w:rPr>
                <w:b/>
                <w:sz w:val="18"/>
                <w:szCs w:val="18"/>
              </w:rPr>
              <w:t>Pairwise Comparisons</w:t>
            </w:r>
          </w:p>
          <w:p w14:paraId="2466C6F0" w14:textId="77777777" w:rsidR="00055F68" w:rsidRPr="00C46847" w:rsidRDefault="00055F68" w:rsidP="0009438C">
            <w:pPr>
              <w:spacing w:line="480" w:lineRule="auto"/>
              <w:rPr>
                <w:b/>
                <w:sz w:val="18"/>
                <w:szCs w:val="18"/>
              </w:rPr>
            </w:pPr>
          </w:p>
        </w:tc>
        <w:tc>
          <w:tcPr>
            <w:tcW w:w="1035"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15EAB43D" w14:textId="77777777" w:rsidR="00055F68" w:rsidRPr="00C46847" w:rsidRDefault="00F45D92" w:rsidP="0009438C">
            <w:pPr>
              <w:spacing w:line="480" w:lineRule="auto"/>
              <w:rPr>
                <w:b/>
                <w:bCs/>
                <w:sz w:val="18"/>
                <w:szCs w:val="18"/>
              </w:rPr>
            </w:pPr>
            <w:r w:rsidRPr="00C46847">
              <w:rPr>
                <w:b/>
                <w:sz w:val="18"/>
                <w:szCs w:val="18"/>
              </w:rPr>
              <w:t>Point Estimate of Difference (%)</w:t>
            </w:r>
          </w:p>
        </w:tc>
        <w:tc>
          <w:tcPr>
            <w:tcW w:w="690"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681153D6" w14:textId="77777777" w:rsidR="00055F68" w:rsidRPr="00C46847" w:rsidRDefault="00F45D92" w:rsidP="0009438C">
            <w:pPr>
              <w:spacing w:line="480" w:lineRule="auto"/>
              <w:rPr>
                <w:b/>
                <w:bCs/>
                <w:sz w:val="18"/>
                <w:szCs w:val="18"/>
              </w:rPr>
            </w:pPr>
            <w:r w:rsidRPr="00C46847">
              <w:rPr>
                <w:b/>
                <w:sz w:val="18"/>
                <w:szCs w:val="18"/>
              </w:rPr>
              <w:t>Lower 95% CI (% Difference)</w:t>
            </w:r>
          </w:p>
        </w:tc>
        <w:tc>
          <w:tcPr>
            <w:tcW w:w="690"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7BCA241C" w14:textId="77777777" w:rsidR="00055F68" w:rsidRPr="00C46847" w:rsidRDefault="00F45D92" w:rsidP="0009438C">
            <w:pPr>
              <w:spacing w:line="480" w:lineRule="auto"/>
              <w:rPr>
                <w:b/>
                <w:bCs/>
                <w:sz w:val="18"/>
                <w:szCs w:val="18"/>
              </w:rPr>
            </w:pPr>
            <w:r w:rsidRPr="00C46847">
              <w:rPr>
                <w:b/>
                <w:sz w:val="18"/>
                <w:szCs w:val="18"/>
              </w:rPr>
              <w:t>Higher 95% CI (% Difference)</w:t>
            </w:r>
          </w:p>
        </w:tc>
        <w:tc>
          <w:tcPr>
            <w:tcW w:w="776"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14D8518B" w14:textId="77777777" w:rsidR="00055F68" w:rsidRPr="00C46847" w:rsidRDefault="00F45D92" w:rsidP="0009438C">
            <w:pPr>
              <w:spacing w:line="480" w:lineRule="auto"/>
              <w:rPr>
                <w:b/>
                <w:sz w:val="18"/>
                <w:szCs w:val="18"/>
              </w:rPr>
            </w:pPr>
            <w:r w:rsidRPr="00C46847">
              <w:rPr>
                <w:b/>
                <w:sz w:val="18"/>
                <w:szCs w:val="18"/>
              </w:rPr>
              <w:t>Chi-Squared Statistic</w:t>
            </w:r>
          </w:p>
        </w:tc>
        <w:tc>
          <w:tcPr>
            <w:tcW w:w="776"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49BCEF47" w14:textId="77777777" w:rsidR="00055F68" w:rsidRPr="00C46847" w:rsidRDefault="00F45D92" w:rsidP="0009438C">
            <w:pPr>
              <w:spacing w:line="480" w:lineRule="auto"/>
              <w:rPr>
                <w:b/>
                <w:sz w:val="18"/>
                <w:szCs w:val="18"/>
              </w:rPr>
            </w:pPr>
            <w:r w:rsidRPr="00C46847">
              <w:rPr>
                <w:b/>
                <w:sz w:val="18"/>
                <w:szCs w:val="18"/>
              </w:rPr>
              <w:t>p-Value</w:t>
            </w:r>
          </w:p>
        </w:tc>
      </w:tr>
      <w:tr w:rsidR="00464EAF" w14:paraId="030B4092" w14:textId="77777777" w:rsidTr="00E858E8">
        <w:trPr>
          <w:trHeight w:val="227"/>
        </w:trPr>
        <w:tc>
          <w:tcPr>
            <w:tcW w:w="1032" w:type="pct"/>
            <w:tcBorders>
              <w:top w:val="single" w:sz="18" w:space="0" w:color="000000" w:themeColor="text1"/>
              <w:left w:val="single" w:sz="4" w:space="0" w:color="000000" w:themeColor="text1"/>
              <w:bottom w:val="single" w:sz="4" w:space="0" w:color="000000" w:themeColor="text1"/>
              <w:right w:val="nil"/>
            </w:tcBorders>
          </w:tcPr>
          <w:p w14:paraId="21EC49B1" w14:textId="77777777" w:rsidR="00055F68" w:rsidRPr="00C46847" w:rsidRDefault="00055F68" w:rsidP="0009438C">
            <w:pPr>
              <w:spacing w:line="480" w:lineRule="auto"/>
              <w:rPr>
                <w:sz w:val="18"/>
                <w:szCs w:val="18"/>
              </w:rPr>
            </w:pPr>
          </w:p>
        </w:tc>
        <w:tc>
          <w:tcPr>
            <w:tcW w:w="1035" w:type="pct"/>
            <w:tcBorders>
              <w:top w:val="single" w:sz="18" w:space="0" w:color="000000" w:themeColor="text1"/>
              <w:left w:val="nil"/>
              <w:bottom w:val="single" w:sz="4" w:space="0" w:color="000000" w:themeColor="text1"/>
              <w:right w:val="nil"/>
            </w:tcBorders>
          </w:tcPr>
          <w:p w14:paraId="00D3BD22" w14:textId="77777777" w:rsidR="00055F68" w:rsidRPr="00C46847" w:rsidRDefault="00055F68" w:rsidP="0009438C">
            <w:pPr>
              <w:spacing w:line="480" w:lineRule="auto"/>
              <w:rPr>
                <w:sz w:val="18"/>
                <w:szCs w:val="18"/>
              </w:rPr>
            </w:pPr>
          </w:p>
        </w:tc>
        <w:tc>
          <w:tcPr>
            <w:tcW w:w="690" w:type="pct"/>
            <w:tcBorders>
              <w:top w:val="single" w:sz="18" w:space="0" w:color="000000" w:themeColor="text1"/>
              <w:left w:val="nil"/>
              <w:bottom w:val="single" w:sz="4" w:space="0" w:color="000000" w:themeColor="text1"/>
              <w:right w:val="nil"/>
            </w:tcBorders>
            <w:hideMark/>
          </w:tcPr>
          <w:p w14:paraId="560B6CCF" w14:textId="77777777" w:rsidR="00055F68" w:rsidRPr="00C46847" w:rsidRDefault="00F45D92" w:rsidP="0009438C">
            <w:pPr>
              <w:spacing w:line="480" w:lineRule="auto"/>
              <w:rPr>
                <w:b/>
                <w:bCs/>
                <w:sz w:val="18"/>
                <w:szCs w:val="18"/>
              </w:rPr>
            </w:pPr>
            <w:r w:rsidRPr="00C46847">
              <w:rPr>
                <w:b/>
                <w:bCs/>
                <w:sz w:val="18"/>
                <w:szCs w:val="18"/>
              </w:rPr>
              <w:t>LAMENESS</w:t>
            </w:r>
          </w:p>
        </w:tc>
        <w:tc>
          <w:tcPr>
            <w:tcW w:w="690" w:type="pct"/>
            <w:tcBorders>
              <w:top w:val="single" w:sz="18" w:space="0" w:color="000000" w:themeColor="text1"/>
              <w:left w:val="nil"/>
              <w:bottom w:val="single" w:sz="4" w:space="0" w:color="000000" w:themeColor="text1"/>
              <w:right w:val="nil"/>
            </w:tcBorders>
          </w:tcPr>
          <w:p w14:paraId="0F5A2888" w14:textId="77777777" w:rsidR="00055F68" w:rsidRPr="00C46847" w:rsidRDefault="00055F68" w:rsidP="0009438C">
            <w:pPr>
              <w:spacing w:line="480" w:lineRule="auto"/>
              <w:rPr>
                <w:sz w:val="18"/>
                <w:szCs w:val="18"/>
              </w:rPr>
            </w:pPr>
          </w:p>
        </w:tc>
        <w:tc>
          <w:tcPr>
            <w:tcW w:w="776" w:type="pct"/>
            <w:tcBorders>
              <w:top w:val="single" w:sz="18" w:space="0" w:color="000000" w:themeColor="text1"/>
              <w:left w:val="nil"/>
              <w:bottom w:val="single" w:sz="4" w:space="0" w:color="000000" w:themeColor="text1"/>
              <w:right w:val="nil"/>
            </w:tcBorders>
          </w:tcPr>
          <w:p w14:paraId="10D1947E" w14:textId="77777777" w:rsidR="00055F68" w:rsidRPr="00C46847" w:rsidRDefault="00055F68" w:rsidP="0009438C">
            <w:pPr>
              <w:spacing w:line="480" w:lineRule="auto"/>
              <w:rPr>
                <w:sz w:val="18"/>
                <w:szCs w:val="18"/>
              </w:rPr>
            </w:pPr>
          </w:p>
        </w:tc>
        <w:tc>
          <w:tcPr>
            <w:tcW w:w="776" w:type="pct"/>
            <w:tcBorders>
              <w:top w:val="single" w:sz="18" w:space="0" w:color="000000" w:themeColor="text1"/>
              <w:left w:val="nil"/>
              <w:bottom w:val="single" w:sz="4" w:space="0" w:color="000000" w:themeColor="text1"/>
              <w:right w:val="single" w:sz="2" w:space="0" w:color="000000" w:themeColor="text1"/>
            </w:tcBorders>
          </w:tcPr>
          <w:p w14:paraId="533A6A42" w14:textId="77777777" w:rsidR="00055F68" w:rsidRPr="00C46847" w:rsidRDefault="00055F68" w:rsidP="0009438C">
            <w:pPr>
              <w:spacing w:line="480" w:lineRule="auto"/>
              <w:rPr>
                <w:sz w:val="18"/>
                <w:szCs w:val="18"/>
              </w:rPr>
            </w:pPr>
          </w:p>
        </w:tc>
      </w:tr>
      <w:tr w:rsidR="00464EAF" w14:paraId="1AE834DD" w14:textId="77777777" w:rsidTr="00E858E8">
        <w:trPr>
          <w:trHeight w:val="227"/>
        </w:trPr>
        <w:tc>
          <w:tcPr>
            <w:tcW w:w="10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B8C54D" w14:textId="77777777" w:rsidR="00055F68" w:rsidRPr="00C46847" w:rsidRDefault="00F45D92" w:rsidP="0009438C">
            <w:pPr>
              <w:spacing w:line="480" w:lineRule="auto"/>
              <w:rPr>
                <w:sz w:val="18"/>
                <w:szCs w:val="18"/>
              </w:rPr>
            </w:pPr>
            <w:r w:rsidRPr="00C46847">
              <w:rPr>
                <w:sz w:val="18"/>
                <w:szCs w:val="18"/>
              </w:rPr>
              <w:t>2.5%PAAG vs TA *</w:t>
            </w:r>
          </w:p>
          <w:p w14:paraId="087617E2" w14:textId="77777777" w:rsidR="00055F68" w:rsidRPr="00C46847" w:rsidRDefault="00055F68" w:rsidP="0009438C">
            <w:pPr>
              <w:spacing w:line="480" w:lineRule="auto"/>
              <w:rPr>
                <w:sz w:val="18"/>
                <w:szCs w:val="18"/>
              </w:rPr>
            </w:pP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EFBB7" w14:textId="77777777" w:rsidR="00055F68" w:rsidRPr="00C46847" w:rsidRDefault="00F45D92" w:rsidP="0009438C">
            <w:pPr>
              <w:spacing w:line="480" w:lineRule="auto"/>
              <w:rPr>
                <w:sz w:val="18"/>
                <w:szCs w:val="18"/>
              </w:rPr>
            </w:pPr>
            <w:r w:rsidRPr="00C46847">
              <w:rPr>
                <w:sz w:val="18"/>
                <w:szCs w:val="18"/>
              </w:rPr>
              <w:t>56.1%</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8B6150" w14:textId="77777777" w:rsidR="00055F68" w:rsidRPr="00C46847" w:rsidRDefault="00F45D92" w:rsidP="0009438C">
            <w:pPr>
              <w:spacing w:line="480" w:lineRule="auto"/>
              <w:rPr>
                <w:sz w:val="18"/>
                <w:szCs w:val="18"/>
              </w:rPr>
            </w:pPr>
            <w:r w:rsidRPr="00C46847">
              <w:rPr>
                <w:sz w:val="18"/>
                <w:szCs w:val="18"/>
              </w:rPr>
              <w:t>22.3%</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211EFD" w14:textId="77777777" w:rsidR="00055F68" w:rsidRPr="00C46847" w:rsidRDefault="00F45D92" w:rsidP="0009438C">
            <w:pPr>
              <w:spacing w:line="480" w:lineRule="auto"/>
              <w:rPr>
                <w:sz w:val="18"/>
                <w:szCs w:val="18"/>
              </w:rPr>
            </w:pPr>
            <w:r w:rsidRPr="00C46847">
              <w:rPr>
                <w:sz w:val="18"/>
                <w:szCs w:val="18"/>
              </w:rPr>
              <w:t>89.8%</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AEC374" w14:textId="77777777" w:rsidR="00055F68" w:rsidRPr="00C46847" w:rsidRDefault="00F45D92" w:rsidP="0009438C">
            <w:pPr>
              <w:spacing w:line="480" w:lineRule="auto"/>
              <w:rPr>
                <w:sz w:val="18"/>
                <w:szCs w:val="18"/>
              </w:rPr>
            </w:pPr>
            <w:r w:rsidRPr="00C46847">
              <w:rPr>
                <w:sz w:val="18"/>
                <w:szCs w:val="18"/>
              </w:rPr>
              <w:t>7.34</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8CF036" w14:textId="77777777" w:rsidR="00055F68" w:rsidRPr="00C46847" w:rsidRDefault="00F45D92" w:rsidP="0009438C">
            <w:pPr>
              <w:spacing w:line="480" w:lineRule="auto"/>
              <w:rPr>
                <w:b/>
                <w:bCs/>
                <w:sz w:val="18"/>
                <w:szCs w:val="18"/>
              </w:rPr>
            </w:pPr>
            <w:r w:rsidRPr="00C46847">
              <w:rPr>
                <w:b/>
                <w:bCs/>
                <w:sz w:val="18"/>
                <w:szCs w:val="18"/>
              </w:rPr>
              <w:t>0.0007</w:t>
            </w:r>
          </w:p>
        </w:tc>
      </w:tr>
      <w:tr w:rsidR="00464EAF" w14:paraId="19A9FA17" w14:textId="77777777" w:rsidTr="00E858E8">
        <w:trPr>
          <w:trHeight w:val="227"/>
        </w:trPr>
        <w:tc>
          <w:tcPr>
            <w:tcW w:w="10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0D5AE" w14:textId="77777777" w:rsidR="00055F68" w:rsidRPr="00C46847" w:rsidRDefault="00F45D92" w:rsidP="0009438C">
            <w:pPr>
              <w:spacing w:line="480" w:lineRule="auto"/>
              <w:rPr>
                <w:sz w:val="18"/>
                <w:szCs w:val="18"/>
              </w:rPr>
            </w:pPr>
            <w:r w:rsidRPr="00C46847">
              <w:rPr>
                <w:sz w:val="18"/>
                <w:szCs w:val="18"/>
              </w:rPr>
              <w:t>2.5%PAAG vs HA *</w:t>
            </w: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52546C" w14:textId="77777777" w:rsidR="00055F68" w:rsidRPr="00C46847" w:rsidRDefault="00F45D92" w:rsidP="0009438C">
            <w:pPr>
              <w:spacing w:line="480" w:lineRule="auto"/>
              <w:rPr>
                <w:sz w:val="18"/>
                <w:szCs w:val="18"/>
              </w:rPr>
            </w:pPr>
            <w:r w:rsidRPr="00C46847">
              <w:rPr>
                <w:sz w:val="18"/>
                <w:szCs w:val="18"/>
              </w:rPr>
              <w:t>43.3%</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D6F67" w14:textId="77777777" w:rsidR="00055F68" w:rsidRPr="00C46847" w:rsidRDefault="00F45D92" w:rsidP="0009438C">
            <w:pPr>
              <w:spacing w:line="480" w:lineRule="auto"/>
              <w:rPr>
                <w:sz w:val="18"/>
                <w:szCs w:val="18"/>
              </w:rPr>
            </w:pPr>
            <w:r w:rsidRPr="00C46847">
              <w:rPr>
                <w:sz w:val="18"/>
                <w:szCs w:val="18"/>
              </w:rPr>
              <w:t>6.4%</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2796CA" w14:textId="77777777" w:rsidR="00055F68" w:rsidRPr="00C46847" w:rsidRDefault="00F45D92" w:rsidP="0009438C">
            <w:pPr>
              <w:spacing w:line="480" w:lineRule="auto"/>
              <w:rPr>
                <w:sz w:val="18"/>
                <w:szCs w:val="18"/>
              </w:rPr>
            </w:pPr>
            <w:r w:rsidRPr="00C46847">
              <w:rPr>
                <w:sz w:val="18"/>
                <w:szCs w:val="18"/>
              </w:rPr>
              <w:t>80.3%</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08B16" w14:textId="77777777" w:rsidR="00055F68" w:rsidRPr="00C46847" w:rsidRDefault="00F45D92" w:rsidP="0009438C">
            <w:pPr>
              <w:spacing w:line="480" w:lineRule="auto"/>
              <w:rPr>
                <w:sz w:val="18"/>
                <w:szCs w:val="18"/>
              </w:rPr>
            </w:pPr>
            <w:r w:rsidRPr="00C46847">
              <w:rPr>
                <w:sz w:val="18"/>
                <w:szCs w:val="18"/>
              </w:rPr>
              <w:t>4.43</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4C4AE" w14:textId="77777777" w:rsidR="00055F68" w:rsidRPr="00C46847" w:rsidRDefault="00F45D92" w:rsidP="0009438C">
            <w:pPr>
              <w:spacing w:line="480" w:lineRule="auto"/>
              <w:rPr>
                <w:b/>
                <w:bCs/>
                <w:sz w:val="18"/>
                <w:szCs w:val="18"/>
              </w:rPr>
            </w:pPr>
            <w:r w:rsidRPr="00C46847">
              <w:rPr>
                <w:b/>
                <w:bCs/>
                <w:sz w:val="18"/>
                <w:szCs w:val="18"/>
              </w:rPr>
              <w:t>0.035</w:t>
            </w:r>
          </w:p>
        </w:tc>
      </w:tr>
      <w:tr w:rsidR="00464EAF" w14:paraId="00D8CF9B" w14:textId="77777777" w:rsidTr="00E858E8">
        <w:trPr>
          <w:trHeight w:val="227"/>
        </w:trPr>
        <w:tc>
          <w:tcPr>
            <w:tcW w:w="1032"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28EC04A5" w14:textId="77777777" w:rsidR="00055F68" w:rsidRPr="00C46847" w:rsidRDefault="00F45D92" w:rsidP="0009438C">
            <w:pPr>
              <w:spacing w:line="480" w:lineRule="auto"/>
              <w:rPr>
                <w:sz w:val="18"/>
                <w:szCs w:val="18"/>
              </w:rPr>
            </w:pPr>
            <w:r w:rsidRPr="00C46847">
              <w:rPr>
                <w:sz w:val="18"/>
                <w:szCs w:val="18"/>
              </w:rPr>
              <w:t>TA vs HA</w:t>
            </w:r>
          </w:p>
        </w:tc>
        <w:tc>
          <w:tcPr>
            <w:tcW w:w="1035"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17B01F1" w14:textId="77777777" w:rsidR="00055F68" w:rsidRPr="00C46847" w:rsidRDefault="00F45D92" w:rsidP="0009438C">
            <w:pPr>
              <w:spacing w:line="480" w:lineRule="auto"/>
              <w:rPr>
                <w:sz w:val="18"/>
                <w:szCs w:val="18"/>
              </w:rPr>
            </w:pPr>
            <w:r w:rsidRPr="00C46847">
              <w:rPr>
                <w:sz w:val="18"/>
                <w:szCs w:val="18"/>
              </w:rPr>
              <w:t>-12.7%</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7061F6A" w14:textId="77777777" w:rsidR="00055F68" w:rsidRPr="00C46847" w:rsidRDefault="00F45D92" w:rsidP="0009438C">
            <w:pPr>
              <w:spacing w:line="480" w:lineRule="auto"/>
              <w:rPr>
                <w:sz w:val="18"/>
                <w:szCs w:val="18"/>
              </w:rPr>
            </w:pPr>
            <w:r w:rsidRPr="00C46847">
              <w:rPr>
                <w:sz w:val="18"/>
                <w:szCs w:val="18"/>
              </w:rPr>
              <w:t>-52.9%</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70F00D6F" w14:textId="77777777" w:rsidR="00055F68" w:rsidRPr="00C46847" w:rsidRDefault="00F45D92" w:rsidP="0009438C">
            <w:pPr>
              <w:spacing w:line="480" w:lineRule="auto"/>
              <w:rPr>
                <w:sz w:val="18"/>
                <w:szCs w:val="18"/>
              </w:rPr>
            </w:pPr>
            <w:r w:rsidRPr="00C46847">
              <w:rPr>
                <w:sz w:val="18"/>
                <w:szCs w:val="18"/>
              </w:rPr>
              <w:t>27.5%</w:t>
            </w:r>
          </w:p>
        </w:tc>
        <w:tc>
          <w:tcPr>
            <w:tcW w:w="776"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44403E28" w14:textId="77777777" w:rsidR="00055F68" w:rsidRPr="00C46847" w:rsidRDefault="00F45D92" w:rsidP="0009438C">
            <w:pPr>
              <w:spacing w:line="480" w:lineRule="auto"/>
              <w:rPr>
                <w:sz w:val="18"/>
                <w:szCs w:val="18"/>
              </w:rPr>
            </w:pPr>
            <w:r w:rsidRPr="00C46847">
              <w:rPr>
                <w:sz w:val="18"/>
                <w:szCs w:val="18"/>
              </w:rPr>
              <w:t>0.01</w:t>
            </w:r>
          </w:p>
        </w:tc>
        <w:tc>
          <w:tcPr>
            <w:tcW w:w="776"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F9D4E7C" w14:textId="77777777" w:rsidR="00055F68" w:rsidRPr="00C46847" w:rsidRDefault="00F45D92" w:rsidP="0009438C">
            <w:pPr>
              <w:spacing w:line="480" w:lineRule="auto"/>
              <w:rPr>
                <w:bCs/>
                <w:sz w:val="18"/>
                <w:szCs w:val="18"/>
              </w:rPr>
            </w:pPr>
            <w:r w:rsidRPr="00C46847">
              <w:rPr>
                <w:bCs/>
                <w:sz w:val="18"/>
                <w:szCs w:val="18"/>
              </w:rPr>
              <w:t>0.944</w:t>
            </w:r>
          </w:p>
        </w:tc>
      </w:tr>
      <w:tr w:rsidR="00464EAF" w14:paraId="3F4914C9" w14:textId="77777777" w:rsidTr="00E858E8">
        <w:trPr>
          <w:trHeight w:val="227"/>
        </w:trPr>
        <w:tc>
          <w:tcPr>
            <w:tcW w:w="1032" w:type="pct"/>
            <w:tcBorders>
              <w:top w:val="single" w:sz="18" w:space="0" w:color="000000" w:themeColor="text1"/>
              <w:left w:val="single" w:sz="4" w:space="0" w:color="000000" w:themeColor="text1"/>
              <w:bottom w:val="single" w:sz="4" w:space="0" w:color="000000" w:themeColor="text1"/>
              <w:right w:val="nil"/>
            </w:tcBorders>
          </w:tcPr>
          <w:p w14:paraId="18A117CC" w14:textId="77777777" w:rsidR="00055F68" w:rsidRPr="00C46847" w:rsidRDefault="00055F68" w:rsidP="0009438C">
            <w:pPr>
              <w:spacing w:line="480" w:lineRule="auto"/>
              <w:rPr>
                <w:sz w:val="18"/>
                <w:szCs w:val="18"/>
              </w:rPr>
            </w:pPr>
          </w:p>
        </w:tc>
        <w:tc>
          <w:tcPr>
            <w:tcW w:w="1035" w:type="pct"/>
            <w:tcBorders>
              <w:top w:val="single" w:sz="18" w:space="0" w:color="000000" w:themeColor="text1"/>
              <w:left w:val="nil"/>
              <w:bottom w:val="single" w:sz="4" w:space="0" w:color="000000" w:themeColor="text1"/>
              <w:right w:val="nil"/>
            </w:tcBorders>
          </w:tcPr>
          <w:p w14:paraId="771AA035" w14:textId="77777777" w:rsidR="00055F68" w:rsidRPr="00C46847" w:rsidRDefault="00055F68" w:rsidP="0009438C">
            <w:pPr>
              <w:spacing w:line="480" w:lineRule="auto"/>
              <w:rPr>
                <w:sz w:val="18"/>
                <w:szCs w:val="18"/>
              </w:rPr>
            </w:pPr>
          </w:p>
        </w:tc>
        <w:tc>
          <w:tcPr>
            <w:tcW w:w="690" w:type="pct"/>
            <w:tcBorders>
              <w:top w:val="single" w:sz="18" w:space="0" w:color="000000" w:themeColor="text1"/>
              <w:left w:val="nil"/>
              <w:bottom w:val="single" w:sz="4" w:space="0" w:color="000000" w:themeColor="text1"/>
              <w:right w:val="nil"/>
            </w:tcBorders>
            <w:hideMark/>
          </w:tcPr>
          <w:p w14:paraId="53811850" w14:textId="77777777" w:rsidR="00055F68" w:rsidRPr="00C46847" w:rsidRDefault="00F45D92" w:rsidP="0009438C">
            <w:pPr>
              <w:spacing w:line="480" w:lineRule="auto"/>
              <w:rPr>
                <w:b/>
                <w:bCs/>
                <w:sz w:val="18"/>
                <w:szCs w:val="18"/>
              </w:rPr>
            </w:pPr>
            <w:r w:rsidRPr="00C46847">
              <w:rPr>
                <w:b/>
                <w:bCs/>
                <w:sz w:val="18"/>
                <w:szCs w:val="18"/>
              </w:rPr>
              <w:t>EFFUSION</w:t>
            </w:r>
          </w:p>
        </w:tc>
        <w:tc>
          <w:tcPr>
            <w:tcW w:w="690" w:type="pct"/>
            <w:tcBorders>
              <w:top w:val="single" w:sz="18" w:space="0" w:color="000000" w:themeColor="text1"/>
              <w:left w:val="nil"/>
              <w:bottom w:val="single" w:sz="4" w:space="0" w:color="000000" w:themeColor="text1"/>
              <w:right w:val="nil"/>
            </w:tcBorders>
          </w:tcPr>
          <w:p w14:paraId="1A8E8B75" w14:textId="77777777" w:rsidR="00055F68" w:rsidRPr="00C46847" w:rsidRDefault="00055F68" w:rsidP="0009438C">
            <w:pPr>
              <w:spacing w:line="480" w:lineRule="auto"/>
              <w:rPr>
                <w:sz w:val="18"/>
                <w:szCs w:val="18"/>
              </w:rPr>
            </w:pPr>
          </w:p>
        </w:tc>
        <w:tc>
          <w:tcPr>
            <w:tcW w:w="776" w:type="pct"/>
            <w:tcBorders>
              <w:top w:val="single" w:sz="18" w:space="0" w:color="000000" w:themeColor="text1"/>
              <w:left w:val="nil"/>
              <w:bottom w:val="single" w:sz="4" w:space="0" w:color="000000" w:themeColor="text1"/>
              <w:right w:val="nil"/>
            </w:tcBorders>
          </w:tcPr>
          <w:p w14:paraId="6988CB89" w14:textId="77777777" w:rsidR="00055F68" w:rsidRPr="00C46847" w:rsidRDefault="00055F68" w:rsidP="0009438C">
            <w:pPr>
              <w:spacing w:line="480" w:lineRule="auto"/>
              <w:rPr>
                <w:sz w:val="18"/>
                <w:szCs w:val="18"/>
              </w:rPr>
            </w:pPr>
          </w:p>
        </w:tc>
        <w:tc>
          <w:tcPr>
            <w:tcW w:w="776" w:type="pct"/>
            <w:tcBorders>
              <w:top w:val="single" w:sz="18" w:space="0" w:color="000000" w:themeColor="text1"/>
              <w:left w:val="nil"/>
              <w:bottom w:val="single" w:sz="4" w:space="0" w:color="000000" w:themeColor="text1"/>
              <w:right w:val="single" w:sz="2" w:space="0" w:color="000000" w:themeColor="text1"/>
            </w:tcBorders>
          </w:tcPr>
          <w:p w14:paraId="3FF54446" w14:textId="77777777" w:rsidR="00055F68" w:rsidRPr="00C46847" w:rsidRDefault="00055F68" w:rsidP="0009438C">
            <w:pPr>
              <w:spacing w:line="480" w:lineRule="auto"/>
              <w:rPr>
                <w:b/>
                <w:bCs/>
                <w:sz w:val="18"/>
                <w:szCs w:val="18"/>
              </w:rPr>
            </w:pPr>
          </w:p>
        </w:tc>
      </w:tr>
      <w:tr w:rsidR="00464EAF" w14:paraId="01B20E2D" w14:textId="77777777" w:rsidTr="00E858E8">
        <w:trPr>
          <w:trHeight w:val="227"/>
        </w:trPr>
        <w:tc>
          <w:tcPr>
            <w:tcW w:w="10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F3750" w14:textId="77777777" w:rsidR="00055F68" w:rsidRPr="00C46847" w:rsidRDefault="00F45D92" w:rsidP="0009438C">
            <w:pPr>
              <w:spacing w:line="480" w:lineRule="auto"/>
              <w:rPr>
                <w:sz w:val="18"/>
                <w:szCs w:val="18"/>
              </w:rPr>
            </w:pPr>
            <w:r w:rsidRPr="00C46847">
              <w:rPr>
                <w:sz w:val="18"/>
                <w:szCs w:val="18"/>
              </w:rPr>
              <w:t>2.5%PAAG vs TA *</w:t>
            </w: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E9DF29" w14:textId="77777777" w:rsidR="00055F68" w:rsidRPr="00C46847" w:rsidRDefault="00F45D92" w:rsidP="0009438C">
            <w:pPr>
              <w:spacing w:line="480" w:lineRule="auto"/>
              <w:rPr>
                <w:sz w:val="18"/>
                <w:szCs w:val="18"/>
              </w:rPr>
            </w:pPr>
            <w:r w:rsidRPr="00C46847">
              <w:rPr>
                <w:sz w:val="18"/>
                <w:szCs w:val="18"/>
              </w:rPr>
              <w:t>50.0%</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2325B3" w14:textId="77777777" w:rsidR="00055F68" w:rsidRPr="00C46847" w:rsidRDefault="00F45D92" w:rsidP="0009438C">
            <w:pPr>
              <w:spacing w:line="480" w:lineRule="auto"/>
              <w:rPr>
                <w:sz w:val="18"/>
                <w:szCs w:val="18"/>
              </w:rPr>
            </w:pPr>
            <w:r w:rsidRPr="00C46847">
              <w:rPr>
                <w:sz w:val="18"/>
                <w:szCs w:val="18"/>
              </w:rPr>
              <w:t>21.7%</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A1CE4" w14:textId="77777777" w:rsidR="00055F68" w:rsidRPr="00C46847" w:rsidRDefault="00F45D92" w:rsidP="0009438C">
            <w:pPr>
              <w:spacing w:line="480" w:lineRule="auto"/>
              <w:rPr>
                <w:sz w:val="18"/>
                <w:szCs w:val="18"/>
              </w:rPr>
            </w:pPr>
            <w:r w:rsidRPr="00C46847">
              <w:rPr>
                <w:sz w:val="18"/>
                <w:szCs w:val="18"/>
              </w:rPr>
              <w:t>78.3%</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E34101" w14:textId="77777777" w:rsidR="00055F68" w:rsidRPr="00C46847" w:rsidRDefault="00F45D92" w:rsidP="0009438C">
            <w:pPr>
              <w:spacing w:line="480" w:lineRule="auto"/>
              <w:rPr>
                <w:sz w:val="18"/>
                <w:szCs w:val="18"/>
              </w:rPr>
            </w:pPr>
            <w:r w:rsidRPr="00C46847">
              <w:rPr>
                <w:sz w:val="18"/>
                <w:szCs w:val="18"/>
              </w:rPr>
              <w:t>7.44</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4185AD" w14:textId="77777777" w:rsidR="00055F68" w:rsidRPr="00C46847" w:rsidRDefault="00F45D92" w:rsidP="0009438C">
            <w:pPr>
              <w:spacing w:line="480" w:lineRule="auto"/>
              <w:rPr>
                <w:b/>
                <w:bCs/>
                <w:sz w:val="18"/>
                <w:szCs w:val="18"/>
              </w:rPr>
            </w:pPr>
            <w:r w:rsidRPr="00C46847">
              <w:rPr>
                <w:b/>
                <w:bCs/>
                <w:sz w:val="18"/>
                <w:szCs w:val="18"/>
              </w:rPr>
              <w:t>0.014</w:t>
            </w:r>
          </w:p>
        </w:tc>
      </w:tr>
      <w:tr w:rsidR="00464EAF" w14:paraId="30F6EBE4" w14:textId="77777777" w:rsidTr="00E858E8">
        <w:trPr>
          <w:trHeight w:val="227"/>
        </w:trPr>
        <w:tc>
          <w:tcPr>
            <w:tcW w:w="103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67D09" w14:textId="77777777" w:rsidR="00055F68" w:rsidRPr="00C46847" w:rsidRDefault="00F45D92" w:rsidP="0009438C">
            <w:pPr>
              <w:spacing w:line="480" w:lineRule="auto"/>
              <w:rPr>
                <w:sz w:val="18"/>
                <w:szCs w:val="18"/>
              </w:rPr>
            </w:pPr>
            <w:r w:rsidRPr="00C46847">
              <w:rPr>
                <w:sz w:val="18"/>
                <w:szCs w:val="18"/>
              </w:rPr>
              <w:t>2.5%PAAG vs HA *</w:t>
            </w: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78DF4" w14:textId="77777777" w:rsidR="00055F68" w:rsidRPr="00C46847" w:rsidRDefault="00F45D92" w:rsidP="0009438C">
            <w:pPr>
              <w:spacing w:line="480" w:lineRule="auto"/>
              <w:rPr>
                <w:sz w:val="18"/>
                <w:szCs w:val="18"/>
              </w:rPr>
            </w:pPr>
            <w:r w:rsidRPr="00C46847">
              <w:rPr>
                <w:sz w:val="18"/>
                <w:szCs w:val="18"/>
              </w:rPr>
              <w:t>50.0%</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D7F4B" w14:textId="77777777" w:rsidR="00055F68" w:rsidRPr="00C46847" w:rsidRDefault="00F45D92" w:rsidP="0009438C">
            <w:pPr>
              <w:spacing w:line="480" w:lineRule="auto"/>
              <w:rPr>
                <w:sz w:val="18"/>
                <w:szCs w:val="18"/>
              </w:rPr>
            </w:pPr>
            <w:r w:rsidRPr="00C46847">
              <w:rPr>
                <w:sz w:val="18"/>
                <w:szCs w:val="18"/>
              </w:rPr>
              <w:t>21.7%</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E915D2" w14:textId="77777777" w:rsidR="00055F68" w:rsidRPr="00C46847" w:rsidRDefault="00F45D92" w:rsidP="0009438C">
            <w:pPr>
              <w:spacing w:line="480" w:lineRule="auto"/>
              <w:rPr>
                <w:sz w:val="18"/>
                <w:szCs w:val="18"/>
              </w:rPr>
            </w:pPr>
            <w:r w:rsidRPr="00C46847">
              <w:rPr>
                <w:sz w:val="18"/>
                <w:szCs w:val="18"/>
              </w:rPr>
              <w:t>78.3%</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F6EE42" w14:textId="77777777" w:rsidR="00055F68" w:rsidRPr="00C46847" w:rsidRDefault="00F45D92" w:rsidP="0009438C">
            <w:pPr>
              <w:spacing w:line="480" w:lineRule="auto"/>
              <w:rPr>
                <w:sz w:val="18"/>
                <w:szCs w:val="18"/>
              </w:rPr>
            </w:pPr>
            <w:r w:rsidRPr="00C46847">
              <w:rPr>
                <w:sz w:val="18"/>
                <w:szCs w:val="18"/>
              </w:rPr>
              <w:t>6.88</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1F3310" w14:textId="77777777" w:rsidR="00055F68" w:rsidRPr="00C46847" w:rsidRDefault="00F45D92" w:rsidP="0009438C">
            <w:pPr>
              <w:spacing w:line="480" w:lineRule="auto"/>
              <w:rPr>
                <w:b/>
                <w:bCs/>
                <w:sz w:val="18"/>
                <w:szCs w:val="18"/>
              </w:rPr>
            </w:pPr>
            <w:r w:rsidRPr="00C46847">
              <w:rPr>
                <w:b/>
                <w:bCs/>
                <w:sz w:val="18"/>
                <w:szCs w:val="18"/>
              </w:rPr>
              <w:t>0.015</w:t>
            </w:r>
          </w:p>
        </w:tc>
      </w:tr>
      <w:tr w:rsidR="00464EAF" w14:paraId="516AB8E3" w14:textId="77777777" w:rsidTr="00E858E8">
        <w:trPr>
          <w:trHeight w:val="227"/>
        </w:trPr>
        <w:tc>
          <w:tcPr>
            <w:tcW w:w="1032"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BC46612" w14:textId="77777777" w:rsidR="00055F68" w:rsidRPr="00C46847" w:rsidRDefault="00F45D92" w:rsidP="0009438C">
            <w:pPr>
              <w:spacing w:line="480" w:lineRule="auto"/>
              <w:rPr>
                <w:sz w:val="18"/>
                <w:szCs w:val="18"/>
              </w:rPr>
            </w:pPr>
            <w:r w:rsidRPr="00C46847">
              <w:rPr>
                <w:sz w:val="18"/>
                <w:szCs w:val="18"/>
              </w:rPr>
              <w:t>TA vs HA</w:t>
            </w:r>
          </w:p>
        </w:tc>
        <w:tc>
          <w:tcPr>
            <w:tcW w:w="1035"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88C64A9" w14:textId="77777777" w:rsidR="00055F68" w:rsidRPr="00C46847" w:rsidRDefault="00F45D92" w:rsidP="0009438C">
            <w:pPr>
              <w:spacing w:line="480" w:lineRule="auto"/>
              <w:rPr>
                <w:sz w:val="18"/>
                <w:szCs w:val="18"/>
              </w:rPr>
            </w:pPr>
            <w:r w:rsidRPr="00C46847">
              <w:rPr>
                <w:sz w:val="18"/>
                <w:szCs w:val="18"/>
              </w:rPr>
              <w:t>0.0%</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CFE49A4" w14:textId="77777777" w:rsidR="00055F68" w:rsidRPr="00C46847" w:rsidRDefault="00F45D92" w:rsidP="0009438C">
            <w:pPr>
              <w:spacing w:line="480" w:lineRule="auto"/>
              <w:rPr>
                <w:sz w:val="18"/>
                <w:szCs w:val="18"/>
              </w:rPr>
            </w:pPr>
            <w:r w:rsidRPr="00C46847">
              <w:rPr>
                <w:sz w:val="18"/>
                <w:szCs w:val="18"/>
              </w:rPr>
              <w:t>-30.1%</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125BCC6E" w14:textId="77777777" w:rsidR="00055F68" w:rsidRPr="00C46847" w:rsidRDefault="00F45D92" w:rsidP="0009438C">
            <w:pPr>
              <w:spacing w:line="480" w:lineRule="auto"/>
              <w:rPr>
                <w:sz w:val="18"/>
                <w:szCs w:val="18"/>
              </w:rPr>
            </w:pPr>
            <w:r w:rsidRPr="00C46847">
              <w:rPr>
                <w:sz w:val="18"/>
                <w:szCs w:val="18"/>
              </w:rPr>
              <w:t>30.1%</w:t>
            </w:r>
          </w:p>
        </w:tc>
        <w:tc>
          <w:tcPr>
            <w:tcW w:w="776"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6BE661C" w14:textId="77777777" w:rsidR="00055F68" w:rsidRPr="00C46847" w:rsidRDefault="00F45D92" w:rsidP="0009438C">
            <w:pPr>
              <w:spacing w:line="480" w:lineRule="auto"/>
              <w:rPr>
                <w:sz w:val="18"/>
                <w:szCs w:val="18"/>
              </w:rPr>
            </w:pPr>
            <w:r w:rsidRPr="00C46847">
              <w:rPr>
                <w:sz w:val="18"/>
                <w:szCs w:val="18"/>
              </w:rPr>
              <w:t>0</w:t>
            </w:r>
          </w:p>
        </w:tc>
        <w:tc>
          <w:tcPr>
            <w:tcW w:w="776"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31602B52" w14:textId="77777777" w:rsidR="00055F68" w:rsidRPr="00C46847" w:rsidRDefault="00F45D92" w:rsidP="0009438C">
            <w:pPr>
              <w:spacing w:line="480" w:lineRule="auto"/>
              <w:rPr>
                <w:bCs/>
                <w:sz w:val="18"/>
                <w:szCs w:val="18"/>
              </w:rPr>
            </w:pPr>
            <w:r w:rsidRPr="00C46847">
              <w:rPr>
                <w:bCs/>
                <w:sz w:val="18"/>
                <w:szCs w:val="18"/>
              </w:rPr>
              <w:t>1</w:t>
            </w:r>
          </w:p>
        </w:tc>
      </w:tr>
      <w:tr w:rsidR="00464EAF" w14:paraId="6FB5747F" w14:textId="77777777" w:rsidTr="00E858E8">
        <w:trPr>
          <w:trHeight w:val="227"/>
        </w:trPr>
        <w:tc>
          <w:tcPr>
            <w:tcW w:w="5000" w:type="pct"/>
            <w:gridSpan w:val="6"/>
            <w:tcBorders>
              <w:top w:val="single" w:sz="18" w:space="0" w:color="000000" w:themeColor="text1"/>
              <w:left w:val="single" w:sz="4" w:space="0" w:color="000000" w:themeColor="text1"/>
              <w:bottom w:val="single" w:sz="8" w:space="0" w:color="000000" w:themeColor="text1"/>
              <w:right w:val="single" w:sz="4" w:space="0" w:color="000000" w:themeColor="text1"/>
            </w:tcBorders>
          </w:tcPr>
          <w:p w14:paraId="0643BCFA" w14:textId="38096904" w:rsidR="00055F68" w:rsidRPr="00C46847" w:rsidRDefault="00F45D92" w:rsidP="0008629C">
            <w:pPr>
              <w:spacing w:line="480" w:lineRule="auto"/>
              <w:jc w:val="center"/>
              <w:rPr>
                <w:b/>
                <w:bCs/>
                <w:sz w:val="18"/>
                <w:szCs w:val="18"/>
              </w:rPr>
            </w:pPr>
            <w:r w:rsidRPr="00C46847">
              <w:rPr>
                <w:b/>
                <w:bCs/>
                <w:sz w:val="18"/>
                <w:szCs w:val="18"/>
              </w:rPr>
              <w:t xml:space="preserve">REACTION TO </w:t>
            </w:r>
            <w:r w:rsidR="00CF285A">
              <w:rPr>
                <w:b/>
                <w:bCs/>
                <w:sz w:val="18"/>
                <w:szCs w:val="18"/>
              </w:rPr>
              <w:t xml:space="preserve"> CARPAL </w:t>
            </w:r>
            <w:r w:rsidRPr="00C46847">
              <w:rPr>
                <w:b/>
                <w:bCs/>
                <w:sz w:val="18"/>
                <w:szCs w:val="18"/>
              </w:rPr>
              <w:t>FLEXION</w:t>
            </w:r>
          </w:p>
        </w:tc>
      </w:tr>
      <w:tr w:rsidR="00464EAF" w14:paraId="634145C7" w14:textId="77777777" w:rsidTr="00E858E8">
        <w:trPr>
          <w:trHeight w:val="227"/>
        </w:trPr>
        <w:tc>
          <w:tcPr>
            <w:tcW w:w="1032"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1F431663" w14:textId="77777777" w:rsidR="00055F68" w:rsidRPr="00C46847" w:rsidRDefault="00F45D92" w:rsidP="0009438C">
            <w:pPr>
              <w:spacing w:line="480" w:lineRule="auto"/>
              <w:rPr>
                <w:sz w:val="18"/>
                <w:szCs w:val="18"/>
              </w:rPr>
            </w:pPr>
            <w:r w:rsidRPr="00C46847">
              <w:rPr>
                <w:sz w:val="18"/>
                <w:szCs w:val="18"/>
              </w:rPr>
              <w:t>2.5%PAAG vs TA ^</w:t>
            </w:r>
          </w:p>
        </w:tc>
        <w:tc>
          <w:tcPr>
            <w:tcW w:w="1035"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6BBE9D51" w14:textId="77777777" w:rsidR="00055F68" w:rsidRPr="00C46847" w:rsidRDefault="00F45D92" w:rsidP="0009438C">
            <w:pPr>
              <w:spacing w:line="480" w:lineRule="auto"/>
              <w:rPr>
                <w:sz w:val="18"/>
                <w:szCs w:val="18"/>
              </w:rPr>
            </w:pPr>
            <w:r w:rsidRPr="00C46847">
              <w:rPr>
                <w:sz w:val="18"/>
                <w:szCs w:val="18"/>
              </w:rPr>
              <w:t>40.9%</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AA625F7" w14:textId="77777777" w:rsidR="00055F68" w:rsidRPr="00C46847" w:rsidRDefault="00F45D92" w:rsidP="0009438C">
            <w:pPr>
              <w:spacing w:line="480" w:lineRule="auto"/>
              <w:rPr>
                <w:sz w:val="18"/>
                <w:szCs w:val="18"/>
              </w:rPr>
            </w:pPr>
            <w:r w:rsidRPr="00C46847">
              <w:rPr>
                <w:sz w:val="18"/>
                <w:szCs w:val="18"/>
              </w:rPr>
              <w:t>7.9%</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230B19D2" w14:textId="77777777" w:rsidR="00055F68" w:rsidRPr="00C46847" w:rsidRDefault="00F45D92" w:rsidP="0009438C">
            <w:pPr>
              <w:spacing w:line="480" w:lineRule="auto"/>
              <w:rPr>
                <w:sz w:val="18"/>
                <w:szCs w:val="18"/>
              </w:rPr>
            </w:pPr>
            <w:r w:rsidRPr="00C46847">
              <w:rPr>
                <w:sz w:val="18"/>
                <w:szCs w:val="18"/>
              </w:rPr>
              <w:t>73.9%</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7BEA63C1" w14:textId="77777777" w:rsidR="00055F68" w:rsidRPr="00C46847" w:rsidRDefault="00F45D92" w:rsidP="0009438C">
            <w:pPr>
              <w:spacing w:line="480" w:lineRule="auto"/>
              <w:rPr>
                <w:sz w:val="18"/>
                <w:szCs w:val="18"/>
              </w:rPr>
            </w:pPr>
            <w:r w:rsidRPr="00C46847">
              <w:rPr>
                <w:sz w:val="18"/>
                <w:szCs w:val="18"/>
              </w:rPr>
              <w:t>4.54</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6A01D47A" w14:textId="77777777" w:rsidR="00055F68" w:rsidRPr="00C46847" w:rsidRDefault="00F45D92" w:rsidP="0009438C">
            <w:pPr>
              <w:spacing w:line="480" w:lineRule="auto"/>
              <w:rPr>
                <w:b/>
                <w:bCs/>
                <w:sz w:val="18"/>
                <w:szCs w:val="18"/>
              </w:rPr>
            </w:pPr>
            <w:r w:rsidRPr="00C46847">
              <w:rPr>
                <w:b/>
                <w:bCs/>
                <w:sz w:val="18"/>
                <w:szCs w:val="18"/>
              </w:rPr>
              <w:t>0.069</w:t>
            </w:r>
          </w:p>
        </w:tc>
      </w:tr>
      <w:tr w:rsidR="00464EAF" w14:paraId="6F47ED7C" w14:textId="77777777" w:rsidTr="00E858E8">
        <w:trPr>
          <w:trHeight w:val="227"/>
        </w:trPr>
        <w:tc>
          <w:tcPr>
            <w:tcW w:w="1032"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5A1ECDFD" w14:textId="77777777" w:rsidR="00055F68" w:rsidRPr="00C46847" w:rsidRDefault="00F45D92" w:rsidP="0009438C">
            <w:pPr>
              <w:spacing w:line="480" w:lineRule="auto"/>
              <w:rPr>
                <w:sz w:val="18"/>
                <w:szCs w:val="18"/>
              </w:rPr>
            </w:pPr>
            <w:r w:rsidRPr="00C46847">
              <w:rPr>
                <w:sz w:val="18"/>
                <w:szCs w:val="18"/>
              </w:rPr>
              <w:t>2.5%PAAG vs HA</w:t>
            </w:r>
          </w:p>
        </w:tc>
        <w:tc>
          <w:tcPr>
            <w:tcW w:w="1035"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6AD155EC" w14:textId="77777777" w:rsidR="00055F68" w:rsidRPr="00C46847" w:rsidRDefault="00F45D92" w:rsidP="0009438C">
            <w:pPr>
              <w:spacing w:line="480" w:lineRule="auto"/>
              <w:rPr>
                <w:sz w:val="18"/>
                <w:szCs w:val="18"/>
              </w:rPr>
            </w:pPr>
            <w:r w:rsidRPr="00C46847">
              <w:rPr>
                <w:sz w:val="18"/>
                <w:szCs w:val="18"/>
              </w:rPr>
              <w:t>30.0%</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7BDA37F7" w14:textId="77777777" w:rsidR="00055F68" w:rsidRPr="00C46847" w:rsidRDefault="00F45D92" w:rsidP="0009438C">
            <w:pPr>
              <w:spacing w:line="480" w:lineRule="auto"/>
              <w:rPr>
                <w:sz w:val="18"/>
                <w:szCs w:val="18"/>
              </w:rPr>
            </w:pPr>
            <w:r w:rsidRPr="00C46847">
              <w:rPr>
                <w:sz w:val="18"/>
                <w:szCs w:val="18"/>
              </w:rPr>
              <w:t>-7.6%</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7DA1FB08" w14:textId="77777777" w:rsidR="00055F68" w:rsidRPr="00C46847" w:rsidRDefault="00F45D92" w:rsidP="0009438C">
            <w:pPr>
              <w:spacing w:line="480" w:lineRule="auto"/>
              <w:rPr>
                <w:sz w:val="18"/>
                <w:szCs w:val="18"/>
              </w:rPr>
            </w:pPr>
            <w:r w:rsidRPr="00C46847">
              <w:rPr>
                <w:sz w:val="18"/>
                <w:szCs w:val="18"/>
              </w:rPr>
              <w:t>67.6%</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4A286F4C" w14:textId="77777777" w:rsidR="00055F68" w:rsidRPr="00C46847" w:rsidRDefault="00F45D92" w:rsidP="0009438C">
            <w:pPr>
              <w:spacing w:line="480" w:lineRule="auto"/>
              <w:rPr>
                <w:sz w:val="18"/>
                <w:szCs w:val="18"/>
              </w:rPr>
            </w:pPr>
            <w:r w:rsidRPr="00C46847">
              <w:rPr>
                <w:sz w:val="18"/>
                <w:szCs w:val="18"/>
              </w:rPr>
              <w:t>2.12</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C428729" w14:textId="77777777" w:rsidR="00055F68" w:rsidRPr="00C46847" w:rsidRDefault="00F45D92" w:rsidP="0009438C">
            <w:pPr>
              <w:spacing w:line="480" w:lineRule="auto"/>
              <w:rPr>
                <w:bCs/>
                <w:sz w:val="18"/>
                <w:szCs w:val="18"/>
              </w:rPr>
            </w:pPr>
            <w:r w:rsidRPr="00C46847">
              <w:rPr>
                <w:bCs/>
                <w:sz w:val="18"/>
                <w:szCs w:val="18"/>
              </w:rPr>
              <w:t>0.204</w:t>
            </w:r>
          </w:p>
        </w:tc>
      </w:tr>
      <w:tr w:rsidR="00464EAF" w14:paraId="6E2A98B9" w14:textId="77777777" w:rsidTr="00E858E8">
        <w:trPr>
          <w:trHeight w:val="227"/>
        </w:trPr>
        <w:tc>
          <w:tcPr>
            <w:tcW w:w="1032"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356E93BA" w14:textId="77777777" w:rsidR="00055F68" w:rsidRPr="00C46847" w:rsidRDefault="00F45D92" w:rsidP="0009438C">
            <w:pPr>
              <w:spacing w:line="480" w:lineRule="auto"/>
              <w:rPr>
                <w:sz w:val="18"/>
                <w:szCs w:val="18"/>
              </w:rPr>
            </w:pPr>
            <w:r w:rsidRPr="00C46847">
              <w:rPr>
                <w:sz w:val="18"/>
                <w:szCs w:val="18"/>
              </w:rPr>
              <w:t>TA vs HA</w:t>
            </w:r>
          </w:p>
        </w:tc>
        <w:tc>
          <w:tcPr>
            <w:tcW w:w="1035"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6E260CC7" w14:textId="77777777" w:rsidR="00055F68" w:rsidRPr="00C46847" w:rsidRDefault="00F45D92" w:rsidP="0009438C">
            <w:pPr>
              <w:spacing w:line="480" w:lineRule="auto"/>
              <w:rPr>
                <w:sz w:val="18"/>
                <w:szCs w:val="18"/>
              </w:rPr>
            </w:pPr>
            <w:r w:rsidRPr="00C46847">
              <w:rPr>
                <w:sz w:val="18"/>
                <w:szCs w:val="18"/>
              </w:rPr>
              <w:t>-10.9%</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44C50FB3" w14:textId="77777777" w:rsidR="00055F68" w:rsidRPr="00C46847" w:rsidRDefault="00F45D92" w:rsidP="0009438C">
            <w:pPr>
              <w:spacing w:line="480" w:lineRule="auto"/>
              <w:rPr>
                <w:sz w:val="18"/>
                <w:szCs w:val="18"/>
              </w:rPr>
            </w:pPr>
            <w:r w:rsidRPr="00C46847">
              <w:rPr>
                <w:sz w:val="18"/>
                <w:szCs w:val="18"/>
              </w:rPr>
              <w:t>-41.0%</w:t>
            </w:r>
          </w:p>
        </w:tc>
        <w:tc>
          <w:tcPr>
            <w:tcW w:w="690"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56F824F6" w14:textId="77777777" w:rsidR="00055F68" w:rsidRPr="00C46847" w:rsidRDefault="00F45D92" w:rsidP="0009438C">
            <w:pPr>
              <w:spacing w:line="480" w:lineRule="auto"/>
              <w:rPr>
                <w:sz w:val="18"/>
                <w:szCs w:val="18"/>
              </w:rPr>
            </w:pPr>
            <w:r w:rsidRPr="00C46847">
              <w:rPr>
                <w:sz w:val="18"/>
                <w:szCs w:val="18"/>
              </w:rPr>
              <w:t>19.1%</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8AED088" w14:textId="77777777" w:rsidR="00055F68" w:rsidRPr="00C46847" w:rsidRDefault="00F45D92" w:rsidP="0009438C">
            <w:pPr>
              <w:spacing w:line="480" w:lineRule="auto"/>
              <w:rPr>
                <w:sz w:val="18"/>
                <w:szCs w:val="18"/>
              </w:rPr>
            </w:pPr>
            <w:r w:rsidRPr="00C46847">
              <w:rPr>
                <w:sz w:val="18"/>
                <w:szCs w:val="18"/>
              </w:rPr>
              <w:t>0.51</w:t>
            </w:r>
          </w:p>
        </w:tc>
        <w:tc>
          <w:tcPr>
            <w:tcW w:w="776"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358298BF" w14:textId="77777777" w:rsidR="00055F68" w:rsidRPr="00C46847" w:rsidRDefault="00F45D92" w:rsidP="0009438C">
            <w:pPr>
              <w:spacing w:line="480" w:lineRule="auto"/>
              <w:rPr>
                <w:bCs/>
                <w:sz w:val="18"/>
                <w:szCs w:val="18"/>
              </w:rPr>
            </w:pPr>
            <w:r w:rsidRPr="00C46847">
              <w:rPr>
                <w:bCs/>
                <w:sz w:val="18"/>
                <w:szCs w:val="18"/>
              </w:rPr>
              <w:t>0.587</w:t>
            </w:r>
          </w:p>
        </w:tc>
      </w:tr>
    </w:tbl>
    <w:p w14:paraId="2E1BE29B" w14:textId="77777777" w:rsidR="00CF285A" w:rsidRDefault="00CF285A" w:rsidP="00CF285A">
      <w:pPr>
        <w:spacing w:line="480" w:lineRule="auto"/>
        <w:rPr>
          <w:b/>
          <w:sz w:val="22"/>
          <w:szCs w:val="22"/>
        </w:rPr>
      </w:pPr>
    </w:p>
    <w:p w14:paraId="6EDDDA95" w14:textId="77777777" w:rsidR="00CF285A" w:rsidRDefault="00CF285A">
      <w:pPr>
        <w:rPr>
          <w:b/>
          <w:sz w:val="22"/>
          <w:szCs w:val="22"/>
        </w:rPr>
      </w:pPr>
      <w:r>
        <w:rPr>
          <w:b/>
          <w:sz w:val="22"/>
          <w:szCs w:val="22"/>
        </w:rPr>
        <w:br w:type="page"/>
      </w:r>
    </w:p>
    <w:p w14:paraId="2BFE55DD" w14:textId="77777777" w:rsidR="00CF285A" w:rsidRDefault="00CF285A" w:rsidP="00CF285A">
      <w:pPr>
        <w:spacing w:line="480" w:lineRule="auto"/>
        <w:rPr>
          <w:sz w:val="22"/>
          <w:szCs w:val="22"/>
        </w:rPr>
      </w:pPr>
      <w:r w:rsidRPr="004537DF">
        <w:rPr>
          <w:b/>
          <w:sz w:val="22"/>
          <w:szCs w:val="22"/>
        </w:rPr>
        <w:lastRenderedPageBreak/>
        <w:t>Table 4</w:t>
      </w:r>
      <w:r w:rsidRPr="004537DF">
        <w:rPr>
          <w:sz w:val="22"/>
          <w:szCs w:val="22"/>
        </w:rPr>
        <w:t>: Results at 6-weeks for lameness of joints treated with 2.5% PAAG, TA or HA; Bilaterally lame horses excluded. Success=complete resolution, Nil=no change or partial improvement, Fail=deterioration of variables from the time at admission. Withdrawn=those withdrawn from the study before 6 weeks due to treatment failure and considered as Fail. Statistical differences indicated by an asterisk (*) when p&lt;0.05.</w:t>
      </w:r>
    </w:p>
    <w:p w14:paraId="06E515E3" w14:textId="77777777" w:rsidR="00CF285A" w:rsidRPr="004537DF" w:rsidRDefault="00CF285A" w:rsidP="00CF285A">
      <w:pPr>
        <w:spacing w:line="480" w:lineRule="auto"/>
        <w:rPr>
          <w:sz w:val="22"/>
          <w:szCs w:val="22"/>
        </w:rPr>
      </w:pPr>
    </w:p>
    <w:tbl>
      <w:tblPr>
        <w:tblStyle w:val="Grilledutableau"/>
        <w:tblW w:w="5000" w:type="pct"/>
        <w:tblLook w:val="04A0" w:firstRow="1" w:lastRow="0" w:firstColumn="1" w:lastColumn="0" w:noHBand="0" w:noVBand="1"/>
      </w:tblPr>
      <w:tblGrid>
        <w:gridCol w:w="2491"/>
        <w:gridCol w:w="1192"/>
        <w:gridCol w:w="952"/>
        <w:gridCol w:w="718"/>
        <w:gridCol w:w="647"/>
        <w:gridCol w:w="1670"/>
        <w:gridCol w:w="818"/>
      </w:tblGrid>
      <w:tr w:rsidR="00CF285A" w:rsidRPr="004537DF" w14:paraId="60A67ED0" w14:textId="77777777" w:rsidTr="00384B8D">
        <w:trPr>
          <w:trHeight w:val="227"/>
        </w:trPr>
        <w:tc>
          <w:tcPr>
            <w:tcW w:w="1467"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1D855160" w14:textId="77777777" w:rsidR="00CF285A" w:rsidRPr="004537DF" w:rsidRDefault="00CF285A" w:rsidP="00384B8D">
            <w:pPr>
              <w:spacing w:line="480" w:lineRule="auto"/>
              <w:rPr>
                <w:b/>
                <w:sz w:val="18"/>
                <w:szCs w:val="18"/>
              </w:rPr>
            </w:pPr>
            <w:r w:rsidRPr="004537DF">
              <w:rPr>
                <w:b/>
                <w:sz w:val="18"/>
                <w:szCs w:val="18"/>
              </w:rPr>
              <w:t>Treatment</w:t>
            </w:r>
          </w:p>
        </w:tc>
        <w:tc>
          <w:tcPr>
            <w:tcW w:w="702"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1E8F9449" w14:textId="77777777" w:rsidR="00CF285A" w:rsidRPr="004537DF" w:rsidRDefault="00CF285A" w:rsidP="00384B8D">
            <w:pPr>
              <w:spacing w:line="480" w:lineRule="auto"/>
              <w:rPr>
                <w:b/>
                <w:bCs/>
                <w:sz w:val="18"/>
                <w:szCs w:val="18"/>
              </w:rPr>
            </w:pPr>
            <w:r w:rsidRPr="004537DF">
              <w:rPr>
                <w:b/>
                <w:bCs/>
                <w:sz w:val="18"/>
                <w:szCs w:val="18"/>
              </w:rPr>
              <w:t>2.5% PAAG</w:t>
            </w:r>
          </w:p>
        </w:tc>
        <w:tc>
          <w:tcPr>
            <w:tcW w:w="561"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5388825" w14:textId="77777777" w:rsidR="00CF285A" w:rsidRPr="004537DF" w:rsidRDefault="00CF285A" w:rsidP="00384B8D">
            <w:pPr>
              <w:spacing w:line="480" w:lineRule="auto"/>
              <w:rPr>
                <w:b/>
                <w:bCs/>
                <w:sz w:val="18"/>
                <w:szCs w:val="18"/>
              </w:rPr>
            </w:pPr>
            <w:r w:rsidRPr="004537DF">
              <w:rPr>
                <w:b/>
                <w:bCs/>
                <w:sz w:val="18"/>
                <w:szCs w:val="18"/>
              </w:rPr>
              <w:t>TA</w:t>
            </w:r>
          </w:p>
        </w:tc>
        <w:tc>
          <w:tcPr>
            <w:tcW w:w="423"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64CB9BD3" w14:textId="77777777" w:rsidR="00CF285A" w:rsidRPr="004537DF" w:rsidRDefault="00CF285A" w:rsidP="00384B8D">
            <w:pPr>
              <w:spacing w:line="480" w:lineRule="auto"/>
              <w:rPr>
                <w:b/>
                <w:bCs/>
                <w:sz w:val="18"/>
                <w:szCs w:val="18"/>
              </w:rPr>
            </w:pPr>
            <w:r w:rsidRPr="004537DF">
              <w:rPr>
                <w:b/>
                <w:bCs/>
                <w:sz w:val="18"/>
                <w:szCs w:val="18"/>
              </w:rPr>
              <w:t>HA</w:t>
            </w:r>
          </w:p>
        </w:tc>
        <w:tc>
          <w:tcPr>
            <w:tcW w:w="381"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7225EA2E" w14:textId="77777777" w:rsidR="00CF285A" w:rsidRPr="004537DF" w:rsidRDefault="00CF285A" w:rsidP="00384B8D">
            <w:pPr>
              <w:spacing w:line="480" w:lineRule="auto"/>
              <w:rPr>
                <w:b/>
                <w:bCs/>
                <w:sz w:val="18"/>
                <w:szCs w:val="18"/>
              </w:rPr>
            </w:pPr>
            <w:r w:rsidRPr="004537DF">
              <w:rPr>
                <w:b/>
                <w:bCs/>
                <w:sz w:val="18"/>
                <w:szCs w:val="18"/>
              </w:rPr>
              <w:t xml:space="preserve">Total </w:t>
            </w:r>
          </w:p>
        </w:tc>
        <w:tc>
          <w:tcPr>
            <w:tcW w:w="984"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3395E292" w14:textId="77777777" w:rsidR="00CF285A" w:rsidRPr="004537DF" w:rsidRDefault="00CF285A" w:rsidP="00384B8D">
            <w:pPr>
              <w:spacing w:line="480" w:lineRule="auto"/>
              <w:rPr>
                <w:b/>
                <w:sz w:val="18"/>
                <w:szCs w:val="18"/>
              </w:rPr>
            </w:pPr>
            <w:r w:rsidRPr="004537DF">
              <w:rPr>
                <w:b/>
                <w:sz w:val="18"/>
                <w:szCs w:val="18"/>
              </w:rPr>
              <w:t>Chi-Squared Statistic</w:t>
            </w:r>
          </w:p>
        </w:tc>
        <w:tc>
          <w:tcPr>
            <w:tcW w:w="482"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1821B842" w14:textId="77777777" w:rsidR="00CF285A" w:rsidRPr="004537DF" w:rsidRDefault="00CF285A" w:rsidP="00384B8D">
            <w:pPr>
              <w:spacing w:line="480" w:lineRule="auto"/>
              <w:rPr>
                <w:b/>
                <w:sz w:val="18"/>
                <w:szCs w:val="18"/>
              </w:rPr>
            </w:pPr>
            <w:r w:rsidRPr="004537DF">
              <w:rPr>
                <w:b/>
                <w:sz w:val="18"/>
                <w:szCs w:val="18"/>
              </w:rPr>
              <w:t>p-Value</w:t>
            </w:r>
          </w:p>
        </w:tc>
      </w:tr>
      <w:tr w:rsidR="00CF285A" w:rsidRPr="004537DF" w14:paraId="52B97E89" w14:textId="77777777" w:rsidTr="00384B8D">
        <w:trPr>
          <w:trHeight w:val="227"/>
        </w:trPr>
        <w:tc>
          <w:tcPr>
            <w:tcW w:w="5000" w:type="pct"/>
            <w:gridSpan w:val="7"/>
            <w:tcBorders>
              <w:top w:val="single" w:sz="18" w:space="0" w:color="000000" w:themeColor="text1"/>
              <w:left w:val="single" w:sz="4" w:space="0" w:color="000000" w:themeColor="text1"/>
              <w:bottom w:val="single" w:sz="4" w:space="0" w:color="000000" w:themeColor="text1"/>
              <w:right w:val="nil"/>
            </w:tcBorders>
          </w:tcPr>
          <w:p w14:paraId="6E5BCC4C" w14:textId="77777777" w:rsidR="00CF285A" w:rsidRPr="004537DF" w:rsidRDefault="00CF285A" w:rsidP="00384B8D">
            <w:pPr>
              <w:spacing w:line="480" w:lineRule="auto"/>
              <w:rPr>
                <w:sz w:val="18"/>
                <w:szCs w:val="18"/>
              </w:rPr>
            </w:pPr>
            <w:r w:rsidRPr="004537DF">
              <w:rPr>
                <w:b/>
                <w:bCs/>
                <w:sz w:val="18"/>
                <w:szCs w:val="18"/>
              </w:rPr>
              <w:t>LAMENESS</w:t>
            </w:r>
          </w:p>
        </w:tc>
      </w:tr>
      <w:tr w:rsidR="00CF285A" w:rsidRPr="004537DF" w14:paraId="0FCFBD87" w14:textId="77777777" w:rsidTr="00384B8D">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384295" w14:textId="77777777" w:rsidR="00CF285A" w:rsidRPr="004537DF" w:rsidRDefault="00CF285A" w:rsidP="00384B8D">
            <w:pPr>
              <w:spacing w:line="480" w:lineRule="auto"/>
              <w:rPr>
                <w:sz w:val="18"/>
                <w:szCs w:val="18"/>
              </w:rPr>
            </w:pPr>
            <w:r w:rsidRPr="004537DF">
              <w:rPr>
                <w:sz w:val="18"/>
                <w:szCs w:val="18"/>
              </w:rPr>
              <w:t>Success</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5F2EC9" w14:textId="77777777" w:rsidR="00CF285A" w:rsidRPr="004537DF" w:rsidRDefault="00CF285A" w:rsidP="00384B8D">
            <w:pPr>
              <w:spacing w:line="480" w:lineRule="auto"/>
              <w:rPr>
                <w:sz w:val="18"/>
                <w:szCs w:val="18"/>
              </w:rPr>
            </w:pPr>
            <w:r w:rsidRPr="004537DF">
              <w:rPr>
                <w:sz w:val="18"/>
                <w:szCs w:val="18"/>
              </w:rPr>
              <w:t>6*</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2BB00" w14:textId="77777777" w:rsidR="00CF285A" w:rsidRPr="004537DF" w:rsidRDefault="00CF285A" w:rsidP="00384B8D">
            <w:pPr>
              <w:spacing w:line="480" w:lineRule="auto"/>
              <w:rPr>
                <w:sz w:val="18"/>
                <w:szCs w:val="18"/>
              </w:rPr>
            </w:pPr>
            <w:r w:rsidRPr="004537DF">
              <w:rPr>
                <w:sz w:val="18"/>
                <w:szCs w:val="18"/>
              </w:rPr>
              <w:t>1</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CAAA5" w14:textId="77777777" w:rsidR="00CF285A" w:rsidRPr="004537DF" w:rsidRDefault="00CF285A" w:rsidP="00384B8D">
            <w:pPr>
              <w:spacing w:line="480" w:lineRule="auto"/>
              <w:rPr>
                <w:sz w:val="18"/>
                <w:szCs w:val="18"/>
              </w:rPr>
            </w:pPr>
            <w:r w:rsidRPr="004537DF">
              <w:rPr>
                <w:sz w:val="18"/>
                <w:szCs w:val="18"/>
              </w:rPr>
              <w:t>2</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B45E6" w14:textId="77777777" w:rsidR="00CF285A" w:rsidRPr="004537DF" w:rsidRDefault="00CF285A" w:rsidP="00384B8D">
            <w:pPr>
              <w:spacing w:line="480" w:lineRule="auto"/>
              <w:rPr>
                <w:sz w:val="18"/>
                <w:szCs w:val="18"/>
              </w:rPr>
            </w:pPr>
            <w:r w:rsidRPr="004537DF">
              <w:rPr>
                <w:sz w:val="18"/>
                <w:szCs w:val="18"/>
              </w:rPr>
              <w:t>9</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546C0" w14:textId="77777777" w:rsidR="00CF285A" w:rsidRPr="004537DF" w:rsidRDefault="00CF285A" w:rsidP="00384B8D">
            <w:pPr>
              <w:spacing w:line="480" w:lineRule="auto"/>
              <w:rPr>
                <w:sz w:val="18"/>
                <w:szCs w:val="18"/>
              </w:rPr>
            </w:pPr>
          </w:p>
        </w:tc>
        <w:tc>
          <w:tcPr>
            <w:tcW w:w="4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7DE16" w14:textId="77777777" w:rsidR="00CF285A" w:rsidRPr="004537DF" w:rsidRDefault="00CF285A" w:rsidP="00384B8D">
            <w:pPr>
              <w:spacing w:line="480" w:lineRule="auto"/>
              <w:rPr>
                <w:sz w:val="18"/>
                <w:szCs w:val="18"/>
              </w:rPr>
            </w:pPr>
          </w:p>
        </w:tc>
      </w:tr>
      <w:tr w:rsidR="00CF285A" w:rsidRPr="004537DF" w14:paraId="323F9964" w14:textId="77777777" w:rsidTr="00384B8D">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68BC2" w14:textId="77777777" w:rsidR="00CF285A" w:rsidRPr="004537DF" w:rsidRDefault="00CF285A" w:rsidP="00384B8D">
            <w:pPr>
              <w:spacing w:line="480" w:lineRule="auto"/>
              <w:rPr>
                <w:sz w:val="18"/>
                <w:szCs w:val="18"/>
              </w:rPr>
            </w:pPr>
            <w:r w:rsidRPr="004537DF">
              <w:rPr>
                <w:sz w:val="18"/>
                <w:szCs w:val="18"/>
              </w:rPr>
              <w:t>Nil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C4F4B" w14:textId="77777777" w:rsidR="00CF285A" w:rsidRPr="004537DF" w:rsidRDefault="00CF285A" w:rsidP="00384B8D">
            <w:pPr>
              <w:spacing w:line="480" w:lineRule="auto"/>
              <w:rPr>
                <w:sz w:val="18"/>
                <w:szCs w:val="18"/>
              </w:rPr>
            </w:pPr>
            <w:r w:rsidRPr="004537DF">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8AC477" w14:textId="77777777" w:rsidR="00CF285A" w:rsidRPr="004537DF" w:rsidRDefault="00CF285A" w:rsidP="00384B8D">
            <w:pPr>
              <w:spacing w:line="480" w:lineRule="auto"/>
              <w:rPr>
                <w:sz w:val="18"/>
                <w:szCs w:val="18"/>
              </w:rPr>
            </w:pPr>
            <w:r w:rsidRPr="004537DF">
              <w:rPr>
                <w:sz w:val="18"/>
                <w:szCs w:val="18"/>
              </w:rPr>
              <w:t>1</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FE95E" w14:textId="77777777" w:rsidR="00CF285A" w:rsidRPr="004537DF" w:rsidRDefault="00CF285A" w:rsidP="00384B8D">
            <w:pPr>
              <w:spacing w:line="480" w:lineRule="auto"/>
              <w:rPr>
                <w:sz w:val="18"/>
                <w:szCs w:val="18"/>
              </w:rPr>
            </w:pPr>
            <w:r w:rsidRPr="004537DF">
              <w:rPr>
                <w:sz w:val="18"/>
                <w:szCs w:val="18"/>
              </w:rPr>
              <w:t>2</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C87059" w14:textId="77777777" w:rsidR="00CF285A" w:rsidRPr="004537DF" w:rsidRDefault="00CF285A" w:rsidP="00384B8D">
            <w:pPr>
              <w:spacing w:line="480" w:lineRule="auto"/>
              <w:rPr>
                <w:sz w:val="18"/>
                <w:szCs w:val="18"/>
              </w:rPr>
            </w:pPr>
            <w:r w:rsidRPr="004537DF">
              <w:rPr>
                <w:sz w:val="18"/>
                <w:szCs w:val="18"/>
              </w:rPr>
              <w:t>3</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ADED3" w14:textId="77777777" w:rsidR="00CF285A" w:rsidRPr="004537DF" w:rsidRDefault="00CF285A" w:rsidP="00384B8D">
            <w:pPr>
              <w:spacing w:line="480" w:lineRule="auto"/>
              <w:rPr>
                <w:sz w:val="18"/>
                <w:szCs w:val="18"/>
              </w:rPr>
            </w:pPr>
          </w:p>
        </w:tc>
        <w:tc>
          <w:tcPr>
            <w:tcW w:w="4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30BFB" w14:textId="77777777" w:rsidR="00CF285A" w:rsidRPr="004537DF" w:rsidRDefault="00CF285A" w:rsidP="00384B8D">
            <w:pPr>
              <w:spacing w:line="480" w:lineRule="auto"/>
              <w:rPr>
                <w:sz w:val="18"/>
                <w:szCs w:val="18"/>
              </w:rPr>
            </w:pPr>
          </w:p>
        </w:tc>
      </w:tr>
      <w:tr w:rsidR="00CF285A" w:rsidRPr="004537DF" w14:paraId="40E6BEC6" w14:textId="77777777" w:rsidTr="00384B8D">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C58CF" w14:textId="77777777" w:rsidR="00CF285A" w:rsidRPr="004537DF" w:rsidRDefault="00CF285A" w:rsidP="00384B8D">
            <w:pPr>
              <w:spacing w:line="480" w:lineRule="auto"/>
              <w:rPr>
                <w:sz w:val="18"/>
                <w:szCs w:val="18"/>
              </w:rPr>
            </w:pPr>
            <w:r w:rsidRPr="004537DF">
              <w:rPr>
                <w:sz w:val="18"/>
                <w:szCs w:val="18"/>
              </w:rPr>
              <w:t>Fail</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7E1FB" w14:textId="77777777" w:rsidR="00CF285A" w:rsidRPr="004537DF" w:rsidRDefault="00CF285A" w:rsidP="00384B8D">
            <w:pPr>
              <w:spacing w:line="480" w:lineRule="auto"/>
              <w:rPr>
                <w:sz w:val="18"/>
                <w:szCs w:val="18"/>
              </w:rPr>
            </w:pPr>
            <w:r w:rsidRPr="004537DF">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5196D" w14:textId="77777777" w:rsidR="00CF285A" w:rsidRPr="004537DF" w:rsidRDefault="00CF285A" w:rsidP="00384B8D">
            <w:pPr>
              <w:spacing w:line="480" w:lineRule="auto"/>
              <w:rPr>
                <w:sz w:val="18"/>
                <w:szCs w:val="18"/>
              </w:rPr>
            </w:pPr>
            <w:r w:rsidRPr="004537DF">
              <w:rPr>
                <w:sz w:val="18"/>
                <w:szCs w:val="18"/>
              </w:rPr>
              <w:t>1</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ED29C3" w14:textId="77777777" w:rsidR="00CF285A" w:rsidRPr="004537DF" w:rsidRDefault="00CF285A" w:rsidP="00384B8D">
            <w:pPr>
              <w:spacing w:line="480" w:lineRule="auto"/>
              <w:rPr>
                <w:sz w:val="18"/>
                <w:szCs w:val="18"/>
              </w:rPr>
            </w:pPr>
            <w:r w:rsidRPr="004537DF">
              <w:rPr>
                <w:sz w:val="18"/>
                <w:szCs w:val="18"/>
              </w:rPr>
              <w:t>2</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7FC66" w14:textId="77777777" w:rsidR="00CF285A" w:rsidRPr="004537DF" w:rsidRDefault="00CF285A" w:rsidP="00384B8D">
            <w:pPr>
              <w:spacing w:line="480" w:lineRule="auto"/>
              <w:rPr>
                <w:sz w:val="18"/>
                <w:szCs w:val="18"/>
              </w:rPr>
            </w:pPr>
            <w:r w:rsidRPr="004537DF">
              <w:rPr>
                <w:sz w:val="18"/>
                <w:szCs w:val="18"/>
              </w:rPr>
              <w:t>3</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AB7BD" w14:textId="77777777" w:rsidR="00CF285A" w:rsidRPr="004537DF" w:rsidRDefault="00CF285A" w:rsidP="00384B8D">
            <w:pPr>
              <w:spacing w:line="480" w:lineRule="auto"/>
              <w:rPr>
                <w:sz w:val="18"/>
                <w:szCs w:val="18"/>
              </w:rPr>
            </w:pPr>
          </w:p>
        </w:tc>
        <w:tc>
          <w:tcPr>
            <w:tcW w:w="4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7899A" w14:textId="77777777" w:rsidR="00CF285A" w:rsidRPr="004537DF" w:rsidRDefault="00CF285A" w:rsidP="00384B8D">
            <w:pPr>
              <w:spacing w:line="480" w:lineRule="auto"/>
              <w:rPr>
                <w:sz w:val="18"/>
                <w:szCs w:val="18"/>
              </w:rPr>
            </w:pPr>
          </w:p>
        </w:tc>
      </w:tr>
      <w:tr w:rsidR="00CF285A" w:rsidRPr="004537DF" w14:paraId="7AC79F38" w14:textId="77777777" w:rsidTr="00384B8D">
        <w:trPr>
          <w:trHeight w:val="227"/>
        </w:trPr>
        <w:tc>
          <w:tcPr>
            <w:tcW w:w="14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18612" w14:textId="77777777" w:rsidR="00CF285A" w:rsidRPr="004537DF" w:rsidRDefault="00CF285A" w:rsidP="00384B8D">
            <w:pPr>
              <w:spacing w:line="480" w:lineRule="auto"/>
              <w:rPr>
                <w:sz w:val="18"/>
                <w:szCs w:val="18"/>
              </w:rPr>
            </w:pPr>
            <w:r w:rsidRPr="004537DF">
              <w:rPr>
                <w:sz w:val="18"/>
                <w:szCs w:val="18"/>
              </w:rPr>
              <w:t>Withdrawn</w:t>
            </w: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16011" w14:textId="77777777" w:rsidR="00CF285A" w:rsidRPr="004537DF" w:rsidRDefault="00CF285A" w:rsidP="00384B8D">
            <w:pPr>
              <w:spacing w:line="480" w:lineRule="auto"/>
              <w:rPr>
                <w:sz w:val="18"/>
                <w:szCs w:val="18"/>
              </w:rPr>
            </w:pPr>
            <w:r w:rsidRPr="004537DF">
              <w:rPr>
                <w:sz w:val="18"/>
                <w:szCs w:val="18"/>
              </w:rPr>
              <w:t>0</w:t>
            </w:r>
          </w:p>
        </w:tc>
        <w:tc>
          <w:tcPr>
            <w:tcW w:w="5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FF4C03" w14:textId="77777777" w:rsidR="00CF285A" w:rsidRPr="004537DF" w:rsidRDefault="00CF285A" w:rsidP="00384B8D">
            <w:pPr>
              <w:spacing w:line="480" w:lineRule="auto"/>
              <w:rPr>
                <w:sz w:val="18"/>
                <w:szCs w:val="18"/>
              </w:rPr>
            </w:pPr>
            <w:r w:rsidRPr="004537DF">
              <w:rPr>
                <w:sz w:val="18"/>
                <w:szCs w:val="18"/>
              </w:rPr>
              <w:t>4</w:t>
            </w:r>
          </w:p>
        </w:tc>
        <w:tc>
          <w:tcPr>
            <w:tcW w:w="4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13CEC8" w14:textId="77777777" w:rsidR="00CF285A" w:rsidRPr="004537DF" w:rsidRDefault="00CF285A" w:rsidP="00384B8D">
            <w:pPr>
              <w:spacing w:line="480" w:lineRule="auto"/>
              <w:rPr>
                <w:sz w:val="18"/>
                <w:szCs w:val="18"/>
              </w:rPr>
            </w:pPr>
            <w:r w:rsidRPr="004537DF">
              <w:rPr>
                <w:sz w:val="18"/>
                <w:szCs w:val="18"/>
              </w:rPr>
              <w:t>0</w:t>
            </w:r>
          </w:p>
        </w:tc>
        <w:tc>
          <w:tcPr>
            <w:tcW w:w="3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F09145" w14:textId="77777777" w:rsidR="00CF285A" w:rsidRPr="004537DF" w:rsidRDefault="00CF285A" w:rsidP="00384B8D">
            <w:pPr>
              <w:spacing w:line="480" w:lineRule="auto"/>
              <w:rPr>
                <w:sz w:val="18"/>
                <w:szCs w:val="18"/>
              </w:rPr>
            </w:pPr>
            <w:r w:rsidRPr="004537DF">
              <w:rPr>
                <w:sz w:val="18"/>
                <w:szCs w:val="18"/>
              </w:rPr>
              <w:t>4</w:t>
            </w:r>
          </w:p>
        </w:tc>
        <w:tc>
          <w:tcPr>
            <w:tcW w:w="9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1C9E6" w14:textId="77777777" w:rsidR="00CF285A" w:rsidRPr="004537DF" w:rsidRDefault="00CF285A" w:rsidP="00384B8D">
            <w:pPr>
              <w:spacing w:line="480" w:lineRule="auto"/>
              <w:rPr>
                <w:sz w:val="18"/>
                <w:szCs w:val="18"/>
              </w:rPr>
            </w:pPr>
          </w:p>
        </w:tc>
        <w:tc>
          <w:tcPr>
            <w:tcW w:w="4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B617B" w14:textId="77777777" w:rsidR="00CF285A" w:rsidRPr="004537DF" w:rsidRDefault="00CF285A" w:rsidP="00384B8D">
            <w:pPr>
              <w:spacing w:line="480" w:lineRule="auto"/>
              <w:rPr>
                <w:sz w:val="18"/>
                <w:szCs w:val="18"/>
              </w:rPr>
            </w:pPr>
          </w:p>
        </w:tc>
      </w:tr>
      <w:tr w:rsidR="00CF285A" w:rsidRPr="004537DF" w14:paraId="1FDE464B" w14:textId="77777777" w:rsidTr="00384B8D">
        <w:trPr>
          <w:trHeight w:val="227"/>
        </w:trPr>
        <w:tc>
          <w:tcPr>
            <w:tcW w:w="1467"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57342AFE" w14:textId="77777777" w:rsidR="00CF285A" w:rsidRPr="004537DF" w:rsidRDefault="00CF285A" w:rsidP="00384B8D">
            <w:pPr>
              <w:spacing w:line="480" w:lineRule="auto"/>
              <w:rPr>
                <w:sz w:val="18"/>
                <w:szCs w:val="18"/>
              </w:rPr>
            </w:pPr>
            <w:r w:rsidRPr="004537DF">
              <w:rPr>
                <w:sz w:val="18"/>
                <w:szCs w:val="18"/>
              </w:rPr>
              <w:t>Proportion Successful Treatments</w:t>
            </w:r>
          </w:p>
        </w:tc>
        <w:tc>
          <w:tcPr>
            <w:tcW w:w="702"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076231A9" w14:textId="77777777" w:rsidR="00CF285A" w:rsidRPr="004537DF" w:rsidRDefault="00CF285A" w:rsidP="00384B8D">
            <w:pPr>
              <w:spacing w:line="480" w:lineRule="auto"/>
              <w:rPr>
                <w:sz w:val="18"/>
                <w:szCs w:val="18"/>
              </w:rPr>
            </w:pPr>
            <w:r w:rsidRPr="004537DF">
              <w:rPr>
                <w:sz w:val="18"/>
                <w:szCs w:val="18"/>
              </w:rPr>
              <w:t>100.0%*</w:t>
            </w:r>
          </w:p>
        </w:tc>
        <w:tc>
          <w:tcPr>
            <w:tcW w:w="561"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5D17DCA3" w14:textId="77777777" w:rsidR="00CF285A" w:rsidRPr="004537DF" w:rsidRDefault="00CF285A" w:rsidP="00384B8D">
            <w:pPr>
              <w:spacing w:line="480" w:lineRule="auto"/>
              <w:rPr>
                <w:sz w:val="18"/>
                <w:szCs w:val="18"/>
              </w:rPr>
            </w:pPr>
            <w:r w:rsidRPr="004537DF">
              <w:rPr>
                <w:sz w:val="18"/>
                <w:szCs w:val="18"/>
              </w:rPr>
              <w:t>14.3%</w:t>
            </w:r>
          </w:p>
        </w:tc>
        <w:tc>
          <w:tcPr>
            <w:tcW w:w="423"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7778348D" w14:textId="77777777" w:rsidR="00CF285A" w:rsidRPr="004537DF" w:rsidRDefault="00CF285A" w:rsidP="00384B8D">
            <w:pPr>
              <w:spacing w:line="480" w:lineRule="auto"/>
              <w:rPr>
                <w:sz w:val="18"/>
                <w:szCs w:val="18"/>
              </w:rPr>
            </w:pPr>
            <w:r w:rsidRPr="004537DF">
              <w:rPr>
                <w:sz w:val="18"/>
                <w:szCs w:val="18"/>
              </w:rPr>
              <w:t>33.3%</w:t>
            </w:r>
          </w:p>
        </w:tc>
        <w:tc>
          <w:tcPr>
            <w:tcW w:w="381" w:type="pct"/>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5984EF2C" w14:textId="77777777" w:rsidR="00CF285A" w:rsidRPr="004537DF" w:rsidRDefault="00CF285A" w:rsidP="00384B8D">
            <w:pPr>
              <w:spacing w:line="480" w:lineRule="auto"/>
              <w:rPr>
                <w:i/>
                <w:sz w:val="18"/>
                <w:szCs w:val="18"/>
              </w:rPr>
            </w:pPr>
          </w:p>
        </w:tc>
        <w:tc>
          <w:tcPr>
            <w:tcW w:w="984"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5BD83ED4" w14:textId="77777777" w:rsidR="00CF285A" w:rsidRPr="004537DF" w:rsidRDefault="00CF285A" w:rsidP="00384B8D">
            <w:pPr>
              <w:spacing w:line="480" w:lineRule="auto"/>
              <w:rPr>
                <w:sz w:val="18"/>
                <w:szCs w:val="18"/>
              </w:rPr>
            </w:pPr>
            <w:r w:rsidRPr="004537DF">
              <w:rPr>
                <w:sz w:val="18"/>
                <w:szCs w:val="18"/>
              </w:rPr>
              <w:t>10.21</w:t>
            </w:r>
          </w:p>
        </w:tc>
        <w:tc>
          <w:tcPr>
            <w:tcW w:w="482" w:type="pct"/>
            <w:tcBorders>
              <w:top w:val="single" w:sz="4" w:space="0" w:color="000000" w:themeColor="text1"/>
              <w:left w:val="single" w:sz="4" w:space="0" w:color="000000" w:themeColor="text1"/>
              <w:bottom w:val="single" w:sz="8" w:space="0" w:color="000000" w:themeColor="text1"/>
              <w:right w:val="single" w:sz="4" w:space="0" w:color="000000" w:themeColor="text1"/>
            </w:tcBorders>
            <w:hideMark/>
          </w:tcPr>
          <w:p w14:paraId="11EF2EAC" w14:textId="77777777" w:rsidR="00CF285A" w:rsidRPr="004537DF" w:rsidRDefault="00CF285A" w:rsidP="00384B8D">
            <w:pPr>
              <w:spacing w:line="480" w:lineRule="auto"/>
              <w:rPr>
                <w:b/>
                <w:bCs/>
                <w:sz w:val="18"/>
                <w:szCs w:val="18"/>
              </w:rPr>
            </w:pPr>
            <w:r w:rsidRPr="004537DF">
              <w:rPr>
                <w:b/>
                <w:bCs/>
                <w:sz w:val="18"/>
                <w:szCs w:val="18"/>
              </w:rPr>
              <w:t>0.006</w:t>
            </w:r>
          </w:p>
        </w:tc>
      </w:tr>
    </w:tbl>
    <w:p w14:paraId="2D3B5B80" w14:textId="77777777" w:rsidR="00CF285A" w:rsidRPr="004537DF" w:rsidRDefault="00CF285A" w:rsidP="00CF285A">
      <w:pPr>
        <w:spacing w:line="480" w:lineRule="auto"/>
        <w:rPr>
          <w:sz w:val="22"/>
          <w:szCs w:val="22"/>
        </w:rPr>
      </w:pPr>
    </w:p>
    <w:p w14:paraId="59321670" w14:textId="77777777" w:rsidR="00CF285A" w:rsidRPr="004537DF" w:rsidRDefault="00CF285A" w:rsidP="00CF285A">
      <w:pPr>
        <w:spacing w:line="480" w:lineRule="auto"/>
        <w:rPr>
          <w:sz w:val="22"/>
          <w:szCs w:val="22"/>
        </w:rPr>
      </w:pPr>
      <w:r w:rsidRPr="004537DF">
        <w:rPr>
          <w:sz w:val="22"/>
          <w:szCs w:val="22"/>
        </w:rPr>
        <w:t xml:space="preserve">Table 4: (Continued). Pairwise comparison for success and 95% confidence intervals at 6-weeks for lameness of the joints treated with 2.5% PAAG, TA or HA; Bilaterally lame horses excluded. Statistical significance indicated by an asterisk(*) when p&lt;0.05.  </w:t>
      </w:r>
    </w:p>
    <w:tbl>
      <w:tblPr>
        <w:tblStyle w:val="Grilledutableau"/>
        <w:tblpPr w:leftFromText="141" w:rightFromText="141" w:vertAnchor="text" w:horzAnchor="margin" w:tblpY="155"/>
        <w:tblW w:w="5000" w:type="pct"/>
        <w:tblLook w:val="04A0" w:firstRow="1" w:lastRow="0" w:firstColumn="1" w:lastColumn="0" w:noHBand="0" w:noVBand="1"/>
      </w:tblPr>
      <w:tblGrid>
        <w:gridCol w:w="1755"/>
        <w:gridCol w:w="1757"/>
        <w:gridCol w:w="1171"/>
        <w:gridCol w:w="1171"/>
        <w:gridCol w:w="1317"/>
        <w:gridCol w:w="1317"/>
      </w:tblGrid>
      <w:tr w:rsidR="00CF285A" w:rsidRPr="004537DF" w14:paraId="14875779" w14:textId="77777777" w:rsidTr="00384B8D">
        <w:trPr>
          <w:trHeight w:val="227"/>
        </w:trPr>
        <w:tc>
          <w:tcPr>
            <w:tcW w:w="1033"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7193B7D4" w14:textId="77777777" w:rsidR="00CF285A" w:rsidRPr="004537DF" w:rsidRDefault="00CF285A" w:rsidP="00384B8D">
            <w:pPr>
              <w:spacing w:line="480" w:lineRule="auto"/>
              <w:rPr>
                <w:b/>
                <w:sz w:val="18"/>
                <w:szCs w:val="18"/>
              </w:rPr>
            </w:pPr>
            <w:r w:rsidRPr="004537DF">
              <w:rPr>
                <w:b/>
                <w:sz w:val="18"/>
                <w:szCs w:val="18"/>
              </w:rPr>
              <w:t>Pairwise Comparisons</w:t>
            </w:r>
          </w:p>
          <w:p w14:paraId="4B00247E" w14:textId="77777777" w:rsidR="00CF285A" w:rsidRPr="004537DF" w:rsidRDefault="00CF285A" w:rsidP="00384B8D">
            <w:pPr>
              <w:spacing w:line="480" w:lineRule="auto"/>
              <w:rPr>
                <w:b/>
                <w:sz w:val="18"/>
                <w:szCs w:val="18"/>
              </w:rPr>
            </w:pPr>
          </w:p>
        </w:tc>
        <w:tc>
          <w:tcPr>
            <w:tcW w:w="1035"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5F84E5F1" w14:textId="77777777" w:rsidR="00CF285A" w:rsidRPr="004537DF" w:rsidRDefault="00CF285A" w:rsidP="00384B8D">
            <w:pPr>
              <w:spacing w:line="480" w:lineRule="auto"/>
              <w:rPr>
                <w:b/>
                <w:bCs/>
                <w:sz w:val="18"/>
                <w:szCs w:val="18"/>
              </w:rPr>
            </w:pPr>
            <w:r w:rsidRPr="004537DF">
              <w:rPr>
                <w:b/>
                <w:sz w:val="18"/>
                <w:szCs w:val="18"/>
              </w:rPr>
              <w:t>Point Estimate of Difference (%)</w:t>
            </w:r>
          </w:p>
        </w:tc>
        <w:tc>
          <w:tcPr>
            <w:tcW w:w="690"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0876252C" w14:textId="77777777" w:rsidR="00CF285A" w:rsidRPr="004537DF" w:rsidRDefault="00CF285A" w:rsidP="00384B8D">
            <w:pPr>
              <w:spacing w:line="480" w:lineRule="auto"/>
              <w:rPr>
                <w:b/>
                <w:bCs/>
                <w:sz w:val="18"/>
                <w:szCs w:val="18"/>
              </w:rPr>
            </w:pPr>
            <w:r w:rsidRPr="004537DF">
              <w:rPr>
                <w:b/>
                <w:sz w:val="18"/>
                <w:szCs w:val="18"/>
              </w:rPr>
              <w:t>Lower 95% CI (% Difference)</w:t>
            </w:r>
          </w:p>
        </w:tc>
        <w:tc>
          <w:tcPr>
            <w:tcW w:w="690"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377CBB90" w14:textId="77777777" w:rsidR="00CF285A" w:rsidRPr="004537DF" w:rsidRDefault="00CF285A" w:rsidP="00384B8D">
            <w:pPr>
              <w:spacing w:line="480" w:lineRule="auto"/>
              <w:rPr>
                <w:b/>
                <w:bCs/>
                <w:sz w:val="18"/>
                <w:szCs w:val="18"/>
              </w:rPr>
            </w:pPr>
            <w:r w:rsidRPr="004537DF">
              <w:rPr>
                <w:b/>
                <w:sz w:val="18"/>
                <w:szCs w:val="18"/>
              </w:rPr>
              <w:t>Higher 95% CI (% Difference)</w:t>
            </w:r>
          </w:p>
        </w:tc>
        <w:tc>
          <w:tcPr>
            <w:tcW w:w="776"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47344E17" w14:textId="77777777" w:rsidR="00CF285A" w:rsidRPr="004537DF" w:rsidRDefault="00CF285A" w:rsidP="00384B8D">
            <w:pPr>
              <w:spacing w:line="480" w:lineRule="auto"/>
              <w:rPr>
                <w:b/>
                <w:sz w:val="18"/>
                <w:szCs w:val="18"/>
              </w:rPr>
            </w:pPr>
            <w:r w:rsidRPr="004537DF">
              <w:rPr>
                <w:b/>
                <w:sz w:val="18"/>
                <w:szCs w:val="18"/>
              </w:rPr>
              <w:t>Chi-Squared Statistic</w:t>
            </w:r>
          </w:p>
        </w:tc>
        <w:tc>
          <w:tcPr>
            <w:tcW w:w="777" w:type="pct"/>
            <w:tcBorders>
              <w:top w:val="single" w:sz="18" w:space="0" w:color="000000" w:themeColor="text1"/>
              <w:left w:val="single" w:sz="4" w:space="0" w:color="000000" w:themeColor="text1"/>
              <w:bottom w:val="single" w:sz="18" w:space="0" w:color="000000" w:themeColor="text1"/>
              <w:right w:val="single" w:sz="4" w:space="0" w:color="000000" w:themeColor="text1"/>
            </w:tcBorders>
            <w:hideMark/>
          </w:tcPr>
          <w:p w14:paraId="3CA4ACD6" w14:textId="77777777" w:rsidR="00CF285A" w:rsidRPr="004537DF" w:rsidRDefault="00CF285A" w:rsidP="00384B8D">
            <w:pPr>
              <w:spacing w:line="480" w:lineRule="auto"/>
              <w:rPr>
                <w:b/>
                <w:sz w:val="18"/>
                <w:szCs w:val="18"/>
              </w:rPr>
            </w:pPr>
            <w:r w:rsidRPr="004537DF">
              <w:rPr>
                <w:b/>
                <w:sz w:val="18"/>
                <w:szCs w:val="18"/>
              </w:rPr>
              <w:t>p-Value</w:t>
            </w:r>
          </w:p>
        </w:tc>
      </w:tr>
      <w:tr w:rsidR="00CF285A" w:rsidRPr="004537DF" w14:paraId="72A4C8D3" w14:textId="77777777" w:rsidTr="00384B8D">
        <w:trPr>
          <w:trHeight w:val="227"/>
        </w:trPr>
        <w:tc>
          <w:tcPr>
            <w:tcW w:w="1033" w:type="pct"/>
            <w:tcBorders>
              <w:top w:val="single" w:sz="18" w:space="0" w:color="000000" w:themeColor="text1"/>
              <w:left w:val="single" w:sz="4" w:space="0" w:color="000000" w:themeColor="text1"/>
              <w:bottom w:val="single" w:sz="4" w:space="0" w:color="000000" w:themeColor="text1"/>
              <w:right w:val="nil"/>
            </w:tcBorders>
          </w:tcPr>
          <w:p w14:paraId="27338C9C" w14:textId="77777777" w:rsidR="00CF285A" w:rsidRPr="004537DF" w:rsidRDefault="00CF285A" w:rsidP="00384B8D">
            <w:pPr>
              <w:spacing w:line="480" w:lineRule="auto"/>
              <w:rPr>
                <w:sz w:val="18"/>
                <w:szCs w:val="18"/>
              </w:rPr>
            </w:pPr>
          </w:p>
        </w:tc>
        <w:tc>
          <w:tcPr>
            <w:tcW w:w="1035" w:type="pct"/>
            <w:tcBorders>
              <w:top w:val="single" w:sz="18" w:space="0" w:color="000000" w:themeColor="text1"/>
              <w:left w:val="nil"/>
              <w:bottom w:val="single" w:sz="4" w:space="0" w:color="000000" w:themeColor="text1"/>
              <w:right w:val="nil"/>
            </w:tcBorders>
          </w:tcPr>
          <w:p w14:paraId="7FA5F35E" w14:textId="77777777" w:rsidR="00CF285A" w:rsidRPr="004537DF" w:rsidRDefault="00CF285A" w:rsidP="00384B8D">
            <w:pPr>
              <w:spacing w:line="480" w:lineRule="auto"/>
              <w:rPr>
                <w:sz w:val="18"/>
                <w:szCs w:val="18"/>
              </w:rPr>
            </w:pPr>
          </w:p>
        </w:tc>
        <w:tc>
          <w:tcPr>
            <w:tcW w:w="690" w:type="pct"/>
            <w:tcBorders>
              <w:top w:val="single" w:sz="18" w:space="0" w:color="000000" w:themeColor="text1"/>
              <w:left w:val="nil"/>
              <w:bottom w:val="single" w:sz="4" w:space="0" w:color="000000" w:themeColor="text1"/>
              <w:right w:val="nil"/>
            </w:tcBorders>
            <w:hideMark/>
          </w:tcPr>
          <w:p w14:paraId="1C764DEB" w14:textId="77777777" w:rsidR="00CF285A" w:rsidRPr="004537DF" w:rsidRDefault="00CF285A" w:rsidP="00384B8D">
            <w:pPr>
              <w:spacing w:line="480" w:lineRule="auto"/>
              <w:rPr>
                <w:b/>
                <w:bCs/>
                <w:sz w:val="18"/>
                <w:szCs w:val="18"/>
              </w:rPr>
            </w:pPr>
            <w:r w:rsidRPr="004537DF">
              <w:rPr>
                <w:b/>
                <w:bCs/>
                <w:sz w:val="18"/>
                <w:szCs w:val="18"/>
              </w:rPr>
              <w:t>LAMENESS</w:t>
            </w:r>
          </w:p>
        </w:tc>
        <w:tc>
          <w:tcPr>
            <w:tcW w:w="690" w:type="pct"/>
            <w:tcBorders>
              <w:top w:val="single" w:sz="18" w:space="0" w:color="000000" w:themeColor="text1"/>
              <w:left w:val="nil"/>
              <w:bottom w:val="single" w:sz="4" w:space="0" w:color="000000" w:themeColor="text1"/>
              <w:right w:val="nil"/>
            </w:tcBorders>
          </w:tcPr>
          <w:p w14:paraId="0197F216" w14:textId="77777777" w:rsidR="00CF285A" w:rsidRPr="004537DF" w:rsidRDefault="00CF285A" w:rsidP="00384B8D">
            <w:pPr>
              <w:spacing w:line="480" w:lineRule="auto"/>
              <w:rPr>
                <w:sz w:val="18"/>
                <w:szCs w:val="18"/>
              </w:rPr>
            </w:pPr>
          </w:p>
        </w:tc>
        <w:tc>
          <w:tcPr>
            <w:tcW w:w="776" w:type="pct"/>
            <w:tcBorders>
              <w:top w:val="single" w:sz="18" w:space="0" w:color="000000" w:themeColor="text1"/>
              <w:left w:val="nil"/>
              <w:bottom w:val="single" w:sz="4" w:space="0" w:color="000000" w:themeColor="text1"/>
              <w:right w:val="nil"/>
            </w:tcBorders>
          </w:tcPr>
          <w:p w14:paraId="3D2EF4EF" w14:textId="77777777" w:rsidR="00CF285A" w:rsidRPr="004537DF" w:rsidRDefault="00CF285A" w:rsidP="00384B8D">
            <w:pPr>
              <w:spacing w:line="480" w:lineRule="auto"/>
              <w:rPr>
                <w:sz w:val="18"/>
                <w:szCs w:val="18"/>
              </w:rPr>
            </w:pPr>
          </w:p>
        </w:tc>
        <w:tc>
          <w:tcPr>
            <w:tcW w:w="777" w:type="pct"/>
            <w:tcBorders>
              <w:top w:val="single" w:sz="18" w:space="0" w:color="000000" w:themeColor="text1"/>
              <w:left w:val="nil"/>
              <w:bottom w:val="single" w:sz="4" w:space="0" w:color="000000" w:themeColor="text1"/>
              <w:right w:val="single" w:sz="2" w:space="0" w:color="000000" w:themeColor="text1"/>
            </w:tcBorders>
          </w:tcPr>
          <w:p w14:paraId="4D773E7B" w14:textId="77777777" w:rsidR="00CF285A" w:rsidRPr="004537DF" w:rsidRDefault="00CF285A" w:rsidP="00384B8D">
            <w:pPr>
              <w:spacing w:line="480" w:lineRule="auto"/>
              <w:rPr>
                <w:sz w:val="18"/>
                <w:szCs w:val="18"/>
              </w:rPr>
            </w:pPr>
          </w:p>
        </w:tc>
      </w:tr>
      <w:tr w:rsidR="00CF285A" w:rsidRPr="004537DF" w14:paraId="64618CFA" w14:textId="77777777" w:rsidTr="00384B8D">
        <w:trPr>
          <w:trHeight w:val="227"/>
        </w:trPr>
        <w:tc>
          <w:tcPr>
            <w:tcW w:w="103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9462E" w14:textId="77777777" w:rsidR="00CF285A" w:rsidRPr="004537DF" w:rsidRDefault="00CF285A" w:rsidP="00384B8D">
            <w:pPr>
              <w:spacing w:line="480" w:lineRule="auto"/>
              <w:rPr>
                <w:sz w:val="18"/>
                <w:szCs w:val="18"/>
              </w:rPr>
            </w:pPr>
            <w:r w:rsidRPr="004537DF">
              <w:rPr>
                <w:sz w:val="18"/>
                <w:szCs w:val="18"/>
              </w:rPr>
              <w:t>2.5%PAAG vs TA *</w:t>
            </w:r>
          </w:p>
          <w:p w14:paraId="7CC6328A" w14:textId="77777777" w:rsidR="00CF285A" w:rsidRPr="004537DF" w:rsidRDefault="00CF285A" w:rsidP="00384B8D">
            <w:pPr>
              <w:spacing w:line="480" w:lineRule="auto"/>
              <w:rPr>
                <w:sz w:val="18"/>
                <w:szCs w:val="18"/>
              </w:rPr>
            </w:pP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8DE48C" w14:textId="77777777" w:rsidR="00CF285A" w:rsidRPr="004537DF" w:rsidRDefault="00CF285A" w:rsidP="00384B8D">
            <w:pPr>
              <w:spacing w:line="480" w:lineRule="auto"/>
              <w:rPr>
                <w:sz w:val="18"/>
                <w:szCs w:val="18"/>
              </w:rPr>
            </w:pPr>
            <w:r w:rsidRPr="004537DF">
              <w:rPr>
                <w:sz w:val="18"/>
                <w:szCs w:val="18"/>
              </w:rPr>
              <w:t>85.7%*</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85B7FD" w14:textId="77777777" w:rsidR="00CF285A" w:rsidRPr="004537DF" w:rsidRDefault="00CF285A" w:rsidP="00384B8D">
            <w:pPr>
              <w:spacing w:line="480" w:lineRule="auto"/>
              <w:rPr>
                <w:sz w:val="18"/>
                <w:szCs w:val="18"/>
              </w:rPr>
            </w:pPr>
            <w:r w:rsidRPr="004537DF">
              <w:rPr>
                <w:sz w:val="18"/>
                <w:szCs w:val="18"/>
              </w:rPr>
              <w:t>59.8%</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F01250" w14:textId="77777777" w:rsidR="00CF285A" w:rsidRPr="004537DF" w:rsidRDefault="00CF285A" w:rsidP="00384B8D">
            <w:pPr>
              <w:spacing w:line="480" w:lineRule="auto"/>
              <w:rPr>
                <w:sz w:val="18"/>
                <w:szCs w:val="18"/>
              </w:rPr>
            </w:pPr>
            <w:r w:rsidRPr="004537DF">
              <w:rPr>
                <w:sz w:val="18"/>
                <w:szCs w:val="18"/>
              </w:rPr>
              <w:t>100.0%</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B8A1D" w14:textId="77777777" w:rsidR="00CF285A" w:rsidRPr="004537DF" w:rsidRDefault="00CF285A" w:rsidP="00384B8D">
            <w:pPr>
              <w:spacing w:line="480" w:lineRule="auto"/>
              <w:rPr>
                <w:sz w:val="18"/>
                <w:szCs w:val="18"/>
              </w:rPr>
            </w:pPr>
            <w:r w:rsidRPr="004537DF">
              <w:rPr>
                <w:sz w:val="18"/>
                <w:szCs w:val="18"/>
              </w:rPr>
              <w:t>9.55</w:t>
            </w:r>
          </w:p>
        </w:tc>
        <w:tc>
          <w:tcPr>
            <w:tcW w:w="7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E488A" w14:textId="77777777" w:rsidR="00CF285A" w:rsidRPr="004537DF" w:rsidRDefault="00CF285A" w:rsidP="00384B8D">
            <w:pPr>
              <w:spacing w:line="480" w:lineRule="auto"/>
              <w:rPr>
                <w:b/>
                <w:bCs/>
                <w:sz w:val="18"/>
                <w:szCs w:val="18"/>
              </w:rPr>
            </w:pPr>
            <w:r w:rsidRPr="004537DF">
              <w:rPr>
                <w:b/>
                <w:bCs/>
                <w:sz w:val="18"/>
                <w:szCs w:val="18"/>
              </w:rPr>
              <w:t>0.002</w:t>
            </w:r>
          </w:p>
        </w:tc>
      </w:tr>
      <w:tr w:rsidR="00CF285A" w:rsidRPr="004537DF" w14:paraId="2B2900BE" w14:textId="77777777" w:rsidTr="00384B8D">
        <w:trPr>
          <w:trHeight w:val="227"/>
        </w:trPr>
        <w:tc>
          <w:tcPr>
            <w:tcW w:w="103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5187" w14:textId="77777777" w:rsidR="00CF285A" w:rsidRPr="004537DF" w:rsidRDefault="00CF285A" w:rsidP="00384B8D">
            <w:pPr>
              <w:spacing w:line="480" w:lineRule="auto"/>
              <w:rPr>
                <w:sz w:val="18"/>
                <w:szCs w:val="18"/>
              </w:rPr>
            </w:pPr>
            <w:r w:rsidRPr="004537DF">
              <w:rPr>
                <w:sz w:val="18"/>
                <w:szCs w:val="18"/>
              </w:rPr>
              <w:t>2.5%PAAG vs HA *</w:t>
            </w:r>
          </w:p>
        </w:tc>
        <w:tc>
          <w:tcPr>
            <w:tcW w:w="10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C66170" w14:textId="77777777" w:rsidR="00CF285A" w:rsidRPr="004537DF" w:rsidRDefault="00CF285A" w:rsidP="00384B8D">
            <w:pPr>
              <w:spacing w:line="480" w:lineRule="auto"/>
              <w:rPr>
                <w:sz w:val="18"/>
                <w:szCs w:val="18"/>
              </w:rPr>
            </w:pPr>
            <w:r w:rsidRPr="004537DF">
              <w:rPr>
                <w:sz w:val="18"/>
                <w:szCs w:val="18"/>
              </w:rPr>
              <w:t>66.7%*</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94E4C5" w14:textId="77777777" w:rsidR="00CF285A" w:rsidRPr="004537DF" w:rsidRDefault="00CF285A" w:rsidP="00384B8D">
            <w:pPr>
              <w:spacing w:line="480" w:lineRule="auto"/>
              <w:rPr>
                <w:sz w:val="18"/>
                <w:szCs w:val="18"/>
              </w:rPr>
            </w:pPr>
            <w:r w:rsidRPr="004537DF">
              <w:rPr>
                <w:sz w:val="18"/>
                <w:szCs w:val="18"/>
              </w:rPr>
              <w:t>13.3%</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1946AA" w14:textId="77777777" w:rsidR="00CF285A" w:rsidRPr="004537DF" w:rsidRDefault="00CF285A" w:rsidP="00384B8D">
            <w:pPr>
              <w:spacing w:line="480" w:lineRule="auto"/>
              <w:rPr>
                <w:sz w:val="18"/>
                <w:szCs w:val="18"/>
              </w:rPr>
            </w:pPr>
            <w:r w:rsidRPr="004537DF">
              <w:rPr>
                <w:sz w:val="18"/>
                <w:szCs w:val="18"/>
              </w:rPr>
              <w:t>100.0%</w:t>
            </w:r>
          </w:p>
        </w:tc>
        <w:tc>
          <w:tcPr>
            <w:tcW w:w="7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B8AD37" w14:textId="77777777" w:rsidR="00CF285A" w:rsidRPr="004537DF" w:rsidRDefault="00CF285A" w:rsidP="00384B8D">
            <w:pPr>
              <w:spacing w:line="480" w:lineRule="auto"/>
              <w:rPr>
                <w:sz w:val="18"/>
                <w:szCs w:val="18"/>
              </w:rPr>
            </w:pPr>
            <w:r w:rsidRPr="004537DF">
              <w:rPr>
                <w:sz w:val="18"/>
                <w:szCs w:val="18"/>
              </w:rPr>
              <w:t>6.00</w:t>
            </w:r>
          </w:p>
        </w:tc>
        <w:tc>
          <w:tcPr>
            <w:tcW w:w="7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D9FF6F" w14:textId="77777777" w:rsidR="00CF285A" w:rsidRPr="004537DF" w:rsidRDefault="00CF285A" w:rsidP="00384B8D">
            <w:pPr>
              <w:spacing w:line="480" w:lineRule="auto"/>
              <w:rPr>
                <w:b/>
                <w:bCs/>
                <w:sz w:val="18"/>
                <w:szCs w:val="18"/>
              </w:rPr>
            </w:pPr>
            <w:r w:rsidRPr="004537DF">
              <w:rPr>
                <w:b/>
                <w:bCs/>
                <w:sz w:val="18"/>
                <w:szCs w:val="18"/>
              </w:rPr>
              <w:t>0.014</w:t>
            </w:r>
          </w:p>
        </w:tc>
      </w:tr>
      <w:tr w:rsidR="00CF285A" w:rsidRPr="004537DF" w14:paraId="59117312" w14:textId="77777777" w:rsidTr="00384B8D">
        <w:trPr>
          <w:trHeight w:val="227"/>
        </w:trPr>
        <w:tc>
          <w:tcPr>
            <w:tcW w:w="1033"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5F0E546F" w14:textId="77777777" w:rsidR="00CF285A" w:rsidRPr="004537DF" w:rsidRDefault="00CF285A" w:rsidP="00384B8D">
            <w:pPr>
              <w:spacing w:line="480" w:lineRule="auto"/>
              <w:rPr>
                <w:sz w:val="18"/>
                <w:szCs w:val="18"/>
              </w:rPr>
            </w:pPr>
            <w:r w:rsidRPr="004537DF">
              <w:rPr>
                <w:sz w:val="18"/>
                <w:szCs w:val="18"/>
              </w:rPr>
              <w:t>TA vs HA</w:t>
            </w:r>
          </w:p>
        </w:tc>
        <w:tc>
          <w:tcPr>
            <w:tcW w:w="1035"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43CA173E" w14:textId="77777777" w:rsidR="00CF285A" w:rsidRPr="004537DF" w:rsidRDefault="00CF285A" w:rsidP="00384B8D">
            <w:pPr>
              <w:spacing w:line="480" w:lineRule="auto"/>
              <w:rPr>
                <w:sz w:val="18"/>
                <w:szCs w:val="18"/>
              </w:rPr>
            </w:pPr>
            <w:r w:rsidRPr="004537DF">
              <w:rPr>
                <w:sz w:val="18"/>
                <w:szCs w:val="18"/>
              </w:rPr>
              <w:t>-19.0%</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3AEA7519" w14:textId="77777777" w:rsidR="00CF285A" w:rsidRPr="004537DF" w:rsidRDefault="00CF285A" w:rsidP="00384B8D">
            <w:pPr>
              <w:spacing w:line="480" w:lineRule="auto"/>
              <w:rPr>
                <w:sz w:val="18"/>
                <w:szCs w:val="18"/>
              </w:rPr>
            </w:pPr>
            <w:r w:rsidRPr="004537DF">
              <w:rPr>
                <w:sz w:val="18"/>
                <w:szCs w:val="18"/>
              </w:rPr>
              <w:t>-65.0%</w:t>
            </w:r>
          </w:p>
        </w:tc>
        <w:tc>
          <w:tcPr>
            <w:tcW w:w="690"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4F9B162D" w14:textId="77777777" w:rsidR="00CF285A" w:rsidRPr="004537DF" w:rsidRDefault="00CF285A" w:rsidP="00384B8D">
            <w:pPr>
              <w:spacing w:line="480" w:lineRule="auto"/>
              <w:rPr>
                <w:sz w:val="18"/>
                <w:szCs w:val="18"/>
              </w:rPr>
            </w:pPr>
            <w:r w:rsidRPr="004537DF">
              <w:rPr>
                <w:sz w:val="18"/>
                <w:szCs w:val="18"/>
              </w:rPr>
              <w:t>26.9%</w:t>
            </w:r>
          </w:p>
        </w:tc>
        <w:tc>
          <w:tcPr>
            <w:tcW w:w="776"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0BAE8AE0" w14:textId="77777777" w:rsidR="00CF285A" w:rsidRPr="004537DF" w:rsidRDefault="00CF285A" w:rsidP="00384B8D">
            <w:pPr>
              <w:spacing w:line="480" w:lineRule="auto"/>
              <w:rPr>
                <w:sz w:val="18"/>
                <w:szCs w:val="18"/>
              </w:rPr>
            </w:pPr>
            <w:r w:rsidRPr="004537DF">
              <w:rPr>
                <w:sz w:val="18"/>
                <w:szCs w:val="18"/>
              </w:rPr>
              <w:t>0.66</w:t>
            </w:r>
          </w:p>
        </w:tc>
        <w:tc>
          <w:tcPr>
            <w:tcW w:w="777" w:type="pct"/>
            <w:tcBorders>
              <w:top w:val="single" w:sz="4" w:space="0" w:color="000000" w:themeColor="text1"/>
              <w:left w:val="single" w:sz="4" w:space="0" w:color="000000" w:themeColor="text1"/>
              <w:bottom w:val="single" w:sz="18" w:space="0" w:color="000000" w:themeColor="text1"/>
              <w:right w:val="single" w:sz="4" w:space="0" w:color="000000" w:themeColor="text1"/>
            </w:tcBorders>
            <w:hideMark/>
          </w:tcPr>
          <w:p w14:paraId="421274A3" w14:textId="77777777" w:rsidR="00CF285A" w:rsidRPr="004537DF" w:rsidRDefault="00CF285A" w:rsidP="00384B8D">
            <w:pPr>
              <w:spacing w:line="480" w:lineRule="auto"/>
              <w:rPr>
                <w:bCs/>
                <w:sz w:val="18"/>
                <w:szCs w:val="18"/>
              </w:rPr>
            </w:pPr>
            <w:r w:rsidRPr="004537DF">
              <w:rPr>
                <w:bCs/>
                <w:sz w:val="18"/>
                <w:szCs w:val="18"/>
              </w:rPr>
              <w:t>0.416</w:t>
            </w:r>
          </w:p>
        </w:tc>
      </w:tr>
    </w:tbl>
    <w:p w14:paraId="7051B246" w14:textId="77777777" w:rsidR="00CF285A" w:rsidRDefault="00CF285A" w:rsidP="00CF285A">
      <w:pPr>
        <w:spacing w:line="480" w:lineRule="auto"/>
        <w:rPr>
          <w:sz w:val="22"/>
          <w:szCs w:val="22"/>
        </w:rPr>
      </w:pPr>
    </w:p>
    <w:p w14:paraId="67999E56" w14:textId="7BEDA422" w:rsidR="00CF285A" w:rsidRDefault="00CF285A">
      <w:pPr>
        <w:rPr>
          <w:b/>
          <w:sz w:val="28"/>
          <w:szCs w:val="28"/>
        </w:rPr>
      </w:pPr>
      <w:r w:rsidRPr="004537DF" w:rsidDel="00CF285A">
        <w:rPr>
          <w:sz w:val="22"/>
          <w:szCs w:val="22"/>
        </w:rPr>
        <w:t xml:space="preserve"> </w:t>
      </w:r>
      <w:r>
        <w:rPr>
          <w:b/>
          <w:sz w:val="28"/>
          <w:szCs w:val="28"/>
        </w:rPr>
        <w:br w:type="page"/>
      </w:r>
    </w:p>
    <w:p w14:paraId="18D8329C" w14:textId="3ED76063" w:rsidR="0009438C" w:rsidRPr="008B6246" w:rsidRDefault="00F01411" w:rsidP="003232A4">
      <w:pPr>
        <w:spacing w:line="480" w:lineRule="auto"/>
        <w:rPr>
          <w:b/>
          <w:sz w:val="28"/>
          <w:szCs w:val="28"/>
        </w:rPr>
      </w:pPr>
      <w:r>
        <w:rPr>
          <w:b/>
          <w:sz w:val="28"/>
          <w:szCs w:val="28"/>
        </w:rPr>
        <w:lastRenderedPageBreak/>
        <w:t>10</w:t>
      </w:r>
      <w:r w:rsidR="0009438C">
        <w:rPr>
          <w:b/>
          <w:sz w:val="28"/>
          <w:szCs w:val="28"/>
        </w:rPr>
        <w:t>. F</w:t>
      </w:r>
      <w:r w:rsidR="0009438C" w:rsidRPr="00391401">
        <w:rPr>
          <w:b/>
          <w:sz w:val="28"/>
          <w:szCs w:val="28"/>
        </w:rPr>
        <w:t>igure</w:t>
      </w:r>
      <w:r w:rsidR="008B6246">
        <w:rPr>
          <w:b/>
          <w:sz w:val="28"/>
          <w:szCs w:val="28"/>
        </w:rPr>
        <w:t xml:space="preserve"> legends</w:t>
      </w:r>
    </w:p>
    <w:p w14:paraId="4E940B31" w14:textId="31C2CA50" w:rsidR="00236384" w:rsidRPr="008B6246" w:rsidRDefault="00F45D92" w:rsidP="003232A4">
      <w:pPr>
        <w:spacing w:line="480" w:lineRule="auto"/>
        <w:rPr>
          <w:sz w:val="22"/>
          <w:szCs w:val="22"/>
        </w:rPr>
      </w:pPr>
      <w:r w:rsidRPr="008B6246">
        <w:rPr>
          <w:b/>
          <w:sz w:val="22"/>
          <w:szCs w:val="22"/>
        </w:rPr>
        <w:t>Figure 1.</w:t>
      </w:r>
      <w:r w:rsidRPr="008B6246">
        <w:rPr>
          <w:sz w:val="22"/>
          <w:szCs w:val="22"/>
        </w:rPr>
        <w:t xml:space="preserve"> Flowchart of study design and protocol. </w:t>
      </w:r>
    </w:p>
    <w:p w14:paraId="3A224E09" w14:textId="136CE9DE" w:rsidR="00236384" w:rsidRPr="008B6246" w:rsidRDefault="00F45D92" w:rsidP="008B6246">
      <w:pPr>
        <w:spacing w:line="480" w:lineRule="auto"/>
        <w:rPr>
          <w:sz w:val="22"/>
          <w:szCs w:val="22"/>
        </w:rPr>
      </w:pPr>
      <w:r w:rsidRPr="008B6246">
        <w:rPr>
          <w:sz w:val="22"/>
          <w:szCs w:val="22"/>
        </w:rPr>
        <w:t>Intra-articular (IA), 2.5% polyacrylamide (PAAG), triamcinolone acetonide (TA) and sodium hyalurona</w:t>
      </w:r>
      <w:r w:rsidR="00CF285A">
        <w:rPr>
          <w:sz w:val="22"/>
          <w:szCs w:val="22"/>
        </w:rPr>
        <w:t>te</w:t>
      </w:r>
      <w:r w:rsidRPr="008B6246">
        <w:rPr>
          <w:sz w:val="22"/>
          <w:szCs w:val="22"/>
        </w:rPr>
        <w:t xml:space="preserve"> (HA).</w:t>
      </w:r>
    </w:p>
    <w:p w14:paraId="7680E888" w14:textId="77777777" w:rsidR="008B6246" w:rsidRDefault="008B6246" w:rsidP="008B6246">
      <w:pPr>
        <w:spacing w:line="480" w:lineRule="auto"/>
        <w:rPr>
          <w:b/>
          <w:sz w:val="22"/>
          <w:szCs w:val="22"/>
        </w:rPr>
      </w:pPr>
    </w:p>
    <w:p w14:paraId="65FC332F" w14:textId="6AB9D72E" w:rsidR="00055F68" w:rsidRPr="008B6246" w:rsidRDefault="00F45D92" w:rsidP="008B6246">
      <w:pPr>
        <w:spacing w:line="480" w:lineRule="auto"/>
        <w:rPr>
          <w:sz w:val="22"/>
          <w:szCs w:val="22"/>
        </w:rPr>
      </w:pPr>
      <w:r w:rsidRPr="008B6246">
        <w:rPr>
          <w:b/>
          <w:sz w:val="22"/>
          <w:szCs w:val="22"/>
        </w:rPr>
        <w:t>Figure 2:</w:t>
      </w:r>
      <w:r w:rsidRPr="008B6246">
        <w:rPr>
          <w:sz w:val="22"/>
          <w:szCs w:val="22"/>
        </w:rPr>
        <w:t xml:space="preserve"> </w:t>
      </w:r>
      <w:r w:rsidR="00460102" w:rsidRPr="008B6246">
        <w:rPr>
          <w:sz w:val="22"/>
          <w:szCs w:val="22"/>
        </w:rPr>
        <w:t>E</w:t>
      </w:r>
      <w:r w:rsidRPr="008B6246">
        <w:rPr>
          <w:sz w:val="22"/>
          <w:szCs w:val="22"/>
        </w:rPr>
        <w:t>ffect of 2.5% PAAG, TA and HA on lameness at 6 weeks post-treatment. Y axis</w:t>
      </w:r>
      <w:r w:rsidR="00460102" w:rsidRPr="008B6246">
        <w:rPr>
          <w:sz w:val="22"/>
          <w:szCs w:val="22"/>
        </w:rPr>
        <w:t>=</w:t>
      </w:r>
      <w:r w:rsidRPr="008B6246">
        <w:rPr>
          <w:sz w:val="22"/>
          <w:szCs w:val="22"/>
        </w:rPr>
        <w:t>number of joints. X axis</w:t>
      </w:r>
      <w:r w:rsidR="00460102" w:rsidRPr="008B6246">
        <w:rPr>
          <w:sz w:val="22"/>
          <w:szCs w:val="22"/>
        </w:rPr>
        <w:t>=</w:t>
      </w:r>
      <w:r w:rsidRPr="008B6246">
        <w:rPr>
          <w:sz w:val="22"/>
          <w:szCs w:val="22"/>
        </w:rPr>
        <w:t>outcome per treatment group: Success=complete resolution, Nil=no change</w:t>
      </w:r>
      <w:r w:rsidR="00406BC8" w:rsidRPr="008B6246">
        <w:rPr>
          <w:sz w:val="22"/>
          <w:szCs w:val="22"/>
        </w:rPr>
        <w:t xml:space="preserve"> or partial improvement</w:t>
      </w:r>
      <w:r w:rsidRPr="008B6246">
        <w:rPr>
          <w:sz w:val="22"/>
          <w:szCs w:val="22"/>
        </w:rPr>
        <w:t>, Fail=deterioration of variables from time of administration, and Withdrawn=those removed from the study before 6 weeks for treatment failure and results included in the analysis. Significant difference (p&lt;0.05) between treatment groups is indicated as an asterisk(*).</w:t>
      </w:r>
    </w:p>
    <w:p w14:paraId="656E6A4F" w14:textId="77777777" w:rsidR="008B6246" w:rsidRPr="008B6246" w:rsidRDefault="008B6246" w:rsidP="008B6246">
      <w:pPr>
        <w:spacing w:line="480" w:lineRule="auto"/>
        <w:rPr>
          <w:b/>
          <w:sz w:val="22"/>
          <w:szCs w:val="22"/>
        </w:rPr>
      </w:pPr>
    </w:p>
    <w:p w14:paraId="0459DE37" w14:textId="057E9D8A" w:rsidR="00055F68" w:rsidRPr="008B6246" w:rsidRDefault="00F45D92" w:rsidP="008B6246">
      <w:pPr>
        <w:spacing w:line="480" w:lineRule="auto"/>
        <w:rPr>
          <w:sz w:val="22"/>
          <w:szCs w:val="22"/>
        </w:rPr>
      </w:pPr>
      <w:r w:rsidRPr="008B6246">
        <w:rPr>
          <w:b/>
          <w:sz w:val="22"/>
          <w:szCs w:val="22"/>
        </w:rPr>
        <w:t>Figure 3:</w:t>
      </w:r>
      <w:r w:rsidRPr="008B6246">
        <w:rPr>
          <w:sz w:val="22"/>
          <w:szCs w:val="22"/>
        </w:rPr>
        <w:t xml:space="preserve"> </w:t>
      </w:r>
      <w:r w:rsidR="00460102" w:rsidRPr="008B6246">
        <w:rPr>
          <w:sz w:val="22"/>
          <w:szCs w:val="22"/>
        </w:rPr>
        <w:t>E</w:t>
      </w:r>
      <w:r w:rsidRPr="008B6246">
        <w:rPr>
          <w:sz w:val="22"/>
          <w:szCs w:val="22"/>
        </w:rPr>
        <w:t>ffect of 2.5% PAAG, TA and HA on joint effusion at 6 weeks post-treatment.</w:t>
      </w:r>
    </w:p>
    <w:p w14:paraId="1B4323DC" w14:textId="77777777" w:rsidR="008B6246" w:rsidRPr="008B6246" w:rsidRDefault="00F45D92" w:rsidP="008B6246">
      <w:pPr>
        <w:spacing w:line="480" w:lineRule="auto"/>
        <w:rPr>
          <w:noProof/>
          <w:sz w:val="22"/>
          <w:szCs w:val="22"/>
        </w:rPr>
      </w:pPr>
      <w:r w:rsidRPr="008B6246">
        <w:rPr>
          <w:noProof/>
          <w:sz w:val="22"/>
          <w:szCs w:val="22"/>
        </w:rPr>
        <w:t>Same legend as for Figure 2.</w:t>
      </w:r>
    </w:p>
    <w:p w14:paraId="4D69C770" w14:textId="77777777" w:rsidR="008B6246" w:rsidRPr="008B6246" w:rsidRDefault="008B6246" w:rsidP="008B6246">
      <w:pPr>
        <w:spacing w:line="480" w:lineRule="auto"/>
        <w:rPr>
          <w:b/>
          <w:sz w:val="22"/>
          <w:szCs w:val="22"/>
        </w:rPr>
      </w:pPr>
    </w:p>
    <w:p w14:paraId="563CE4D8" w14:textId="672D3C28" w:rsidR="00643665" w:rsidRPr="008B6246" w:rsidRDefault="00F45D92" w:rsidP="008B6246">
      <w:pPr>
        <w:spacing w:line="480" w:lineRule="auto"/>
        <w:rPr>
          <w:noProof/>
          <w:sz w:val="22"/>
          <w:szCs w:val="22"/>
        </w:rPr>
      </w:pPr>
      <w:r w:rsidRPr="008B6246">
        <w:rPr>
          <w:b/>
          <w:sz w:val="22"/>
          <w:szCs w:val="22"/>
        </w:rPr>
        <w:t>Figure 4:</w:t>
      </w:r>
      <w:r w:rsidRPr="008B6246">
        <w:rPr>
          <w:sz w:val="22"/>
          <w:szCs w:val="22"/>
        </w:rPr>
        <w:t xml:space="preserve"> </w:t>
      </w:r>
      <w:r w:rsidR="00042D3C" w:rsidRPr="008B6246">
        <w:rPr>
          <w:sz w:val="22"/>
          <w:szCs w:val="22"/>
        </w:rPr>
        <w:t>E</w:t>
      </w:r>
      <w:r w:rsidRPr="008B6246">
        <w:rPr>
          <w:sz w:val="22"/>
          <w:szCs w:val="22"/>
        </w:rPr>
        <w:t xml:space="preserve">ffect of 2.5% PAAG, TA and HA on reaction to flexion at 6 weeks post-treatment. </w:t>
      </w:r>
    </w:p>
    <w:p w14:paraId="688CE722" w14:textId="0C066A01" w:rsidR="00055F68" w:rsidRPr="008B6246" w:rsidRDefault="00F45D92" w:rsidP="008B6246">
      <w:pPr>
        <w:spacing w:line="480" w:lineRule="auto"/>
        <w:rPr>
          <w:noProof/>
          <w:sz w:val="22"/>
          <w:szCs w:val="22"/>
        </w:rPr>
      </w:pPr>
      <w:r w:rsidRPr="008B6246">
        <w:rPr>
          <w:noProof/>
          <w:sz w:val="22"/>
          <w:szCs w:val="22"/>
        </w:rPr>
        <w:t>Same legend as for Figure 2.</w:t>
      </w:r>
      <w:bookmarkEnd w:id="0"/>
    </w:p>
    <w:sectPr w:rsidR="00055F68" w:rsidRPr="008B6246" w:rsidSect="00393529">
      <w:footerReference w:type="even" r:id="rId12"/>
      <w:footerReference w:type="default" r:id="rId13"/>
      <w:pgSz w:w="11900" w:h="16840"/>
      <w:pgMar w:top="1418" w:right="1701" w:bottom="1418"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48E8C" w14:textId="77777777" w:rsidR="002879B3" w:rsidRDefault="002879B3">
      <w:r>
        <w:separator/>
      </w:r>
    </w:p>
  </w:endnote>
  <w:endnote w:type="continuationSeparator" w:id="0">
    <w:p w14:paraId="4FB8FB3F" w14:textId="77777777" w:rsidR="002879B3" w:rsidRDefault="0028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Open Sans">
    <w:panose1 w:val="020B0604020202020204"/>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562434001"/>
      <w:docPartObj>
        <w:docPartGallery w:val="Page Numbers (Bottom of Page)"/>
        <w:docPartUnique/>
      </w:docPartObj>
    </w:sdtPr>
    <w:sdtEndPr>
      <w:rPr>
        <w:rStyle w:val="Numrodepage"/>
      </w:rPr>
    </w:sdtEndPr>
    <w:sdtContent>
      <w:p w14:paraId="3CF79113" w14:textId="77777777" w:rsidR="00727244" w:rsidRDefault="00727244" w:rsidP="00216AB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0855FBF" w14:textId="77777777" w:rsidR="00727244" w:rsidRDefault="00727244" w:rsidP="00216AB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24763838"/>
      <w:docPartObj>
        <w:docPartGallery w:val="Page Numbers (Bottom of Page)"/>
        <w:docPartUnique/>
      </w:docPartObj>
    </w:sdtPr>
    <w:sdtEndPr>
      <w:rPr>
        <w:rStyle w:val="Numrodepage"/>
      </w:rPr>
    </w:sdtEndPr>
    <w:sdtContent>
      <w:p w14:paraId="5AFDFF0E" w14:textId="78B410C1" w:rsidR="00727244" w:rsidRDefault="00727244" w:rsidP="007356D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5D2E95D0" w14:textId="77777777" w:rsidR="00727244" w:rsidRDefault="00727244" w:rsidP="007356D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2C1A8" w14:textId="77777777" w:rsidR="002879B3" w:rsidRDefault="002879B3">
      <w:r>
        <w:separator/>
      </w:r>
    </w:p>
  </w:footnote>
  <w:footnote w:type="continuationSeparator" w:id="0">
    <w:p w14:paraId="0443AC13" w14:textId="77777777" w:rsidR="002879B3" w:rsidRDefault="002879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1264"/>
    <w:multiLevelType w:val="multilevel"/>
    <w:tmpl w:val="61F0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D180E"/>
    <w:multiLevelType w:val="hybridMultilevel"/>
    <w:tmpl w:val="69767058"/>
    <w:lvl w:ilvl="0" w:tplc="903AA94C">
      <w:start w:val="1"/>
      <w:numFmt w:val="decimal"/>
      <w:lvlText w:val="%1."/>
      <w:lvlJc w:val="left"/>
      <w:pPr>
        <w:ind w:left="720" w:hanging="360"/>
      </w:pPr>
      <w:rPr>
        <w:rFonts w:hint="default"/>
      </w:rPr>
    </w:lvl>
    <w:lvl w:ilvl="1" w:tplc="5AC0F6F0" w:tentative="1">
      <w:start w:val="1"/>
      <w:numFmt w:val="lowerLetter"/>
      <w:lvlText w:val="%2."/>
      <w:lvlJc w:val="left"/>
      <w:pPr>
        <w:ind w:left="1440" w:hanging="360"/>
      </w:pPr>
    </w:lvl>
    <w:lvl w:ilvl="2" w:tplc="F62447A8" w:tentative="1">
      <w:start w:val="1"/>
      <w:numFmt w:val="lowerRoman"/>
      <w:lvlText w:val="%3."/>
      <w:lvlJc w:val="right"/>
      <w:pPr>
        <w:ind w:left="2160" w:hanging="180"/>
      </w:pPr>
    </w:lvl>
    <w:lvl w:ilvl="3" w:tplc="572E07A6" w:tentative="1">
      <w:start w:val="1"/>
      <w:numFmt w:val="decimal"/>
      <w:lvlText w:val="%4."/>
      <w:lvlJc w:val="left"/>
      <w:pPr>
        <w:ind w:left="2880" w:hanging="360"/>
      </w:pPr>
    </w:lvl>
    <w:lvl w:ilvl="4" w:tplc="E5DE16E8" w:tentative="1">
      <w:start w:val="1"/>
      <w:numFmt w:val="lowerLetter"/>
      <w:lvlText w:val="%5."/>
      <w:lvlJc w:val="left"/>
      <w:pPr>
        <w:ind w:left="3600" w:hanging="360"/>
      </w:pPr>
    </w:lvl>
    <w:lvl w:ilvl="5" w:tplc="22FC8F4E" w:tentative="1">
      <w:start w:val="1"/>
      <w:numFmt w:val="lowerRoman"/>
      <w:lvlText w:val="%6."/>
      <w:lvlJc w:val="right"/>
      <w:pPr>
        <w:ind w:left="4320" w:hanging="180"/>
      </w:pPr>
    </w:lvl>
    <w:lvl w:ilvl="6" w:tplc="463E423E" w:tentative="1">
      <w:start w:val="1"/>
      <w:numFmt w:val="decimal"/>
      <w:lvlText w:val="%7."/>
      <w:lvlJc w:val="left"/>
      <w:pPr>
        <w:ind w:left="5040" w:hanging="360"/>
      </w:pPr>
    </w:lvl>
    <w:lvl w:ilvl="7" w:tplc="A470C9F8" w:tentative="1">
      <w:start w:val="1"/>
      <w:numFmt w:val="lowerLetter"/>
      <w:lvlText w:val="%8."/>
      <w:lvlJc w:val="left"/>
      <w:pPr>
        <w:ind w:left="5760" w:hanging="360"/>
      </w:pPr>
    </w:lvl>
    <w:lvl w:ilvl="8" w:tplc="CC56B8BA" w:tentative="1">
      <w:start w:val="1"/>
      <w:numFmt w:val="lowerRoman"/>
      <w:lvlText w:val="%9."/>
      <w:lvlJc w:val="right"/>
      <w:pPr>
        <w:ind w:left="6480" w:hanging="180"/>
      </w:pPr>
    </w:lvl>
  </w:abstractNum>
  <w:abstractNum w:abstractNumId="2" w15:restartNumberingAfterBreak="0">
    <w:nsid w:val="0CB64534"/>
    <w:multiLevelType w:val="multilevel"/>
    <w:tmpl w:val="3024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1A53"/>
    <w:multiLevelType w:val="multilevel"/>
    <w:tmpl w:val="550C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D66908"/>
    <w:multiLevelType w:val="hybridMultilevel"/>
    <w:tmpl w:val="4B929552"/>
    <w:lvl w:ilvl="0" w:tplc="86F6FADA">
      <w:start w:val="1"/>
      <w:numFmt w:val="decimal"/>
      <w:lvlText w:val="%1."/>
      <w:lvlJc w:val="left"/>
      <w:pPr>
        <w:ind w:left="1069" w:hanging="360"/>
      </w:pPr>
      <w:rPr>
        <w:b w:val="0"/>
        <w:sz w:val="22"/>
        <w:szCs w:val="22"/>
      </w:rPr>
    </w:lvl>
    <w:lvl w:ilvl="1" w:tplc="2D2658C6" w:tentative="1">
      <w:start w:val="1"/>
      <w:numFmt w:val="lowerLetter"/>
      <w:lvlText w:val="%2."/>
      <w:lvlJc w:val="left"/>
      <w:pPr>
        <w:ind w:left="1440" w:hanging="360"/>
      </w:pPr>
    </w:lvl>
    <w:lvl w:ilvl="2" w:tplc="11D223AA" w:tentative="1">
      <w:start w:val="1"/>
      <w:numFmt w:val="lowerRoman"/>
      <w:lvlText w:val="%3."/>
      <w:lvlJc w:val="right"/>
      <w:pPr>
        <w:ind w:left="2160" w:hanging="180"/>
      </w:pPr>
    </w:lvl>
    <w:lvl w:ilvl="3" w:tplc="A2A656D4" w:tentative="1">
      <w:start w:val="1"/>
      <w:numFmt w:val="decimal"/>
      <w:lvlText w:val="%4."/>
      <w:lvlJc w:val="left"/>
      <w:pPr>
        <w:ind w:left="2880" w:hanging="360"/>
      </w:pPr>
    </w:lvl>
    <w:lvl w:ilvl="4" w:tplc="90B27384" w:tentative="1">
      <w:start w:val="1"/>
      <w:numFmt w:val="lowerLetter"/>
      <w:lvlText w:val="%5."/>
      <w:lvlJc w:val="left"/>
      <w:pPr>
        <w:ind w:left="3600" w:hanging="360"/>
      </w:pPr>
    </w:lvl>
    <w:lvl w:ilvl="5" w:tplc="2E70FD20" w:tentative="1">
      <w:start w:val="1"/>
      <w:numFmt w:val="lowerRoman"/>
      <w:lvlText w:val="%6."/>
      <w:lvlJc w:val="right"/>
      <w:pPr>
        <w:ind w:left="4320" w:hanging="180"/>
      </w:pPr>
    </w:lvl>
    <w:lvl w:ilvl="6" w:tplc="56E03A5C" w:tentative="1">
      <w:start w:val="1"/>
      <w:numFmt w:val="decimal"/>
      <w:lvlText w:val="%7."/>
      <w:lvlJc w:val="left"/>
      <w:pPr>
        <w:ind w:left="5040" w:hanging="360"/>
      </w:pPr>
    </w:lvl>
    <w:lvl w:ilvl="7" w:tplc="3F389630" w:tentative="1">
      <w:start w:val="1"/>
      <w:numFmt w:val="lowerLetter"/>
      <w:lvlText w:val="%8."/>
      <w:lvlJc w:val="left"/>
      <w:pPr>
        <w:ind w:left="5760" w:hanging="360"/>
      </w:pPr>
    </w:lvl>
    <w:lvl w:ilvl="8" w:tplc="4BEC12B4" w:tentative="1">
      <w:start w:val="1"/>
      <w:numFmt w:val="lowerRoman"/>
      <w:lvlText w:val="%9."/>
      <w:lvlJc w:val="right"/>
      <w:pPr>
        <w:ind w:left="6480" w:hanging="180"/>
      </w:pPr>
    </w:lvl>
  </w:abstractNum>
  <w:abstractNum w:abstractNumId="5" w15:restartNumberingAfterBreak="0">
    <w:nsid w:val="1C291A28"/>
    <w:multiLevelType w:val="multilevel"/>
    <w:tmpl w:val="4A7CE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F3084"/>
    <w:multiLevelType w:val="hybridMultilevel"/>
    <w:tmpl w:val="D0468BD4"/>
    <w:lvl w:ilvl="0" w:tplc="B8A4E02A">
      <w:start w:val="1"/>
      <w:numFmt w:val="bullet"/>
      <w:lvlText w:val="•"/>
      <w:lvlJc w:val="left"/>
      <w:pPr>
        <w:tabs>
          <w:tab w:val="num" w:pos="720"/>
        </w:tabs>
        <w:ind w:left="720" w:hanging="360"/>
      </w:pPr>
      <w:rPr>
        <w:rFonts w:ascii="Times New Roman" w:hAnsi="Times New Roman" w:hint="default"/>
      </w:rPr>
    </w:lvl>
    <w:lvl w:ilvl="1" w:tplc="481E2340" w:tentative="1">
      <w:start w:val="1"/>
      <w:numFmt w:val="bullet"/>
      <w:lvlText w:val="•"/>
      <w:lvlJc w:val="left"/>
      <w:pPr>
        <w:tabs>
          <w:tab w:val="num" w:pos="1440"/>
        </w:tabs>
        <w:ind w:left="1440" w:hanging="360"/>
      </w:pPr>
      <w:rPr>
        <w:rFonts w:ascii="Times New Roman" w:hAnsi="Times New Roman" w:hint="default"/>
      </w:rPr>
    </w:lvl>
    <w:lvl w:ilvl="2" w:tplc="98CAED42" w:tentative="1">
      <w:start w:val="1"/>
      <w:numFmt w:val="bullet"/>
      <w:lvlText w:val="•"/>
      <w:lvlJc w:val="left"/>
      <w:pPr>
        <w:tabs>
          <w:tab w:val="num" w:pos="2160"/>
        </w:tabs>
        <w:ind w:left="2160" w:hanging="360"/>
      </w:pPr>
      <w:rPr>
        <w:rFonts w:ascii="Times New Roman" w:hAnsi="Times New Roman" w:hint="default"/>
      </w:rPr>
    </w:lvl>
    <w:lvl w:ilvl="3" w:tplc="A4F49952" w:tentative="1">
      <w:start w:val="1"/>
      <w:numFmt w:val="bullet"/>
      <w:lvlText w:val="•"/>
      <w:lvlJc w:val="left"/>
      <w:pPr>
        <w:tabs>
          <w:tab w:val="num" w:pos="2880"/>
        </w:tabs>
        <w:ind w:left="2880" w:hanging="360"/>
      </w:pPr>
      <w:rPr>
        <w:rFonts w:ascii="Times New Roman" w:hAnsi="Times New Roman" w:hint="default"/>
      </w:rPr>
    </w:lvl>
    <w:lvl w:ilvl="4" w:tplc="72B4FBAE" w:tentative="1">
      <w:start w:val="1"/>
      <w:numFmt w:val="bullet"/>
      <w:lvlText w:val="•"/>
      <w:lvlJc w:val="left"/>
      <w:pPr>
        <w:tabs>
          <w:tab w:val="num" w:pos="3600"/>
        </w:tabs>
        <w:ind w:left="3600" w:hanging="360"/>
      </w:pPr>
      <w:rPr>
        <w:rFonts w:ascii="Times New Roman" w:hAnsi="Times New Roman" w:hint="default"/>
      </w:rPr>
    </w:lvl>
    <w:lvl w:ilvl="5" w:tplc="DA4A0CE2" w:tentative="1">
      <w:start w:val="1"/>
      <w:numFmt w:val="bullet"/>
      <w:lvlText w:val="•"/>
      <w:lvlJc w:val="left"/>
      <w:pPr>
        <w:tabs>
          <w:tab w:val="num" w:pos="4320"/>
        </w:tabs>
        <w:ind w:left="4320" w:hanging="360"/>
      </w:pPr>
      <w:rPr>
        <w:rFonts w:ascii="Times New Roman" w:hAnsi="Times New Roman" w:hint="default"/>
      </w:rPr>
    </w:lvl>
    <w:lvl w:ilvl="6" w:tplc="76FE5AA6" w:tentative="1">
      <w:start w:val="1"/>
      <w:numFmt w:val="bullet"/>
      <w:lvlText w:val="•"/>
      <w:lvlJc w:val="left"/>
      <w:pPr>
        <w:tabs>
          <w:tab w:val="num" w:pos="5040"/>
        </w:tabs>
        <w:ind w:left="5040" w:hanging="360"/>
      </w:pPr>
      <w:rPr>
        <w:rFonts w:ascii="Times New Roman" w:hAnsi="Times New Roman" w:hint="default"/>
      </w:rPr>
    </w:lvl>
    <w:lvl w:ilvl="7" w:tplc="EEE800C8" w:tentative="1">
      <w:start w:val="1"/>
      <w:numFmt w:val="bullet"/>
      <w:lvlText w:val="•"/>
      <w:lvlJc w:val="left"/>
      <w:pPr>
        <w:tabs>
          <w:tab w:val="num" w:pos="5760"/>
        </w:tabs>
        <w:ind w:left="5760" w:hanging="360"/>
      </w:pPr>
      <w:rPr>
        <w:rFonts w:ascii="Times New Roman" w:hAnsi="Times New Roman" w:hint="default"/>
      </w:rPr>
    </w:lvl>
    <w:lvl w:ilvl="8" w:tplc="4E2EA73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5607ECE"/>
    <w:multiLevelType w:val="multilevel"/>
    <w:tmpl w:val="0F9C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663A99"/>
    <w:multiLevelType w:val="hybridMultilevel"/>
    <w:tmpl w:val="168C50A4"/>
    <w:lvl w:ilvl="0" w:tplc="864CA696">
      <w:numFmt w:val="bullet"/>
      <w:lvlText w:val="-"/>
      <w:lvlJc w:val="left"/>
      <w:pPr>
        <w:ind w:left="720" w:hanging="360"/>
      </w:pPr>
      <w:rPr>
        <w:rFonts w:ascii="Calibri" w:eastAsiaTheme="minorHAnsi" w:hAnsi="Calibri" w:cs="Calibri" w:hint="default"/>
      </w:rPr>
    </w:lvl>
    <w:lvl w:ilvl="1" w:tplc="6BEE0F6E" w:tentative="1">
      <w:start w:val="1"/>
      <w:numFmt w:val="bullet"/>
      <w:lvlText w:val="o"/>
      <w:lvlJc w:val="left"/>
      <w:pPr>
        <w:ind w:left="1440" w:hanging="360"/>
      </w:pPr>
      <w:rPr>
        <w:rFonts w:ascii="Courier New" w:hAnsi="Courier New" w:cs="Courier New" w:hint="default"/>
      </w:rPr>
    </w:lvl>
    <w:lvl w:ilvl="2" w:tplc="72ACBE2E" w:tentative="1">
      <w:start w:val="1"/>
      <w:numFmt w:val="bullet"/>
      <w:lvlText w:val=""/>
      <w:lvlJc w:val="left"/>
      <w:pPr>
        <w:ind w:left="2160" w:hanging="360"/>
      </w:pPr>
      <w:rPr>
        <w:rFonts w:ascii="Wingdings" w:hAnsi="Wingdings" w:hint="default"/>
      </w:rPr>
    </w:lvl>
    <w:lvl w:ilvl="3" w:tplc="626424E4" w:tentative="1">
      <w:start w:val="1"/>
      <w:numFmt w:val="bullet"/>
      <w:lvlText w:val=""/>
      <w:lvlJc w:val="left"/>
      <w:pPr>
        <w:ind w:left="2880" w:hanging="360"/>
      </w:pPr>
      <w:rPr>
        <w:rFonts w:ascii="Symbol" w:hAnsi="Symbol" w:hint="default"/>
      </w:rPr>
    </w:lvl>
    <w:lvl w:ilvl="4" w:tplc="A45A7E7E" w:tentative="1">
      <w:start w:val="1"/>
      <w:numFmt w:val="bullet"/>
      <w:lvlText w:val="o"/>
      <w:lvlJc w:val="left"/>
      <w:pPr>
        <w:ind w:left="3600" w:hanging="360"/>
      </w:pPr>
      <w:rPr>
        <w:rFonts w:ascii="Courier New" w:hAnsi="Courier New" w:cs="Courier New" w:hint="default"/>
      </w:rPr>
    </w:lvl>
    <w:lvl w:ilvl="5" w:tplc="43022D9E" w:tentative="1">
      <w:start w:val="1"/>
      <w:numFmt w:val="bullet"/>
      <w:lvlText w:val=""/>
      <w:lvlJc w:val="left"/>
      <w:pPr>
        <w:ind w:left="4320" w:hanging="360"/>
      </w:pPr>
      <w:rPr>
        <w:rFonts w:ascii="Wingdings" w:hAnsi="Wingdings" w:hint="default"/>
      </w:rPr>
    </w:lvl>
    <w:lvl w:ilvl="6" w:tplc="4D44B130" w:tentative="1">
      <w:start w:val="1"/>
      <w:numFmt w:val="bullet"/>
      <w:lvlText w:val=""/>
      <w:lvlJc w:val="left"/>
      <w:pPr>
        <w:ind w:left="5040" w:hanging="360"/>
      </w:pPr>
      <w:rPr>
        <w:rFonts w:ascii="Symbol" w:hAnsi="Symbol" w:hint="default"/>
      </w:rPr>
    </w:lvl>
    <w:lvl w:ilvl="7" w:tplc="04CA3B62" w:tentative="1">
      <w:start w:val="1"/>
      <w:numFmt w:val="bullet"/>
      <w:lvlText w:val="o"/>
      <w:lvlJc w:val="left"/>
      <w:pPr>
        <w:ind w:left="5760" w:hanging="360"/>
      </w:pPr>
      <w:rPr>
        <w:rFonts w:ascii="Courier New" w:hAnsi="Courier New" w:cs="Courier New" w:hint="default"/>
      </w:rPr>
    </w:lvl>
    <w:lvl w:ilvl="8" w:tplc="79A42732" w:tentative="1">
      <w:start w:val="1"/>
      <w:numFmt w:val="bullet"/>
      <w:lvlText w:val=""/>
      <w:lvlJc w:val="left"/>
      <w:pPr>
        <w:ind w:left="6480" w:hanging="360"/>
      </w:pPr>
      <w:rPr>
        <w:rFonts w:ascii="Wingdings" w:hAnsi="Wingdings" w:hint="default"/>
      </w:rPr>
    </w:lvl>
  </w:abstractNum>
  <w:abstractNum w:abstractNumId="9" w15:restartNumberingAfterBreak="0">
    <w:nsid w:val="33574318"/>
    <w:multiLevelType w:val="multilevel"/>
    <w:tmpl w:val="7C5A1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60E31"/>
    <w:multiLevelType w:val="multilevel"/>
    <w:tmpl w:val="239C8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7361CB"/>
    <w:multiLevelType w:val="hybridMultilevel"/>
    <w:tmpl w:val="4C1C56B8"/>
    <w:lvl w:ilvl="0" w:tplc="3730BDA2">
      <w:start w:val="1"/>
      <w:numFmt w:val="decimal"/>
      <w:lvlText w:val="%1."/>
      <w:lvlJc w:val="left"/>
      <w:pPr>
        <w:ind w:left="720" w:hanging="360"/>
      </w:pPr>
      <w:rPr>
        <w:rFonts w:hint="default"/>
      </w:rPr>
    </w:lvl>
    <w:lvl w:ilvl="1" w:tplc="9CDE8360" w:tentative="1">
      <w:start w:val="1"/>
      <w:numFmt w:val="lowerLetter"/>
      <w:lvlText w:val="%2."/>
      <w:lvlJc w:val="left"/>
      <w:pPr>
        <w:ind w:left="1440" w:hanging="360"/>
      </w:pPr>
    </w:lvl>
    <w:lvl w:ilvl="2" w:tplc="622E117C" w:tentative="1">
      <w:start w:val="1"/>
      <w:numFmt w:val="lowerRoman"/>
      <w:lvlText w:val="%3."/>
      <w:lvlJc w:val="right"/>
      <w:pPr>
        <w:ind w:left="2160" w:hanging="180"/>
      </w:pPr>
    </w:lvl>
    <w:lvl w:ilvl="3" w:tplc="20FA8B48" w:tentative="1">
      <w:start w:val="1"/>
      <w:numFmt w:val="decimal"/>
      <w:lvlText w:val="%4."/>
      <w:lvlJc w:val="left"/>
      <w:pPr>
        <w:ind w:left="2880" w:hanging="360"/>
      </w:pPr>
    </w:lvl>
    <w:lvl w:ilvl="4" w:tplc="D820E0D4" w:tentative="1">
      <w:start w:val="1"/>
      <w:numFmt w:val="lowerLetter"/>
      <w:lvlText w:val="%5."/>
      <w:lvlJc w:val="left"/>
      <w:pPr>
        <w:ind w:left="3600" w:hanging="360"/>
      </w:pPr>
    </w:lvl>
    <w:lvl w:ilvl="5" w:tplc="E8C803FA" w:tentative="1">
      <w:start w:val="1"/>
      <w:numFmt w:val="lowerRoman"/>
      <w:lvlText w:val="%6."/>
      <w:lvlJc w:val="right"/>
      <w:pPr>
        <w:ind w:left="4320" w:hanging="180"/>
      </w:pPr>
    </w:lvl>
    <w:lvl w:ilvl="6" w:tplc="E7740762" w:tentative="1">
      <w:start w:val="1"/>
      <w:numFmt w:val="decimal"/>
      <w:lvlText w:val="%7."/>
      <w:lvlJc w:val="left"/>
      <w:pPr>
        <w:ind w:left="5040" w:hanging="360"/>
      </w:pPr>
    </w:lvl>
    <w:lvl w:ilvl="7" w:tplc="88C2EE1A" w:tentative="1">
      <w:start w:val="1"/>
      <w:numFmt w:val="lowerLetter"/>
      <w:lvlText w:val="%8."/>
      <w:lvlJc w:val="left"/>
      <w:pPr>
        <w:ind w:left="5760" w:hanging="360"/>
      </w:pPr>
    </w:lvl>
    <w:lvl w:ilvl="8" w:tplc="0F4C5546" w:tentative="1">
      <w:start w:val="1"/>
      <w:numFmt w:val="lowerRoman"/>
      <w:lvlText w:val="%9."/>
      <w:lvlJc w:val="right"/>
      <w:pPr>
        <w:ind w:left="6480" w:hanging="180"/>
      </w:pPr>
    </w:lvl>
  </w:abstractNum>
  <w:abstractNum w:abstractNumId="12" w15:restartNumberingAfterBreak="0">
    <w:nsid w:val="397C08F4"/>
    <w:multiLevelType w:val="multilevel"/>
    <w:tmpl w:val="E6A876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FD4821"/>
    <w:multiLevelType w:val="multilevel"/>
    <w:tmpl w:val="B514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3B7C77"/>
    <w:multiLevelType w:val="multilevel"/>
    <w:tmpl w:val="E6A876C6"/>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5175F6"/>
    <w:multiLevelType w:val="hybridMultilevel"/>
    <w:tmpl w:val="4C1C56B8"/>
    <w:lvl w:ilvl="0" w:tplc="939EC290">
      <w:start w:val="1"/>
      <w:numFmt w:val="decimal"/>
      <w:lvlText w:val="%1."/>
      <w:lvlJc w:val="left"/>
      <w:pPr>
        <w:ind w:left="720" w:hanging="360"/>
      </w:pPr>
      <w:rPr>
        <w:rFonts w:hint="default"/>
      </w:rPr>
    </w:lvl>
    <w:lvl w:ilvl="1" w:tplc="A0F0BB68" w:tentative="1">
      <w:start w:val="1"/>
      <w:numFmt w:val="lowerLetter"/>
      <w:lvlText w:val="%2."/>
      <w:lvlJc w:val="left"/>
      <w:pPr>
        <w:ind w:left="1440" w:hanging="360"/>
      </w:pPr>
    </w:lvl>
    <w:lvl w:ilvl="2" w:tplc="F81CD33C" w:tentative="1">
      <w:start w:val="1"/>
      <w:numFmt w:val="lowerRoman"/>
      <w:lvlText w:val="%3."/>
      <w:lvlJc w:val="right"/>
      <w:pPr>
        <w:ind w:left="2160" w:hanging="180"/>
      </w:pPr>
    </w:lvl>
    <w:lvl w:ilvl="3" w:tplc="4DAE9D5A" w:tentative="1">
      <w:start w:val="1"/>
      <w:numFmt w:val="decimal"/>
      <w:lvlText w:val="%4."/>
      <w:lvlJc w:val="left"/>
      <w:pPr>
        <w:ind w:left="2880" w:hanging="360"/>
      </w:pPr>
    </w:lvl>
    <w:lvl w:ilvl="4" w:tplc="1B0C23AE" w:tentative="1">
      <w:start w:val="1"/>
      <w:numFmt w:val="lowerLetter"/>
      <w:lvlText w:val="%5."/>
      <w:lvlJc w:val="left"/>
      <w:pPr>
        <w:ind w:left="3600" w:hanging="360"/>
      </w:pPr>
    </w:lvl>
    <w:lvl w:ilvl="5" w:tplc="0E006384" w:tentative="1">
      <w:start w:val="1"/>
      <w:numFmt w:val="lowerRoman"/>
      <w:lvlText w:val="%6."/>
      <w:lvlJc w:val="right"/>
      <w:pPr>
        <w:ind w:left="4320" w:hanging="180"/>
      </w:pPr>
    </w:lvl>
    <w:lvl w:ilvl="6" w:tplc="2654D9A0" w:tentative="1">
      <w:start w:val="1"/>
      <w:numFmt w:val="decimal"/>
      <w:lvlText w:val="%7."/>
      <w:lvlJc w:val="left"/>
      <w:pPr>
        <w:ind w:left="5040" w:hanging="360"/>
      </w:pPr>
    </w:lvl>
    <w:lvl w:ilvl="7" w:tplc="7F6E0210" w:tentative="1">
      <w:start w:val="1"/>
      <w:numFmt w:val="lowerLetter"/>
      <w:lvlText w:val="%8."/>
      <w:lvlJc w:val="left"/>
      <w:pPr>
        <w:ind w:left="5760" w:hanging="360"/>
      </w:pPr>
    </w:lvl>
    <w:lvl w:ilvl="8" w:tplc="82906DEC" w:tentative="1">
      <w:start w:val="1"/>
      <w:numFmt w:val="lowerRoman"/>
      <w:lvlText w:val="%9."/>
      <w:lvlJc w:val="right"/>
      <w:pPr>
        <w:ind w:left="6480" w:hanging="180"/>
      </w:pPr>
    </w:lvl>
  </w:abstractNum>
  <w:abstractNum w:abstractNumId="16" w15:restartNumberingAfterBreak="0">
    <w:nsid w:val="48B22BAE"/>
    <w:multiLevelType w:val="multilevel"/>
    <w:tmpl w:val="E896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BD37E2"/>
    <w:multiLevelType w:val="multilevel"/>
    <w:tmpl w:val="52E4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235D86"/>
    <w:multiLevelType w:val="multilevel"/>
    <w:tmpl w:val="5046F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CC1E59"/>
    <w:multiLevelType w:val="hybridMultilevel"/>
    <w:tmpl w:val="4C1C56B8"/>
    <w:lvl w:ilvl="0" w:tplc="F3AC9ECA">
      <w:start w:val="1"/>
      <w:numFmt w:val="decimal"/>
      <w:lvlText w:val="%1."/>
      <w:lvlJc w:val="left"/>
      <w:pPr>
        <w:ind w:left="720" w:hanging="360"/>
      </w:pPr>
    </w:lvl>
    <w:lvl w:ilvl="1" w:tplc="2CE0D86C" w:tentative="1">
      <w:start w:val="1"/>
      <w:numFmt w:val="lowerLetter"/>
      <w:lvlText w:val="%2."/>
      <w:lvlJc w:val="left"/>
      <w:pPr>
        <w:ind w:left="1440" w:hanging="360"/>
      </w:pPr>
    </w:lvl>
    <w:lvl w:ilvl="2" w:tplc="66683A9C" w:tentative="1">
      <w:start w:val="1"/>
      <w:numFmt w:val="lowerRoman"/>
      <w:lvlText w:val="%3."/>
      <w:lvlJc w:val="right"/>
      <w:pPr>
        <w:ind w:left="2160" w:hanging="180"/>
      </w:pPr>
    </w:lvl>
    <w:lvl w:ilvl="3" w:tplc="FD1A97AA" w:tentative="1">
      <w:start w:val="1"/>
      <w:numFmt w:val="decimal"/>
      <w:lvlText w:val="%4."/>
      <w:lvlJc w:val="left"/>
      <w:pPr>
        <w:ind w:left="2880" w:hanging="360"/>
      </w:pPr>
    </w:lvl>
    <w:lvl w:ilvl="4" w:tplc="ED6CFF10" w:tentative="1">
      <w:start w:val="1"/>
      <w:numFmt w:val="lowerLetter"/>
      <w:lvlText w:val="%5."/>
      <w:lvlJc w:val="left"/>
      <w:pPr>
        <w:ind w:left="3600" w:hanging="360"/>
      </w:pPr>
    </w:lvl>
    <w:lvl w:ilvl="5" w:tplc="B69880AE" w:tentative="1">
      <w:start w:val="1"/>
      <w:numFmt w:val="lowerRoman"/>
      <w:lvlText w:val="%6."/>
      <w:lvlJc w:val="right"/>
      <w:pPr>
        <w:ind w:left="4320" w:hanging="180"/>
      </w:pPr>
    </w:lvl>
    <w:lvl w:ilvl="6" w:tplc="2DDEE9CE" w:tentative="1">
      <w:start w:val="1"/>
      <w:numFmt w:val="decimal"/>
      <w:lvlText w:val="%7."/>
      <w:lvlJc w:val="left"/>
      <w:pPr>
        <w:ind w:left="5040" w:hanging="360"/>
      </w:pPr>
    </w:lvl>
    <w:lvl w:ilvl="7" w:tplc="29A27DFC" w:tentative="1">
      <w:start w:val="1"/>
      <w:numFmt w:val="lowerLetter"/>
      <w:lvlText w:val="%8."/>
      <w:lvlJc w:val="left"/>
      <w:pPr>
        <w:ind w:left="5760" w:hanging="360"/>
      </w:pPr>
    </w:lvl>
    <w:lvl w:ilvl="8" w:tplc="A030C94C" w:tentative="1">
      <w:start w:val="1"/>
      <w:numFmt w:val="lowerRoman"/>
      <w:lvlText w:val="%9."/>
      <w:lvlJc w:val="right"/>
      <w:pPr>
        <w:ind w:left="6480" w:hanging="180"/>
      </w:pPr>
    </w:lvl>
  </w:abstractNum>
  <w:abstractNum w:abstractNumId="20" w15:restartNumberingAfterBreak="0">
    <w:nsid w:val="4F831DB3"/>
    <w:multiLevelType w:val="hybridMultilevel"/>
    <w:tmpl w:val="24F2C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3B110B"/>
    <w:multiLevelType w:val="multilevel"/>
    <w:tmpl w:val="2D625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A9141C"/>
    <w:multiLevelType w:val="multilevel"/>
    <w:tmpl w:val="466A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2501F5"/>
    <w:multiLevelType w:val="hybridMultilevel"/>
    <w:tmpl w:val="928CB230"/>
    <w:lvl w:ilvl="0" w:tplc="3828BB36">
      <w:start w:val="1"/>
      <w:numFmt w:val="decimal"/>
      <w:lvlText w:val="%1."/>
      <w:lvlJc w:val="left"/>
      <w:pPr>
        <w:ind w:left="720" w:hanging="360"/>
      </w:pPr>
      <w:rPr>
        <w:rFonts w:hint="default"/>
      </w:rPr>
    </w:lvl>
    <w:lvl w:ilvl="1" w:tplc="8A16DCBA" w:tentative="1">
      <w:start w:val="1"/>
      <w:numFmt w:val="lowerLetter"/>
      <w:lvlText w:val="%2."/>
      <w:lvlJc w:val="left"/>
      <w:pPr>
        <w:ind w:left="1440" w:hanging="360"/>
      </w:pPr>
    </w:lvl>
    <w:lvl w:ilvl="2" w:tplc="82B84D58" w:tentative="1">
      <w:start w:val="1"/>
      <w:numFmt w:val="lowerRoman"/>
      <w:lvlText w:val="%3."/>
      <w:lvlJc w:val="right"/>
      <w:pPr>
        <w:ind w:left="2160" w:hanging="180"/>
      </w:pPr>
    </w:lvl>
    <w:lvl w:ilvl="3" w:tplc="8B1C57F2" w:tentative="1">
      <w:start w:val="1"/>
      <w:numFmt w:val="decimal"/>
      <w:lvlText w:val="%4."/>
      <w:lvlJc w:val="left"/>
      <w:pPr>
        <w:ind w:left="2880" w:hanging="360"/>
      </w:pPr>
    </w:lvl>
    <w:lvl w:ilvl="4" w:tplc="4FE6BF4C" w:tentative="1">
      <w:start w:val="1"/>
      <w:numFmt w:val="lowerLetter"/>
      <w:lvlText w:val="%5."/>
      <w:lvlJc w:val="left"/>
      <w:pPr>
        <w:ind w:left="3600" w:hanging="360"/>
      </w:pPr>
    </w:lvl>
    <w:lvl w:ilvl="5" w:tplc="723E4B68" w:tentative="1">
      <w:start w:val="1"/>
      <w:numFmt w:val="lowerRoman"/>
      <w:lvlText w:val="%6."/>
      <w:lvlJc w:val="right"/>
      <w:pPr>
        <w:ind w:left="4320" w:hanging="180"/>
      </w:pPr>
    </w:lvl>
    <w:lvl w:ilvl="6" w:tplc="65F4AC3A" w:tentative="1">
      <w:start w:val="1"/>
      <w:numFmt w:val="decimal"/>
      <w:lvlText w:val="%7."/>
      <w:lvlJc w:val="left"/>
      <w:pPr>
        <w:ind w:left="5040" w:hanging="360"/>
      </w:pPr>
    </w:lvl>
    <w:lvl w:ilvl="7" w:tplc="A6A81954" w:tentative="1">
      <w:start w:val="1"/>
      <w:numFmt w:val="lowerLetter"/>
      <w:lvlText w:val="%8."/>
      <w:lvlJc w:val="left"/>
      <w:pPr>
        <w:ind w:left="5760" w:hanging="360"/>
      </w:pPr>
    </w:lvl>
    <w:lvl w:ilvl="8" w:tplc="F482E258" w:tentative="1">
      <w:start w:val="1"/>
      <w:numFmt w:val="lowerRoman"/>
      <w:lvlText w:val="%9."/>
      <w:lvlJc w:val="right"/>
      <w:pPr>
        <w:ind w:left="6480" w:hanging="180"/>
      </w:pPr>
    </w:lvl>
  </w:abstractNum>
  <w:abstractNum w:abstractNumId="24" w15:restartNumberingAfterBreak="0">
    <w:nsid w:val="663A1616"/>
    <w:multiLevelType w:val="hybridMultilevel"/>
    <w:tmpl w:val="DC60CDA4"/>
    <w:lvl w:ilvl="0" w:tplc="EAE0166C">
      <w:start w:val="1"/>
      <w:numFmt w:val="bullet"/>
      <w:lvlText w:val=""/>
      <w:lvlJc w:val="left"/>
      <w:pPr>
        <w:ind w:left="720" w:hanging="360"/>
      </w:pPr>
      <w:rPr>
        <w:rFonts w:ascii="Wingdings" w:hAnsi="Wingdings" w:hint="default"/>
      </w:rPr>
    </w:lvl>
    <w:lvl w:ilvl="1" w:tplc="A97A533A" w:tentative="1">
      <w:start w:val="1"/>
      <w:numFmt w:val="bullet"/>
      <w:lvlText w:val="o"/>
      <w:lvlJc w:val="left"/>
      <w:pPr>
        <w:ind w:left="1440" w:hanging="360"/>
      </w:pPr>
      <w:rPr>
        <w:rFonts w:ascii="Courier New" w:hAnsi="Courier New" w:cs="Courier New" w:hint="default"/>
      </w:rPr>
    </w:lvl>
    <w:lvl w:ilvl="2" w:tplc="29ECD0A4" w:tentative="1">
      <w:start w:val="1"/>
      <w:numFmt w:val="bullet"/>
      <w:lvlText w:val=""/>
      <w:lvlJc w:val="left"/>
      <w:pPr>
        <w:ind w:left="2160" w:hanging="360"/>
      </w:pPr>
      <w:rPr>
        <w:rFonts w:ascii="Wingdings" w:hAnsi="Wingdings" w:hint="default"/>
      </w:rPr>
    </w:lvl>
    <w:lvl w:ilvl="3" w:tplc="9EE4247C" w:tentative="1">
      <w:start w:val="1"/>
      <w:numFmt w:val="bullet"/>
      <w:lvlText w:val=""/>
      <w:lvlJc w:val="left"/>
      <w:pPr>
        <w:ind w:left="2880" w:hanging="360"/>
      </w:pPr>
      <w:rPr>
        <w:rFonts w:ascii="Symbol" w:hAnsi="Symbol" w:hint="default"/>
      </w:rPr>
    </w:lvl>
    <w:lvl w:ilvl="4" w:tplc="1238749E" w:tentative="1">
      <w:start w:val="1"/>
      <w:numFmt w:val="bullet"/>
      <w:lvlText w:val="o"/>
      <w:lvlJc w:val="left"/>
      <w:pPr>
        <w:ind w:left="3600" w:hanging="360"/>
      </w:pPr>
      <w:rPr>
        <w:rFonts w:ascii="Courier New" w:hAnsi="Courier New" w:cs="Courier New" w:hint="default"/>
      </w:rPr>
    </w:lvl>
    <w:lvl w:ilvl="5" w:tplc="2C2AB6D2" w:tentative="1">
      <w:start w:val="1"/>
      <w:numFmt w:val="bullet"/>
      <w:lvlText w:val=""/>
      <w:lvlJc w:val="left"/>
      <w:pPr>
        <w:ind w:left="4320" w:hanging="360"/>
      </w:pPr>
      <w:rPr>
        <w:rFonts w:ascii="Wingdings" w:hAnsi="Wingdings" w:hint="default"/>
      </w:rPr>
    </w:lvl>
    <w:lvl w:ilvl="6" w:tplc="3D7C0730" w:tentative="1">
      <w:start w:val="1"/>
      <w:numFmt w:val="bullet"/>
      <w:lvlText w:val=""/>
      <w:lvlJc w:val="left"/>
      <w:pPr>
        <w:ind w:left="5040" w:hanging="360"/>
      </w:pPr>
      <w:rPr>
        <w:rFonts w:ascii="Symbol" w:hAnsi="Symbol" w:hint="default"/>
      </w:rPr>
    </w:lvl>
    <w:lvl w:ilvl="7" w:tplc="266C7240" w:tentative="1">
      <w:start w:val="1"/>
      <w:numFmt w:val="bullet"/>
      <w:lvlText w:val="o"/>
      <w:lvlJc w:val="left"/>
      <w:pPr>
        <w:ind w:left="5760" w:hanging="360"/>
      </w:pPr>
      <w:rPr>
        <w:rFonts w:ascii="Courier New" w:hAnsi="Courier New" w:cs="Courier New" w:hint="default"/>
      </w:rPr>
    </w:lvl>
    <w:lvl w:ilvl="8" w:tplc="665AE666" w:tentative="1">
      <w:start w:val="1"/>
      <w:numFmt w:val="bullet"/>
      <w:lvlText w:val=""/>
      <w:lvlJc w:val="left"/>
      <w:pPr>
        <w:ind w:left="6480" w:hanging="360"/>
      </w:pPr>
      <w:rPr>
        <w:rFonts w:ascii="Wingdings" w:hAnsi="Wingdings" w:hint="default"/>
      </w:rPr>
    </w:lvl>
  </w:abstractNum>
  <w:abstractNum w:abstractNumId="25" w15:restartNumberingAfterBreak="0">
    <w:nsid w:val="674A4E3E"/>
    <w:multiLevelType w:val="multilevel"/>
    <w:tmpl w:val="E6A876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FF7DCF"/>
    <w:multiLevelType w:val="multilevel"/>
    <w:tmpl w:val="9556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454695"/>
    <w:multiLevelType w:val="multilevel"/>
    <w:tmpl w:val="EB7E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EB499F"/>
    <w:multiLevelType w:val="multilevel"/>
    <w:tmpl w:val="5768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BF0B94"/>
    <w:multiLevelType w:val="multilevel"/>
    <w:tmpl w:val="BBD8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
  </w:num>
  <w:num w:numId="3">
    <w:abstractNumId w:val="14"/>
  </w:num>
  <w:num w:numId="4">
    <w:abstractNumId w:val="25"/>
  </w:num>
  <w:num w:numId="5">
    <w:abstractNumId w:val="12"/>
  </w:num>
  <w:num w:numId="6">
    <w:abstractNumId w:val="6"/>
  </w:num>
  <w:num w:numId="7">
    <w:abstractNumId w:val="10"/>
  </w:num>
  <w:num w:numId="8">
    <w:abstractNumId w:val="28"/>
  </w:num>
  <w:num w:numId="9">
    <w:abstractNumId w:val="22"/>
  </w:num>
  <w:num w:numId="10">
    <w:abstractNumId w:val="5"/>
  </w:num>
  <w:num w:numId="11">
    <w:abstractNumId w:val="3"/>
  </w:num>
  <w:num w:numId="12">
    <w:abstractNumId w:val="9"/>
  </w:num>
  <w:num w:numId="13">
    <w:abstractNumId w:val="27"/>
  </w:num>
  <w:num w:numId="14">
    <w:abstractNumId w:val="26"/>
  </w:num>
  <w:num w:numId="15">
    <w:abstractNumId w:val="13"/>
  </w:num>
  <w:num w:numId="16">
    <w:abstractNumId w:val="16"/>
  </w:num>
  <w:num w:numId="17">
    <w:abstractNumId w:val="21"/>
  </w:num>
  <w:num w:numId="18">
    <w:abstractNumId w:val="2"/>
  </w:num>
  <w:num w:numId="19">
    <w:abstractNumId w:val="7"/>
  </w:num>
  <w:num w:numId="20">
    <w:abstractNumId w:val="17"/>
  </w:num>
  <w:num w:numId="21">
    <w:abstractNumId w:val="18"/>
  </w:num>
  <w:num w:numId="22">
    <w:abstractNumId w:val="29"/>
  </w:num>
  <w:num w:numId="23">
    <w:abstractNumId w:val="0"/>
  </w:num>
  <w:num w:numId="24">
    <w:abstractNumId w:val="24"/>
  </w:num>
  <w:num w:numId="25">
    <w:abstractNumId w:val="11"/>
  </w:num>
  <w:num w:numId="26">
    <w:abstractNumId w:val="1"/>
  </w:num>
  <w:num w:numId="27">
    <w:abstractNumId w:val="19"/>
  </w:num>
  <w:num w:numId="28">
    <w:abstractNumId w:val="8"/>
  </w:num>
  <w:num w:numId="29">
    <w:abstractNumId w:val="15"/>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68B"/>
    <w:rsid w:val="00000055"/>
    <w:rsid w:val="000000F3"/>
    <w:rsid w:val="000005DF"/>
    <w:rsid w:val="00000BA8"/>
    <w:rsid w:val="00000FA6"/>
    <w:rsid w:val="000016CD"/>
    <w:rsid w:val="00002090"/>
    <w:rsid w:val="00002C6C"/>
    <w:rsid w:val="000042CD"/>
    <w:rsid w:val="000065A1"/>
    <w:rsid w:val="000077B0"/>
    <w:rsid w:val="000101B8"/>
    <w:rsid w:val="00010D7C"/>
    <w:rsid w:val="00010FD6"/>
    <w:rsid w:val="00011FCD"/>
    <w:rsid w:val="0001308B"/>
    <w:rsid w:val="00013578"/>
    <w:rsid w:val="00013FBB"/>
    <w:rsid w:val="0001481E"/>
    <w:rsid w:val="00014F01"/>
    <w:rsid w:val="000165A3"/>
    <w:rsid w:val="000168EE"/>
    <w:rsid w:val="00020C29"/>
    <w:rsid w:val="00021B60"/>
    <w:rsid w:val="00021E22"/>
    <w:rsid w:val="0002390C"/>
    <w:rsid w:val="00023E8B"/>
    <w:rsid w:val="000243A1"/>
    <w:rsid w:val="0002570C"/>
    <w:rsid w:val="00025982"/>
    <w:rsid w:val="0002635C"/>
    <w:rsid w:val="000307A2"/>
    <w:rsid w:val="00033126"/>
    <w:rsid w:val="000343C5"/>
    <w:rsid w:val="0003447B"/>
    <w:rsid w:val="00034C56"/>
    <w:rsid w:val="00034D89"/>
    <w:rsid w:val="00035052"/>
    <w:rsid w:val="00035A21"/>
    <w:rsid w:val="00036011"/>
    <w:rsid w:val="0003688F"/>
    <w:rsid w:val="0003697F"/>
    <w:rsid w:val="00037119"/>
    <w:rsid w:val="0003758C"/>
    <w:rsid w:val="000375B3"/>
    <w:rsid w:val="00040E54"/>
    <w:rsid w:val="0004156D"/>
    <w:rsid w:val="00041848"/>
    <w:rsid w:val="00041B05"/>
    <w:rsid w:val="00041C5E"/>
    <w:rsid w:val="00042D3C"/>
    <w:rsid w:val="0004524F"/>
    <w:rsid w:val="00045292"/>
    <w:rsid w:val="00047CFD"/>
    <w:rsid w:val="00050C3F"/>
    <w:rsid w:val="00051062"/>
    <w:rsid w:val="00051715"/>
    <w:rsid w:val="00052792"/>
    <w:rsid w:val="00052A19"/>
    <w:rsid w:val="00052AE0"/>
    <w:rsid w:val="00053F9E"/>
    <w:rsid w:val="00054714"/>
    <w:rsid w:val="00055206"/>
    <w:rsid w:val="00055998"/>
    <w:rsid w:val="00055F68"/>
    <w:rsid w:val="0005633B"/>
    <w:rsid w:val="000579AC"/>
    <w:rsid w:val="00057C05"/>
    <w:rsid w:val="00057D8F"/>
    <w:rsid w:val="000600A7"/>
    <w:rsid w:val="0006020C"/>
    <w:rsid w:val="00060F05"/>
    <w:rsid w:val="0006146C"/>
    <w:rsid w:val="00062094"/>
    <w:rsid w:val="00062247"/>
    <w:rsid w:val="000624A0"/>
    <w:rsid w:val="00063CDA"/>
    <w:rsid w:val="000642B3"/>
    <w:rsid w:val="00064520"/>
    <w:rsid w:val="000658E2"/>
    <w:rsid w:val="00065C90"/>
    <w:rsid w:val="000660F6"/>
    <w:rsid w:val="00067047"/>
    <w:rsid w:val="000675C5"/>
    <w:rsid w:val="000705EB"/>
    <w:rsid w:val="00070AB7"/>
    <w:rsid w:val="0007106A"/>
    <w:rsid w:val="00072078"/>
    <w:rsid w:val="00072448"/>
    <w:rsid w:val="00073FE2"/>
    <w:rsid w:val="00074863"/>
    <w:rsid w:val="00074921"/>
    <w:rsid w:val="00075720"/>
    <w:rsid w:val="000759D2"/>
    <w:rsid w:val="00075A86"/>
    <w:rsid w:val="00080B37"/>
    <w:rsid w:val="00080E9D"/>
    <w:rsid w:val="00082807"/>
    <w:rsid w:val="000830A5"/>
    <w:rsid w:val="00083C98"/>
    <w:rsid w:val="0008492E"/>
    <w:rsid w:val="000849CB"/>
    <w:rsid w:val="000855EB"/>
    <w:rsid w:val="000856F4"/>
    <w:rsid w:val="0008629C"/>
    <w:rsid w:val="00087849"/>
    <w:rsid w:val="00087BAF"/>
    <w:rsid w:val="00090958"/>
    <w:rsid w:val="00090D29"/>
    <w:rsid w:val="000914A2"/>
    <w:rsid w:val="00092170"/>
    <w:rsid w:val="00092B5D"/>
    <w:rsid w:val="00092CBB"/>
    <w:rsid w:val="00092E13"/>
    <w:rsid w:val="00092E82"/>
    <w:rsid w:val="0009376F"/>
    <w:rsid w:val="0009438C"/>
    <w:rsid w:val="00095841"/>
    <w:rsid w:val="00095F37"/>
    <w:rsid w:val="0009648A"/>
    <w:rsid w:val="00096C7F"/>
    <w:rsid w:val="0009770A"/>
    <w:rsid w:val="00097E67"/>
    <w:rsid w:val="000A01DD"/>
    <w:rsid w:val="000A04BA"/>
    <w:rsid w:val="000A0CF3"/>
    <w:rsid w:val="000A1826"/>
    <w:rsid w:val="000A1E05"/>
    <w:rsid w:val="000A27A2"/>
    <w:rsid w:val="000A2A97"/>
    <w:rsid w:val="000A2DF2"/>
    <w:rsid w:val="000A2E09"/>
    <w:rsid w:val="000A5099"/>
    <w:rsid w:val="000A6CCA"/>
    <w:rsid w:val="000B37D0"/>
    <w:rsid w:val="000B4724"/>
    <w:rsid w:val="000B51BB"/>
    <w:rsid w:val="000B566B"/>
    <w:rsid w:val="000B5ED7"/>
    <w:rsid w:val="000B5F4F"/>
    <w:rsid w:val="000B61AA"/>
    <w:rsid w:val="000B730E"/>
    <w:rsid w:val="000C07AA"/>
    <w:rsid w:val="000C14AE"/>
    <w:rsid w:val="000C2674"/>
    <w:rsid w:val="000C27D3"/>
    <w:rsid w:val="000C3196"/>
    <w:rsid w:val="000C4FFD"/>
    <w:rsid w:val="000C5786"/>
    <w:rsid w:val="000C6356"/>
    <w:rsid w:val="000C6A46"/>
    <w:rsid w:val="000C6A8E"/>
    <w:rsid w:val="000C78C9"/>
    <w:rsid w:val="000D03B6"/>
    <w:rsid w:val="000D0C2C"/>
    <w:rsid w:val="000D0DEB"/>
    <w:rsid w:val="000D12D4"/>
    <w:rsid w:val="000D1745"/>
    <w:rsid w:val="000D1F41"/>
    <w:rsid w:val="000D259D"/>
    <w:rsid w:val="000D39DD"/>
    <w:rsid w:val="000D4952"/>
    <w:rsid w:val="000D4BA4"/>
    <w:rsid w:val="000D642B"/>
    <w:rsid w:val="000D69CD"/>
    <w:rsid w:val="000D6F16"/>
    <w:rsid w:val="000D72A0"/>
    <w:rsid w:val="000D755F"/>
    <w:rsid w:val="000D75EA"/>
    <w:rsid w:val="000E03F9"/>
    <w:rsid w:val="000E09C0"/>
    <w:rsid w:val="000E1E77"/>
    <w:rsid w:val="000E2BD2"/>
    <w:rsid w:val="000E38A1"/>
    <w:rsid w:val="000F0572"/>
    <w:rsid w:val="000F0636"/>
    <w:rsid w:val="000F0773"/>
    <w:rsid w:val="000F0974"/>
    <w:rsid w:val="000F0E88"/>
    <w:rsid w:val="000F26D7"/>
    <w:rsid w:val="000F2CE5"/>
    <w:rsid w:val="000F2F65"/>
    <w:rsid w:val="000F360E"/>
    <w:rsid w:val="000F5658"/>
    <w:rsid w:val="000F5DFD"/>
    <w:rsid w:val="000F77AF"/>
    <w:rsid w:val="000F7CDD"/>
    <w:rsid w:val="000F7ECD"/>
    <w:rsid w:val="0010098E"/>
    <w:rsid w:val="0010119C"/>
    <w:rsid w:val="001014B9"/>
    <w:rsid w:val="00103972"/>
    <w:rsid w:val="00103FC2"/>
    <w:rsid w:val="00104A13"/>
    <w:rsid w:val="001059BB"/>
    <w:rsid w:val="00105CC6"/>
    <w:rsid w:val="00106E9C"/>
    <w:rsid w:val="0011389A"/>
    <w:rsid w:val="00113CB2"/>
    <w:rsid w:val="001142AB"/>
    <w:rsid w:val="00116726"/>
    <w:rsid w:val="0011724D"/>
    <w:rsid w:val="001202A9"/>
    <w:rsid w:val="00120653"/>
    <w:rsid w:val="00121BBB"/>
    <w:rsid w:val="00121D89"/>
    <w:rsid w:val="00122977"/>
    <w:rsid w:val="001232FB"/>
    <w:rsid w:val="001233D6"/>
    <w:rsid w:val="001244EB"/>
    <w:rsid w:val="00124A79"/>
    <w:rsid w:val="00125CD8"/>
    <w:rsid w:val="001262C2"/>
    <w:rsid w:val="00126AAA"/>
    <w:rsid w:val="00126D24"/>
    <w:rsid w:val="001273FE"/>
    <w:rsid w:val="00127924"/>
    <w:rsid w:val="00127A60"/>
    <w:rsid w:val="00127C0D"/>
    <w:rsid w:val="00127C3F"/>
    <w:rsid w:val="00130101"/>
    <w:rsid w:val="001303E3"/>
    <w:rsid w:val="00130AF5"/>
    <w:rsid w:val="00130B13"/>
    <w:rsid w:val="00132341"/>
    <w:rsid w:val="00133994"/>
    <w:rsid w:val="00134CE0"/>
    <w:rsid w:val="0013514F"/>
    <w:rsid w:val="00135687"/>
    <w:rsid w:val="00136210"/>
    <w:rsid w:val="00136A23"/>
    <w:rsid w:val="00137C55"/>
    <w:rsid w:val="00137F68"/>
    <w:rsid w:val="00140420"/>
    <w:rsid w:val="00140574"/>
    <w:rsid w:val="001411A7"/>
    <w:rsid w:val="00144190"/>
    <w:rsid w:val="00144E87"/>
    <w:rsid w:val="00145D09"/>
    <w:rsid w:val="00146B7B"/>
    <w:rsid w:val="0014756D"/>
    <w:rsid w:val="00150F82"/>
    <w:rsid w:val="0015147A"/>
    <w:rsid w:val="00152ADF"/>
    <w:rsid w:val="00152F11"/>
    <w:rsid w:val="0015395A"/>
    <w:rsid w:val="00154849"/>
    <w:rsid w:val="00154B8D"/>
    <w:rsid w:val="001552E7"/>
    <w:rsid w:val="0015559B"/>
    <w:rsid w:val="0015561A"/>
    <w:rsid w:val="00155C36"/>
    <w:rsid w:val="00156665"/>
    <w:rsid w:val="001577AD"/>
    <w:rsid w:val="001578B5"/>
    <w:rsid w:val="00160F9F"/>
    <w:rsid w:val="00161BDD"/>
    <w:rsid w:val="00161DAC"/>
    <w:rsid w:val="00161EE0"/>
    <w:rsid w:val="00162594"/>
    <w:rsid w:val="00162C5F"/>
    <w:rsid w:val="00165C7E"/>
    <w:rsid w:val="00166602"/>
    <w:rsid w:val="001669E4"/>
    <w:rsid w:val="00166D97"/>
    <w:rsid w:val="00167C5D"/>
    <w:rsid w:val="001706C2"/>
    <w:rsid w:val="00170DE3"/>
    <w:rsid w:val="00171411"/>
    <w:rsid w:val="00172845"/>
    <w:rsid w:val="001735FB"/>
    <w:rsid w:val="00174594"/>
    <w:rsid w:val="00174844"/>
    <w:rsid w:val="001756BC"/>
    <w:rsid w:val="001774B7"/>
    <w:rsid w:val="001811E0"/>
    <w:rsid w:val="00181BF4"/>
    <w:rsid w:val="0018222D"/>
    <w:rsid w:val="00182355"/>
    <w:rsid w:val="00182B82"/>
    <w:rsid w:val="00182CA0"/>
    <w:rsid w:val="00183257"/>
    <w:rsid w:val="001833DF"/>
    <w:rsid w:val="00184C4A"/>
    <w:rsid w:val="00185BC9"/>
    <w:rsid w:val="001875BB"/>
    <w:rsid w:val="00190066"/>
    <w:rsid w:val="00191DDA"/>
    <w:rsid w:val="00191EE3"/>
    <w:rsid w:val="0019373E"/>
    <w:rsid w:val="00194998"/>
    <w:rsid w:val="00195C8A"/>
    <w:rsid w:val="00196318"/>
    <w:rsid w:val="00197B0E"/>
    <w:rsid w:val="001A00CE"/>
    <w:rsid w:val="001A1745"/>
    <w:rsid w:val="001A1D6F"/>
    <w:rsid w:val="001A26F8"/>
    <w:rsid w:val="001A26FC"/>
    <w:rsid w:val="001A36B2"/>
    <w:rsid w:val="001A5C1F"/>
    <w:rsid w:val="001A637A"/>
    <w:rsid w:val="001A66AE"/>
    <w:rsid w:val="001A6899"/>
    <w:rsid w:val="001A7525"/>
    <w:rsid w:val="001A7616"/>
    <w:rsid w:val="001A7B40"/>
    <w:rsid w:val="001A7EC9"/>
    <w:rsid w:val="001B143A"/>
    <w:rsid w:val="001B1903"/>
    <w:rsid w:val="001B226E"/>
    <w:rsid w:val="001B2647"/>
    <w:rsid w:val="001B2B38"/>
    <w:rsid w:val="001B3881"/>
    <w:rsid w:val="001B4912"/>
    <w:rsid w:val="001B50E4"/>
    <w:rsid w:val="001B58F6"/>
    <w:rsid w:val="001B64E0"/>
    <w:rsid w:val="001C1371"/>
    <w:rsid w:val="001C2932"/>
    <w:rsid w:val="001C46E8"/>
    <w:rsid w:val="001C56F8"/>
    <w:rsid w:val="001C65B5"/>
    <w:rsid w:val="001C669C"/>
    <w:rsid w:val="001C716F"/>
    <w:rsid w:val="001C7258"/>
    <w:rsid w:val="001D0259"/>
    <w:rsid w:val="001D045E"/>
    <w:rsid w:val="001D05ED"/>
    <w:rsid w:val="001D10DB"/>
    <w:rsid w:val="001D149D"/>
    <w:rsid w:val="001D17EE"/>
    <w:rsid w:val="001D1B74"/>
    <w:rsid w:val="001D235C"/>
    <w:rsid w:val="001D358C"/>
    <w:rsid w:val="001D3BDD"/>
    <w:rsid w:val="001D4008"/>
    <w:rsid w:val="001D4421"/>
    <w:rsid w:val="001D4C72"/>
    <w:rsid w:val="001D5BB0"/>
    <w:rsid w:val="001D5E9F"/>
    <w:rsid w:val="001D7780"/>
    <w:rsid w:val="001D7E26"/>
    <w:rsid w:val="001D7F1C"/>
    <w:rsid w:val="001E0926"/>
    <w:rsid w:val="001E0B87"/>
    <w:rsid w:val="001E1677"/>
    <w:rsid w:val="001E3F5E"/>
    <w:rsid w:val="001E4269"/>
    <w:rsid w:val="001E441D"/>
    <w:rsid w:val="001E4609"/>
    <w:rsid w:val="001E4AD9"/>
    <w:rsid w:val="001E4D7C"/>
    <w:rsid w:val="001E5D05"/>
    <w:rsid w:val="001E6840"/>
    <w:rsid w:val="001E6907"/>
    <w:rsid w:val="001E6FDE"/>
    <w:rsid w:val="001E7814"/>
    <w:rsid w:val="001F1DB1"/>
    <w:rsid w:val="001F25A9"/>
    <w:rsid w:val="001F41F3"/>
    <w:rsid w:val="001F4CCD"/>
    <w:rsid w:val="001F5617"/>
    <w:rsid w:val="001F5C23"/>
    <w:rsid w:val="001F6F3C"/>
    <w:rsid w:val="001F726C"/>
    <w:rsid w:val="001F7515"/>
    <w:rsid w:val="001F78C0"/>
    <w:rsid w:val="001F7B13"/>
    <w:rsid w:val="001F7C83"/>
    <w:rsid w:val="00200D9D"/>
    <w:rsid w:val="00202AE2"/>
    <w:rsid w:val="00203D93"/>
    <w:rsid w:val="00204437"/>
    <w:rsid w:val="0020458B"/>
    <w:rsid w:val="00205168"/>
    <w:rsid w:val="00205631"/>
    <w:rsid w:val="00205A1E"/>
    <w:rsid w:val="00205E4F"/>
    <w:rsid w:val="00210615"/>
    <w:rsid w:val="00210F2B"/>
    <w:rsid w:val="002128D7"/>
    <w:rsid w:val="00213AF6"/>
    <w:rsid w:val="0021439E"/>
    <w:rsid w:val="002143AB"/>
    <w:rsid w:val="002161CE"/>
    <w:rsid w:val="002164D2"/>
    <w:rsid w:val="00216A28"/>
    <w:rsid w:val="00216AB3"/>
    <w:rsid w:val="002172CA"/>
    <w:rsid w:val="00220199"/>
    <w:rsid w:val="00221440"/>
    <w:rsid w:val="00221D2A"/>
    <w:rsid w:val="00221E82"/>
    <w:rsid w:val="002225AA"/>
    <w:rsid w:val="002255D9"/>
    <w:rsid w:val="002275FA"/>
    <w:rsid w:val="00232451"/>
    <w:rsid w:val="00232CBA"/>
    <w:rsid w:val="00232ED3"/>
    <w:rsid w:val="0023346F"/>
    <w:rsid w:val="002337B9"/>
    <w:rsid w:val="00236384"/>
    <w:rsid w:val="0023661A"/>
    <w:rsid w:val="00236BAF"/>
    <w:rsid w:val="00236DEE"/>
    <w:rsid w:val="00236FD2"/>
    <w:rsid w:val="002413D5"/>
    <w:rsid w:val="00241E53"/>
    <w:rsid w:val="002422D9"/>
    <w:rsid w:val="00243F3D"/>
    <w:rsid w:val="0024457E"/>
    <w:rsid w:val="00245194"/>
    <w:rsid w:val="00245A5E"/>
    <w:rsid w:val="00246522"/>
    <w:rsid w:val="00247452"/>
    <w:rsid w:val="00247514"/>
    <w:rsid w:val="0024778F"/>
    <w:rsid w:val="00247CEC"/>
    <w:rsid w:val="00247FD2"/>
    <w:rsid w:val="00250AEA"/>
    <w:rsid w:val="0025143D"/>
    <w:rsid w:val="00251D02"/>
    <w:rsid w:val="00252683"/>
    <w:rsid w:val="00252A05"/>
    <w:rsid w:val="00252E54"/>
    <w:rsid w:val="00252F20"/>
    <w:rsid w:val="0025308A"/>
    <w:rsid w:val="0025437E"/>
    <w:rsid w:val="0025448E"/>
    <w:rsid w:val="00255140"/>
    <w:rsid w:val="0025640C"/>
    <w:rsid w:val="00257F41"/>
    <w:rsid w:val="002614BE"/>
    <w:rsid w:val="00261C22"/>
    <w:rsid w:val="00262165"/>
    <w:rsid w:val="00262A37"/>
    <w:rsid w:val="00263F08"/>
    <w:rsid w:val="00264513"/>
    <w:rsid w:val="002645B7"/>
    <w:rsid w:val="00264B24"/>
    <w:rsid w:val="002653E8"/>
    <w:rsid w:val="00265BB8"/>
    <w:rsid w:val="00267A5D"/>
    <w:rsid w:val="00267EFB"/>
    <w:rsid w:val="00270349"/>
    <w:rsid w:val="0027113F"/>
    <w:rsid w:val="002714AF"/>
    <w:rsid w:val="002719A4"/>
    <w:rsid w:val="00271CB5"/>
    <w:rsid w:val="002727CB"/>
    <w:rsid w:val="00272CBF"/>
    <w:rsid w:val="00272E06"/>
    <w:rsid w:val="00272FDC"/>
    <w:rsid w:val="002740CE"/>
    <w:rsid w:val="002756C8"/>
    <w:rsid w:val="00276A6B"/>
    <w:rsid w:val="00277139"/>
    <w:rsid w:val="00277582"/>
    <w:rsid w:val="0028097C"/>
    <w:rsid w:val="002817C6"/>
    <w:rsid w:val="00282431"/>
    <w:rsid w:val="00283331"/>
    <w:rsid w:val="00283CBE"/>
    <w:rsid w:val="00283ED5"/>
    <w:rsid w:val="00283F2E"/>
    <w:rsid w:val="00283F8C"/>
    <w:rsid w:val="00283FFC"/>
    <w:rsid w:val="00284D61"/>
    <w:rsid w:val="00285CEB"/>
    <w:rsid w:val="00286135"/>
    <w:rsid w:val="002865C6"/>
    <w:rsid w:val="002879B3"/>
    <w:rsid w:val="00287E35"/>
    <w:rsid w:val="0029014D"/>
    <w:rsid w:val="00290790"/>
    <w:rsid w:val="00290D5C"/>
    <w:rsid w:val="00291793"/>
    <w:rsid w:val="00291944"/>
    <w:rsid w:val="002923AE"/>
    <w:rsid w:val="002925F5"/>
    <w:rsid w:val="00292E7A"/>
    <w:rsid w:val="00292F0F"/>
    <w:rsid w:val="0029307F"/>
    <w:rsid w:val="00293756"/>
    <w:rsid w:val="00293B5D"/>
    <w:rsid w:val="00293FD3"/>
    <w:rsid w:val="002958DE"/>
    <w:rsid w:val="002966AF"/>
    <w:rsid w:val="00296AC5"/>
    <w:rsid w:val="00296AEF"/>
    <w:rsid w:val="00296C42"/>
    <w:rsid w:val="00297B6F"/>
    <w:rsid w:val="002A0355"/>
    <w:rsid w:val="002A11D2"/>
    <w:rsid w:val="002A21B7"/>
    <w:rsid w:val="002A39F1"/>
    <w:rsid w:val="002A4160"/>
    <w:rsid w:val="002A7309"/>
    <w:rsid w:val="002A78EF"/>
    <w:rsid w:val="002B053B"/>
    <w:rsid w:val="002B0C58"/>
    <w:rsid w:val="002B1410"/>
    <w:rsid w:val="002B2AE0"/>
    <w:rsid w:val="002B3FB1"/>
    <w:rsid w:val="002B4946"/>
    <w:rsid w:val="002B50E1"/>
    <w:rsid w:val="002B5504"/>
    <w:rsid w:val="002B5B56"/>
    <w:rsid w:val="002B618C"/>
    <w:rsid w:val="002B6251"/>
    <w:rsid w:val="002B6844"/>
    <w:rsid w:val="002B76BC"/>
    <w:rsid w:val="002B76F4"/>
    <w:rsid w:val="002B79BA"/>
    <w:rsid w:val="002B7C19"/>
    <w:rsid w:val="002B7F68"/>
    <w:rsid w:val="002C090D"/>
    <w:rsid w:val="002C14DD"/>
    <w:rsid w:val="002C32CE"/>
    <w:rsid w:val="002C37D9"/>
    <w:rsid w:val="002C40AD"/>
    <w:rsid w:val="002C40CD"/>
    <w:rsid w:val="002C4A9C"/>
    <w:rsid w:val="002C558D"/>
    <w:rsid w:val="002C55B0"/>
    <w:rsid w:val="002C5874"/>
    <w:rsid w:val="002C587F"/>
    <w:rsid w:val="002C7285"/>
    <w:rsid w:val="002C7535"/>
    <w:rsid w:val="002C79CB"/>
    <w:rsid w:val="002D034C"/>
    <w:rsid w:val="002D0AA6"/>
    <w:rsid w:val="002D17FD"/>
    <w:rsid w:val="002D1F9B"/>
    <w:rsid w:val="002D2DE0"/>
    <w:rsid w:val="002D3ECE"/>
    <w:rsid w:val="002D3FA3"/>
    <w:rsid w:val="002D48F9"/>
    <w:rsid w:val="002D6840"/>
    <w:rsid w:val="002D774C"/>
    <w:rsid w:val="002D7BC4"/>
    <w:rsid w:val="002E0238"/>
    <w:rsid w:val="002E15C8"/>
    <w:rsid w:val="002E1B58"/>
    <w:rsid w:val="002E32C5"/>
    <w:rsid w:val="002E43C5"/>
    <w:rsid w:val="002E4CEB"/>
    <w:rsid w:val="002E5337"/>
    <w:rsid w:val="002E6A7E"/>
    <w:rsid w:val="002E6C76"/>
    <w:rsid w:val="002E79DE"/>
    <w:rsid w:val="002F0099"/>
    <w:rsid w:val="002F271C"/>
    <w:rsid w:val="002F2A7F"/>
    <w:rsid w:val="002F304A"/>
    <w:rsid w:val="002F3400"/>
    <w:rsid w:val="002F4994"/>
    <w:rsid w:val="002F54F9"/>
    <w:rsid w:val="002F5B5D"/>
    <w:rsid w:val="002F5E0D"/>
    <w:rsid w:val="002F63DA"/>
    <w:rsid w:val="002F7561"/>
    <w:rsid w:val="003004C7"/>
    <w:rsid w:val="00300C5E"/>
    <w:rsid w:val="00302C40"/>
    <w:rsid w:val="00304A4D"/>
    <w:rsid w:val="00305267"/>
    <w:rsid w:val="003052EB"/>
    <w:rsid w:val="00305AD6"/>
    <w:rsid w:val="003061C2"/>
    <w:rsid w:val="00307D59"/>
    <w:rsid w:val="00307DF1"/>
    <w:rsid w:val="0031076E"/>
    <w:rsid w:val="00310935"/>
    <w:rsid w:val="003113D1"/>
    <w:rsid w:val="003119B5"/>
    <w:rsid w:val="0031246A"/>
    <w:rsid w:val="00312824"/>
    <w:rsid w:val="00313535"/>
    <w:rsid w:val="00313B27"/>
    <w:rsid w:val="0031458A"/>
    <w:rsid w:val="003149E4"/>
    <w:rsid w:val="00315638"/>
    <w:rsid w:val="0031572B"/>
    <w:rsid w:val="00315A2D"/>
    <w:rsid w:val="003163A4"/>
    <w:rsid w:val="003166A7"/>
    <w:rsid w:val="0031697D"/>
    <w:rsid w:val="00316997"/>
    <w:rsid w:val="00316AB3"/>
    <w:rsid w:val="00317FF1"/>
    <w:rsid w:val="003232A4"/>
    <w:rsid w:val="003238C6"/>
    <w:rsid w:val="00323F3D"/>
    <w:rsid w:val="0032613E"/>
    <w:rsid w:val="00326774"/>
    <w:rsid w:val="00326B14"/>
    <w:rsid w:val="003273EF"/>
    <w:rsid w:val="003302C3"/>
    <w:rsid w:val="00330359"/>
    <w:rsid w:val="0033050D"/>
    <w:rsid w:val="00331E8A"/>
    <w:rsid w:val="0033246C"/>
    <w:rsid w:val="0033267F"/>
    <w:rsid w:val="003334F6"/>
    <w:rsid w:val="00333C47"/>
    <w:rsid w:val="00333E41"/>
    <w:rsid w:val="003351B8"/>
    <w:rsid w:val="00336D71"/>
    <w:rsid w:val="00337755"/>
    <w:rsid w:val="00337875"/>
    <w:rsid w:val="00340A60"/>
    <w:rsid w:val="003412B6"/>
    <w:rsid w:val="0034137D"/>
    <w:rsid w:val="003440BC"/>
    <w:rsid w:val="00344572"/>
    <w:rsid w:val="003450CE"/>
    <w:rsid w:val="00345C53"/>
    <w:rsid w:val="00351C3B"/>
    <w:rsid w:val="00352622"/>
    <w:rsid w:val="00352C68"/>
    <w:rsid w:val="00353C23"/>
    <w:rsid w:val="00354839"/>
    <w:rsid w:val="003560C0"/>
    <w:rsid w:val="00356932"/>
    <w:rsid w:val="00356F54"/>
    <w:rsid w:val="00357121"/>
    <w:rsid w:val="00360BF7"/>
    <w:rsid w:val="00361159"/>
    <w:rsid w:val="00361528"/>
    <w:rsid w:val="00362C11"/>
    <w:rsid w:val="00362E97"/>
    <w:rsid w:val="00364279"/>
    <w:rsid w:val="00365E62"/>
    <w:rsid w:val="00366846"/>
    <w:rsid w:val="003674E3"/>
    <w:rsid w:val="00370DA6"/>
    <w:rsid w:val="00371274"/>
    <w:rsid w:val="00372A45"/>
    <w:rsid w:val="00373B94"/>
    <w:rsid w:val="00373BE2"/>
    <w:rsid w:val="00374EB6"/>
    <w:rsid w:val="00375909"/>
    <w:rsid w:val="00375A9D"/>
    <w:rsid w:val="00375C3D"/>
    <w:rsid w:val="00376A25"/>
    <w:rsid w:val="00380CE3"/>
    <w:rsid w:val="00380DD6"/>
    <w:rsid w:val="0038106B"/>
    <w:rsid w:val="0038267C"/>
    <w:rsid w:val="003840EA"/>
    <w:rsid w:val="003862A0"/>
    <w:rsid w:val="00386F94"/>
    <w:rsid w:val="0038714D"/>
    <w:rsid w:val="00387A3F"/>
    <w:rsid w:val="00387E7C"/>
    <w:rsid w:val="003906C2"/>
    <w:rsid w:val="0039116A"/>
    <w:rsid w:val="003911A3"/>
    <w:rsid w:val="00391401"/>
    <w:rsid w:val="003914AC"/>
    <w:rsid w:val="00392A93"/>
    <w:rsid w:val="0039330C"/>
    <w:rsid w:val="00393529"/>
    <w:rsid w:val="003935F6"/>
    <w:rsid w:val="003950D4"/>
    <w:rsid w:val="00395E59"/>
    <w:rsid w:val="00395FA8"/>
    <w:rsid w:val="003963A5"/>
    <w:rsid w:val="003965E3"/>
    <w:rsid w:val="00396758"/>
    <w:rsid w:val="00396E7E"/>
    <w:rsid w:val="00397853"/>
    <w:rsid w:val="003A02C7"/>
    <w:rsid w:val="003A03D8"/>
    <w:rsid w:val="003A19CC"/>
    <w:rsid w:val="003A2097"/>
    <w:rsid w:val="003A218C"/>
    <w:rsid w:val="003A2E0A"/>
    <w:rsid w:val="003A31E7"/>
    <w:rsid w:val="003A37E4"/>
    <w:rsid w:val="003A3866"/>
    <w:rsid w:val="003A39B7"/>
    <w:rsid w:val="003A421E"/>
    <w:rsid w:val="003A44CF"/>
    <w:rsid w:val="003A5B9E"/>
    <w:rsid w:val="003A61B9"/>
    <w:rsid w:val="003A63C0"/>
    <w:rsid w:val="003B03ED"/>
    <w:rsid w:val="003B057D"/>
    <w:rsid w:val="003B15A5"/>
    <w:rsid w:val="003B230D"/>
    <w:rsid w:val="003B420F"/>
    <w:rsid w:val="003B4A6B"/>
    <w:rsid w:val="003B5548"/>
    <w:rsid w:val="003B5574"/>
    <w:rsid w:val="003B5AA9"/>
    <w:rsid w:val="003C0063"/>
    <w:rsid w:val="003C013E"/>
    <w:rsid w:val="003C0FA9"/>
    <w:rsid w:val="003C126F"/>
    <w:rsid w:val="003C1ADF"/>
    <w:rsid w:val="003C1F12"/>
    <w:rsid w:val="003C2850"/>
    <w:rsid w:val="003C370B"/>
    <w:rsid w:val="003C3922"/>
    <w:rsid w:val="003C4D2F"/>
    <w:rsid w:val="003C6D11"/>
    <w:rsid w:val="003C7032"/>
    <w:rsid w:val="003D02E8"/>
    <w:rsid w:val="003D0A16"/>
    <w:rsid w:val="003D1023"/>
    <w:rsid w:val="003D22B0"/>
    <w:rsid w:val="003D27D3"/>
    <w:rsid w:val="003D28D0"/>
    <w:rsid w:val="003D3616"/>
    <w:rsid w:val="003D41BE"/>
    <w:rsid w:val="003D4352"/>
    <w:rsid w:val="003D4CE2"/>
    <w:rsid w:val="003D5A8D"/>
    <w:rsid w:val="003D5EF5"/>
    <w:rsid w:val="003D604C"/>
    <w:rsid w:val="003D658C"/>
    <w:rsid w:val="003D71B4"/>
    <w:rsid w:val="003E022E"/>
    <w:rsid w:val="003E02AC"/>
    <w:rsid w:val="003E0731"/>
    <w:rsid w:val="003E0A8B"/>
    <w:rsid w:val="003E1ABB"/>
    <w:rsid w:val="003E2A7D"/>
    <w:rsid w:val="003E2ADA"/>
    <w:rsid w:val="003E3007"/>
    <w:rsid w:val="003E34DB"/>
    <w:rsid w:val="003E4055"/>
    <w:rsid w:val="003E497C"/>
    <w:rsid w:val="003E663C"/>
    <w:rsid w:val="003F22BB"/>
    <w:rsid w:val="003F2A3A"/>
    <w:rsid w:val="003F3352"/>
    <w:rsid w:val="003F3D04"/>
    <w:rsid w:val="003F6E0F"/>
    <w:rsid w:val="003F774C"/>
    <w:rsid w:val="00400182"/>
    <w:rsid w:val="00401F79"/>
    <w:rsid w:val="00402FDE"/>
    <w:rsid w:val="00403DC2"/>
    <w:rsid w:val="00403E0F"/>
    <w:rsid w:val="00403E7F"/>
    <w:rsid w:val="00403FDC"/>
    <w:rsid w:val="004045C4"/>
    <w:rsid w:val="0040461F"/>
    <w:rsid w:val="004049C8"/>
    <w:rsid w:val="0040632C"/>
    <w:rsid w:val="00406842"/>
    <w:rsid w:val="00406B46"/>
    <w:rsid w:val="00406BC8"/>
    <w:rsid w:val="00407A37"/>
    <w:rsid w:val="00407A54"/>
    <w:rsid w:val="00410EC0"/>
    <w:rsid w:val="00411DA3"/>
    <w:rsid w:val="004122D4"/>
    <w:rsid w:val="00413263"/>
    <w:rsid w:val="0041340B"/>
    <w:rsid w:val="004146FF"/>
    <w:rsid w:val="00414D7C"/>
    <w:rsid w:val="004171E5"/>
    <w:rsid w:val="0041730C"/>
    <w:rsid w:val="00417834"/>
    <w:rsid w:val="00421E80"/>
    <w:rsid w:val="004220A2"/>
    <w:rsid w:val="004237DC"/>
    <w:rsid w:val="004241B7"/>
    <w:rsid w:val="00424A6E"/>
    <w:rsid w:val="00427AE2"/>
    <w:rsid w:val="00427FE5"/>
    <w:rsid w:val="00433222"/>
    <w:rsid w:val="00434981"/>
    <w:rsid w:val="004355B4"/>
    <w:rsid w:val="00440149"/>
    <w:rsid w:val="004403E8"/>
    <w:rsid w:val="00441A19"/>
    <w:rsid w:val="00442410"/>
    <w:rsid w:val="004429F4"/>
    <w:rsid w:val="00442BAF"/>
    <w:rsid w:val="00443744"/>
    <w:rsid w:val="004442F1"/>
    <w:rsid w:val="00444A17"/>
    <w:rsid w:val="00444BF9"/>
    <w:rsid w:val="00444F6A"/>
    <w:rsid w:val="004453BA"/>
    <w:rsid w:val="00445CC7"/>
    <w:rsid w:val="0044777E"/>
    <w:rsid w:val="00450D62"/>
    <w:rsid w:val="00452549"/>
    <w:rsid w:val="00452ADC"/>
    <w:rsid w:val="00453277"/>
    <w:rsid w:val="004533CB"/>
    <w:rsid w:val="004537DF"/>
    <w:rsid w:val="00453EFF"/>
    <w:rsid w:val="004540BB"/>
    <w:rsid w:val="004548A6"/>
    <w:rsid w:val="00455787"/>
    <w:rsid w:val="00455C2A"/>
    <w:rsid w:val="00456DCF"/>
    <w:rsid w:val="00457DBD"/>
    <w:rsid w:val="00460102"/>
    <w:rsid w:val="00460870"/>
    <w:rsid w:val="004621E1"/>
    <w:rsid w:val="0046291E"/>
    <w:rsid w:val="004632D7"/>
    <w:rsid w:val="004633FD"/>
    <w:rsid w:val="00464DB8"/>
    <w:rsid w:val="00464EAF"/>
    <w:rsid w:val="0046533E"/>
    <w:rsid w:val="0046634B"/>
    <w:rsid w:val="00466693"/>
    <w:rsid w:val="00466B6E"/>
    <w:rsid w:val="00466C18"/>
    <w:rsid w:val="00466D70"/>
    <w:rsid w:val="00466FF4"/>
    <w:rsid w:val="00467B21"/>
    <w:rsid w:val="00467CB6"/>
    <w:rsid w:val="00467F7C"/>
    <w:rsid w:val="004707DC"/>
    <w:rsid w:val="00470C91"/>
    <w:rsid w:val="0047326B"/>
    <w:rsid w:val="00474683"/>
    <w:rsid w:val="00474739"/>
    <w:rsid w:val="00474C83"/>
    <w:rsid w:val="00475079"/>
    <w:rsid w:val="00476CFF"/>
    <w:rsid w:val="004813C2"/>
    <w:rsid w:val="0048145F"/>
    <w:rsid w:val="004819FD"/>
    <w:rsid w:val="00481D46"/>
    <w:rsid w:val="00482612"/>
    <w:rsid w:val="0048266A"/>
    <w:rsid w:val="004829F1"/>
    <w:rsid w:val="00482AA2"/>
    <w:rsid w:val="00482CBD"/>
    <w:rsid w:val="00482E19"/>
    <w:rsid w:val="00482FDB"/>
    <w:rsid w:val="004830BA"/>
    <w:rsid w:val="00483276"/>
    <w:rsid w:val="0048365E"/>
    <w:rsid w:val="00484A4A"/>
    <w:rsid w:val="004850C1"/>
    <w:rsid w:val="004869B3"/>
    <w:rsid w:val="00486D27"/>
    <w:rsid w:val="00486DB8"/>
    <w:rsid w:val="00487110"/>
    <w:rsid w:val="004878E0"/>
    <w:rsid w:val="004879CF"/>
    <w:rsid w:val="00490CCA"/>
    <w:rsid w:val="00490D28"/>
    <w:rsid w:val="004913D1"/>
    <w:rsid w:val="0049154D"/>
    <w:rsid w:val="00491637"/>
    <w:rsid w:val="00492C81"/>
    <w:rsid w:val="00492F14"/>
    <w:rsid w:val="004937FC"/>
    <w:rsid w:val="004938DE"/>
    <w:rsid w:val="00494789"/>
    <w:rsid w:val="004953D5"/>
    <w:rsid w:val="0049743E"/>
    <w:rsid w:val="00497553"/>
    <w:rsid w:val="004A02C4"/>
    <w:rsid w:val="004A1089"/>
    <w:rsid w:val="004A3141"/>
    <w:rsid w:val="004A5331"/>
    <w:rsid w:val="004A57F5"/>
    <w:rsid w:val="004A6622"/>
    <w:rsid w:val="004A7FB6"/>
    <w:rsid w:val="004B0989"/>
    <w:rsid w:val="004B2BCB"/>
    <w:rsid w:val="004B32B8"/>
    <w:rsid w:val="004B4C7B"/>
    <w:rsid w:val="004B5B75"/>
    <w:rsid w:val="004B5C87"/>
    <w:rsid w:val="004B71F0"/>
    <w:rsid w:val="004B7CC4"/>
    <w:rsid w:val="004B7CD2"/>
    <w:rsid w:val="004C02D6"/>
    <w:rsid w:val="004C11D3"/>
    <w:rsid w:val="004C1780"/>
    <w:rsid w:val="004C2525"/>
    <w:rsid w:val="004C3EA8"/>
    <w:rsid w:val="004C4583"/>
    <w:rsid w:val="004C5042"/>
    <w:rsid w:val="004C5079"/>
    <w:rsid w:val="004C6439"/>
    <w:rsid w:val="004C6504"/>
    <w:rsid w:val="004C6CDA"/>
    <w:rsid w:val="004C709B"/>
    <w:rsid w:val="004C7AAE"/>
    <w:rsid w:val="004C7C59"/>
    <w:rsid w:val="004C7E4C"/>
    <w:rsid w:val="004D04E9"/>
    <w:rsid w:val="004D12C1"/>
    <w:rsid w:val="004D1903"/>
    <w:rsid w:val="004D1B02"/>
    <w:rsid w:val="004D202F"/>
    <w:rsid w:val="004D336C"/>
    <w:rsid w:val="004D348A"/>
    <w:rsid w:val="004D4119"/>
    <w:rsid w:val="004E084F"/>
    <w:rsid w:val="004E2CF7"/>
    <w:rsid w:val="004E374A"/>
    <w:rsid w:val="004E37FC"/>
    <w:rsid w:val="004E3D6E"/>
    <w:rsid w:val="004E4A80"/>
    <w:rsid w:val="004E5338"/>
    <w:rsid w:val="004E54B7"/>
    <w:rsid w:val="004E698A"/>
    <w:rsid w:val="004F00A3"/>
    <w:rsid w:val="004F03F4"/>
    <w:rsid w:val="004F245D"/>
    <w:rsid w:val="004F2F60"/>
    <w:rsid w:val="004F359A"/>
    <w:rsid w:val="004F3A96"/>
    <w:rsid w:val="004F4139"/>
    <w:rsid w:val="004F4538"/>
    <w:rsid w:val="004F5B7C"/>
    <w:rsid w:val="004F62C8"/>
    <w:rsid w:val="004F6330"/>
    <w:rsid w:val="004F67CD"/>
    <w:rsid w:val="004F6957"/>
    <w:rsid w:val="004F6E04"/>
    <w:rsid w:val="004F6F79"/>
    <w:rsid w:val="004F78AE"/>
    <w:rsid w:val="004F799F"/>
    <w:rsid w:val="004F7A0B"/>
    <w:rsid w:val="00500C4B"/>
    <w:rsid w:val="00501267"/>
    <w:rsid w:val="0050285D"/>
    <w:rsid w:val="00504A9B"/>
    <w:rsid w:val="0050581C"/>
    <w:rsid w:val="005058AA"/>
    <w:rsid w:val="00505A5D"/>
    <w:rsid w:val="0050607A"/>
    <w:rsid w:val="005067E9"/>
    <w:rsid w:val="005069DD"/>
    <w:rsid w:val="005070DD"/>
    <w:rsid w:val="0050758D"/>
    <w:rsid w:val="00507F01"/>
    <w:rsid w:val="00510839"/>
    <w:rsid w:val="00510850"/>
    <w:rsid w:val="005109C6"/>
    <w:rsid w:val="005119D4"/>
    <w:rsid w:val="00511D37"/>
    <w:rsid w:val="00512043"/>
    <w:rsid w:val="00512B4A"/>
    <w:rsid w:val="00513153"/>
    <w:rsid w:val="00513A2C"/>
    <w:rsid w:val="00513E34"/>
    <w:rsid w:val="00514092"/>
    <w:rsid w:val="00514215"/>
    <w:rsid w:val="005169F2"/>
    <w:rsid w:val="00517337"/>
    <w:rsid w:val="005173B0"/>
    <w:rsid w:val="00520F49"/>
    <w:rsid w:val="0052156C"/>
    <w:rsid w:val="00521CBB"/>
    <w:rsid w:val="00521FAA"/>
    <w:rsid w:val="00522AF4"/>
    <w:rsid w:val="00524395"/>
    <w:rsid w:val="00524824"/>
    <w:rsid w:val="005248E3"/>
    <w:rsid w:val="00524D35"/>
    <w:rsid w:val="00525E6C"/>
    <w:rsid w:val="00525FBE"/>
    <w:rsid w:val="00526604"/>
    <w:rsid w:val="00527B86"/>
    <w:rsid w:val="00530223"/>
    <w:rsid w:val="00531515"/>
    <w:rsid w:val="00531B63"/>
    <w:rsid w:val="00534A4A"/>
    <w:rsid w:val="00535008"/>
    <w:rsid w:val="00535DBC"/>
    <w:rsid w:val="00536B35"/>
    <w:rsid w:val="005375BC"/>
    <w:rsid w:val="005375E7"/>
    <w:rsid w:val="00537BD0"/>
    <w:rsid w:val="00540019"/>
    <w:rsid w:val="005405C9"/>
    <w:rsid w:val="00540F3B"/>
    <w:rsid w:val="0054168A"/>
    <w:rsid w:val="005429F4"/>
    <w:rsid w:val="00543028"/>
    <w:rsid w:val="00543CBA"/>
    <w:rsid w:val="00543CF5"/>
    <w:rsid w:val="00545071"/>
    <w:rsid w:val="0054540E"/>
    <w:rsid w:val="00546CE5"/>
    <w:rsid w:val="005478C8"/>
    <w:rsid w:val="0054793B"/>
    <w:rsid w:val="00550343"/>
    <w:rsid w:val="00551716"/>
    <w:rsid w:val="00551E4E"/>
    <w:rsid w:val="0055209B"/>
    <w:rsid w:val="005520C6"/>
    <w:rsid w:val="00552938"/>
    <w:rsid w:val="005529D9"/>
    <w:rsid w:val="00553B21"/>
    <w:rsid w:val="00554EF8"/>
    <w:rsid w:val="0055602D"/>
    <w:rsid w:val="00556659"/>
    <w:rsid w:val="0056039C"/>
    <w:rsid w:val="00560E56"/>
    <w:rsid w:val="0056393F"/>
    <w:rsid w:val="00564E29"/>
    <w:rsid w:val="00566425"/>
    <w:rsid w:val="00566999"/>
    <w:rsid w:val="00567DAB"/>
    <w:rsid w:val="00570600"/>
    <w:rsid w:val="00570DA4"/>
    <w:rsid w:val="005715C9"/>
    <w:rsid w:val="00571B53"/>
    <w:rsid w:val="0057229C"/>
    <w:rsid w:val="0057238D"/>
    <w:rsid w:val="00573605"/>
    <w:rsid w:val="0057434F"/>
    <w:rsid w:val="0057484C"/>
    <w:rsid w:val="00574E85"/>
    <w:rsid w:val="005768BB"/>
    <w:rsid w:val="0057759F"/>
    <w:rsid w:val="00577CA2"/>
    <w:rsid w:val="00580B8C"/>
    <w:rsid w:val="005814FF"/>
    <w:rsid w:val="0058183D"/>
    <w:rsid w:val="00581880"/>
    <w:rsid w:val="00583C96"/>
    <w:rsid w:val="00584E75"/>
    <w:rsid w:val="00585982"/>
    <w:rsid w:val="005867C5"/>
    <w:rsid w:val="0059003E"/>
    <w:rsid w:val="00590B43"/>
    <w:rsid w:val="005914D8"/>
    <w:rsid w:val="0059184B"/>
    <w:rsid w:val="0059316F"/>
    <w:rsid w:val="005937B8"/>
    <w:rsid w:val="00594448"/>
    <w:rsid w:val="00594E79"/>
    <w:rsid w:val="00595EA4"/>
    <w:rsid w:val="00596043"/>
    <w:rsid w:val="00596CEA"/>
    <w:rsid w:val="00596DE2"/>
    <w:rsid w:val="00596F1C"/>
    <w:rsid w:val="00597105"/>
    <w:rsid w:val="0059737C"/>
    <w:rsid w:val="00597B97"/>
    <w:rsid w:val="005A06E6"/>
    <w:rsid w:val="005A107B"/>
    <w:rsid w:val="005A1097"/>
    <w:rsid w:val="005A18C4"/>
    <w:rsid w:val="005A2663"/>
    <w:rsid w:val="005A322C"/>
    <w:rsid w:val="005A3833"/>
    <w:rsid w:val="005A41E2"/>
    <w:rsid w:val="005A5C1C"/>
    <w:rsid w:val="005A63EB"/>
    <w:rsid w:val="005A6514"/>
    <w:rsid w:val="005A7596"/>
    <w:rsid w:val="005B07DA"/>
    <w:rsid w:val="005B1122"/>
    <w:rsid w:val="005B11E4"/>
    <w:rsid w:val="005B1AFC"/>
    <w:rsid w:val="005B1CAC"/>
    <w:rsid w:val="005B1EC9"/>
    <w:rsid w:val="005B2FCE"/>
    <w:rsid w:val="005B43CA"/>
    <w:rsid w:val="005B6F20"/>
    <w:rsid w:val="005B77D0"/>
    <w:rsid w:val="005C02E5"/>
    <w:rsid w:val="005C1913"/>
    <w:rsid w:val="005C2082"/>
    <w:rsid w:val="005C3DF2"/>
    <w:rsid w:val="005C468A"/>
    <w:rsid w:val="005C495F"/>
    <w:rsid w:val="005C4A67"/>
    <w:rsid w:val="005C5CE8"/>
    <w:rsid w:val="005C5EAF"/>
    <w:rsid w:val="005C71B5"/>
    <w:rsid w:val="005C7F9B"/>
    <w:rsid w:val="005D08E9"/>
    <w:rsid w:val="005D162C"/>
    <w:rsid w:val="005D21A9"/>
    <w:rsid w:val="005D2A38"/>
    <w:rsid w:val="005D2AC5"/>
    <w:rsid w:val="005D3B63"/>
    <w:rsid w:val="005D402B"/>
    <w:rsid w:val="005D557E"/>
    <w:rsid w:val="005D5EE7"/>
    <w:rsid w:val="005D5F0B"/>
    <w:rsid w:val="005D667F"/>
    <w:rsid w:val="005D66A9"/>
    <w:rsid w:val="005D679C"/>
    <w:rsid w:val="005D7B36"/>
    <w:rsid w:val="005E1779"/>
    <w:rsid w:val="005E2BB2"/>
    <w:rsid w:val="005E2D9B"/>
    <w:rsid w:val="005E4310"/>
    <w:rsid w:val="005E472A"/>
    <w:rsid w:val="005E47AA"/>
    <w:rsid w:val="005E59C1"/>
    <w:rsid w:val="005E7DA1"/>
    <w:rsid w:val="005F0199"/>
    <w:rsid w:val="005F0776"/>
    <w:rsid w:val="005F1041"/>
    <w:rsid w:val="005F1954"/>
    <w:rsid w:val="005F26DA"/>
    <w:rsid w:val="005F2F13"/>
    <w:rsid w:val="005F431F"/>
    <w:rsid w:val="005F4BC4"/>
    <w:rsid w:val="005F531A"/>
    <w:rsid w:val="005F54B1"/>
    <w:rsid w:val="005F5738"/>
    <w:rsid w:val="005F5C0D"/>
    <w:rsid w:val="005F6E86"/>
    <w:rsid w:val="00601016"/>
    <w:rsid w:val="006014C7"/>
    <w:rsid w:val="00601503"/>
    <w:rsid w:val="006015D3"/>
    <w:rsid w:val="00601969"/>
    <w:rsid w:val="00602343"/>
    <w:rsid w:val="006032A9"/>
    <w:rsid w:val="0060471F"/>
    <w:rsid w:val="006061AA"/>
    <w:rsid w:val="0060714C"/>
    <w:rsid w:val="00607287"/>
    <w:rsid w:val="00607357"/>
    <w:rsid w:val="0060761A"/>
    <w:rsid w:val="00610822"/>
    <w:rsid w:val="0061335C"/>
    <w:rsid w:val="006138A7"/>
    <w:rsid w:val="00614EF2"/>
    <w:rsid w:val="00615B36"/>
    <w:rsid w:val="00616432"/>
    <w:rsid w:val="00616731"/>
    <w:rsid w:val="006172BA"/>
    <w:rsid w:val="006174D0"/>
    <w:rsid w:val="00617648"/>
    <w:rsid w:val="00617B04"/>
    <w:rsid w:val="00620AB5"/>
    <w:rsid w:val="0062154F"/>
    <w:rsid w:val="00621986"/>
    <w:rsid w:val="006231CA"/>
    <w:rsid w:val="00623309"/>
    <w:rsid w:val="00623FCD"/>
    <w:rsid w:val="00625B3B"/>
    <w:rsid w:val="00625F98"/>
    <w:rsid w:val="0062684E"/>
    <w:rsid w:val="006301EB"/>
    <w:rsid w:val="006331E6"/>
    <w:rsid w:val="006345E9"/>
    <w:rsid w:val="00634875"/>
    <w:rsid w:val="00635172"/>
    <w:rsid w:val="00635E1A"/>
    <w:rsid w:val="006401E3"/>
    <w:rsid w:val="006403CF"/>
    <w:rsid w:val="00640884"/>
    <w:rsid w:val="00640A78"/>
    <w:rsid w:val="0064165F"/>
    <w:rsid w:val="00641B84"/>
    <w:rsid w:val="00642176"/>
    <w:rsid w:val="00642F7A"/>
    <w:rsid w:val="0064316A"/>
    <w:rsid w:val="00643665"/>
    <w:rsid w:val="0064693B"/>
    <w:rsid w:val="006504BC"/>
    <w:rsid w:val="00650F07"/>
    <w:rsid w:val="006514D8"/>
    <w:rsid w:val="006515AB"/>
    <w:rsid w:val="006515E9"/>
    <w:rsid w:val="006533B8"/>
    <w:rsid w:val="006539FA"/>
    <w:rsid w:val="006540AB"/>
    <w:rsid w:val="006545E9"/>
    <w:rsid w:val="0065506B"/>
    <w:rsid w:val="00655F80"/>
    <w:rsid w:val="00656295"/>
    <w:rsid w:val="00656D04"/>
    <w:rsid w:val="006576AE"/>
    <w:rsid w:val="00657E09"/>
    <w:rsid w:val="00660073"/>
    <w:rsid w:val="00660CF1"/>
    <w:rsid w:val="0066145F"/>
    <w:rsid w:val="0066215F"/>
    <w:rsid w:val="00663494"/>
    <w:rsid w:val="006648A8"/>
    <w:rsid w:val="00664FE1"/>
    <w:rsid w:val="00665711"/>
    <w:rsid w:val="00665D19"/>
    <w:rsid w:val="00666DA2"/>
    <w:rsid w:val="006672C4"/>
    <w:rsid w:val="00667B67"/>
    <w:rsid w:val="00667E0A"/>
    <w:rsid w:val="00670109"/>
    <w:rsid w:val="006703C9"/>
    <w:rsid w:val="00670943"/>
    <w:rsid w:val="006738C4"/>
    <w:rsid w:val="00674F2D"/>
    <w:rsid w:val="006753E2"/>
    <w:rsid w:val="00677B91"/>
    <w:rsid w:val="006804B6"/>
    <w:rsid w:val="00681437"/>
    <w:rsid w:val="00681D09"/>
    <w:rsid w:val="0068274B"/>
    <w:rsid w:val="00682DB7"/>
    <w:rsid w:val="006832C9"/>
    <w:rsid w:val="006838A4"/>
    <w:rsid w:val="00683E21"/>
    <w:rsid w:val="006849D3"/>
    <w:rsid w:val="0068581E"/>
    <w:rsid w:val="00685AA3"/>
    <w:rsid w:val="006877C7"/>
    <w:rsid w:val="006915BF"/>
    <w:rsid w:val="00693C04"/>
    <w:rsid w:val="006979D9"/>
    <w:rsid w:val="00697C53"/>
    <w:rsid w:val="006A1585"/>
    <w:rsid w:val="006A2CD2"/>
    <w:rsid w:val="006A5D44"/>
    <w:rsid w:val="006A632F"/>
    <w:rsid w:val="006A69BC"/>
    <w:rsid w:val="006A6D2C"/>
    <w:rsid w:val="006B06EF"/>
    <w:rsid w:val="006B1AC7"/>
    <w:rsid w:val="006B2442"/>
    <w:rsid w:val="006B376C"/>
    <w:rsid w:val="006B49FA"/>
    <w:rsid w:val="006B6430"/>
    <w:rsid w:val="006C04C8"/>
    <w:rsid w:val="006C1A26"/>
    <w:rsid w:val="006C2B68"/>
    <w:rsid w:val="006C42BC"/>
    <w:rsid w:val="006C42FD"/>
    <w:rsid w:val="006C4630"/>
    <w:rsid w:val="006C4822"/>
    <w:rsid w:val="006C58C0"/>
    <w:rsid w:val="006C6377"/>
    <w:rsid w:val="006C6798"/>
    <w:rsid w:val="006C71A7"/>
    <w:rsid w:val="006C7F02"/>
    <w:rsid w:val="006C7F26"/>
    <w:rsid w:val="006D1443"/>
    <w:rsid w:val="006D14CC"/>
    <w:rsid w:val="006D212F"/>
    <w:rsid w:val="006D3CE0"/>
    <w:rsid w:val="006D4616"/>
    <w:rsid w:val="006D49D3"/>
    <w:rsid w:val="006D5C4B"/>
    <w:rsid w:val="006D5D2C"/>
    <w:rsid w:val="006D60B3"/>
    <w:rsid w:val="006D6160"/>
    <w:rsid w:val="006D6416"/>
    <w:rsid w:val="006D7466"/>
    <w:rsid w:val="006E09DB"/>
    <w:rsid w:val="006E0E01"/>
    <w:rsid w:val="006E1A56"/>
    <w:rsid w:val="006E225E"/>
    <w:rsid w:val="006E2A05"/>
    <w:rsid w:val="006E3B48"/>
    <w:rsid w:val="006E4B39"/>
    <w:rsid w:val="006E5388"/>
    <w:rsid w:val="006E5E0A"/>
    <w:rsid w:val="006E6A61"/>
    <w:rsid w:val="006F0AA0"/>
    <w:rsid w:val="006F0F50"/>
    <w:rsid w:val="006F11EE"/>
    <w:rsid w:val="006F13C2"/>
    <w:rsid w:val="006F1FE3"/>
    <w:rsid w:val="006F2215"/>
    <w:rsid w:val="006F2252"/>
    <w:rsid w:val="006F3C82"/>
    <w:rsid w:val="006F4D3C"/>
    <w:rsid w:val="006F5B6A"/>
    <w:rsid w:val="006F5F54"/>
    <w:rsid w:val="006F61F7"/>
    <w:rsid w:val="006F671B"/>
    <w:rsid w:val="006F770B"/>
    <w:rsid w:val="006F77C7"/>
    <w:rsid w:val="006F7FE1"/>
    <w:rsid w:val="00702040"/>
    <w:rsid w:val="007029C8"/>
    <w:rsid w:val="0070397F"/>
    <w:rsid w:val="0070428B"/>
    <w:rsid w:val="00704596"/>
    <w:rsid w:val="007064EC"/>
    <w:rsid w:val="00706707"/>
    <w:rsid w:val="00706C1F"/>
    <w:rsid w:val="007078D7"/>
    <w:rsid w:val="00711645"/>
    <w:rsid w:val="00714839"/>
    <w:rsid w:val="00714BF6"/>
    <w:rsid w:val="00715312"/>
    <w:rsid w:val="00715F9D"/>
    <w:rsid w:val="00722817"/>
    <w:rsid w:val="00722FCC"/>
    <w:rsid w:val="00723BA5"/>
    <w:rsid w:val="0072455F"/>
    <w:rsid w:val="007258F9"/>
    <w:rsid w:val="007263A0"/>
    <w:rsid w:val="00727244"/>
    <w:rsid w:val="0073054E"/>
    <w:rsid w:val="0073078D"/>
    <w:rsid w:val="00730BFD"/>
    <w:rsid w:val="00730EBA"/>
    <w:rsid w:val="00731584"/>
    <w:rsid w:val="007316B7"/>
    <w:rsid w:val="00731A8B"/>
    <w:rsid w:val="00732003"/>
    <w:rsid w:val="00735293"/>
    <w:rsid w:val="007356DC"/>
    <w:rsid w:val="00735F8D"/>
    <w:rsid w:val="007400BA"/>
    <w:rsid w:val="00741522"/>
    <w:rsid w:val="0074180A"/>
    <w:rsid w:val="00742459"/>
    <w:rsid w:val="00742492"/>
    <w:rsid w:val="0074285E"/>
    <w:rsid w:val="00743451"/>
    <w:rsid w:val="00743A2B"/>
    <w:rsid w:val="00744155"/>
    <w:rsid w:val="0074435B"/>
    <w:rsid w:val="0074444D"/>
    <w:rsid w:val="007460E0"/>
    <w:rsid w:val="0074624E"/>
    <w:rsid w:val="00747486"/>
    <w:rsid w:val="007474F3"/>
    <w:rsid w:val="00747985"/>
    <w:rsid w:val="007500A7"/>
    <w:rsid w:val="007508A4"/>
    <w:rsid w:val="00750FDD"/>
    <w:rsid w:val="007513CF"/>
    <w:rsid w:val="00752033"/>
    <w:rsid w:val="00752039"/>
    <w:rsid w:val="0075275B"/>
    <w:rsid w:val="00752CA6"/>
    <w:rsid w:val="007553FF"/>
    <w:rsid w:val="00755AA4"/>
    <w:rsid w:val="00756617"/>
    <w:rsid w:val="0075677D"/>
    <w:rsid w:val="007571CF"/>
    <w:rsid w:val="0075736D"/>
    <w:rsid w:val="00757930"/>
    <w:rsid w:val="007579EC"/>
    <w:rsid w:val="00757BF7"/>
    <w:rsid w:val="00760715"/>
    <w:rsid w:val="00760762"/>
    <w:rsid w:val="00760F44"/>
    <w:rsid w:val="0076129A"/>
    <w:rsid w:val="00762516"/>
    <w:rsid w:val="0076337A"/>
    <w:rsid w:val="0076419C"/>
    <w:rsid w:val="00764FB8"/>
    <w:rsid w:val="00765503"/>
    <w:rsid w:val="00766D9D"/>
    <w:rsid w:val="007672FE"/>
    <w:rsid w:val="0076760A"/>
    <w:rsid w:val="0077212F"/>
    <w:rsid w:val="007725B0"/>
    <w:rsid w:val="00772E91"/>
    <w:rsid w:val="0077381A"/>
    <w:rsid w:val="007738CD"/>
    <w:rsid w:val="00773EF0"/>
    <w:rsid w:val="00775DE9"/>
    <w:rsid w:val="00776874"/>
    <w:rsid w:val="00776922"/>
    <w:rsid w:val="00776BEF"/>
    <w:rsid w:val="00777191"/>
    <w:rsid w:val="007771D4"/>
    <w:rsid w:val="007771FD"/>
    <w:rsid w:val="00777371"/>
    <w:rsid w:val="007806BE"/>
    <w:rsid w:val="00782315"/>
    <w:rsid w:val="0078274E"/>
    <w:rsid w:val="00784513"/>
    <w:rsid w:val="00784EBE"/>
    <w:rsid w:val="00786024"/>
    <w:rsid w:val="007873DA"/>
    <w:rsid w:val="00787719"/>
    <w:rsid w:val="00787BB8"/>
    <w:rsid w:val="00787CCE"/>
    <w:rsid w:val="00790760"/>
    <w:rsid w:val="00790CB7"/>
    <w:rsid w:val="0079146A"/>
    <w:rsid w:val="00791AD5"/>
    <w:rsid w:val="00791FA9"/>
    <w:rsid w:val="00792973"/>
    <w:rsid w:val="00793FC5"/>
    <w:rsid w:val="0079472A"/>
    <w:rsid w:val="00794B7B"/>
    <w:rsid w:val="00796618"/>
    <w:rsid w:val="00796713"/>
    <w:rsid w:val="00796D7A"/>
    <w:rsid w:val="00797CE7"/>
    <w:rsid w:val="007A0EEE"/>
    <w:rsid w:val="007A0FB4"/>
    <w:rsid w:val="007A2A11"/>
    <w:rsid w:val="007A5D98"/>
    <w:rsid w:val="007A61A0"/>
    <w:rsid w:val="007A6A32"/>
    <w:rsid w:val="007A6F60"/>
    <w:rsid w:val="007A760F"/>
    <w:rsid w:val="007B01D4"/>
    <w:rsid w:val="007B09C8"/>
    <w:rsid w:val="007B204A"/>
    <w:rsid w:val="007B28EB"/>
    <w:rsid w:val="007B3D7C"/>
    <w:rsid w:val="007B46A3"/>
    <w:rsid w:val="007B4B56"/>
    <w:rsid w:val="007B7C96"/>
    <w:rsid w:val="007C01FA"/>
    <w:rsid w:val="007C1221"/>
    <w:rsid w:val="007C2273"/>
    <w:rsid w:val="007C2D6B"/>
    <w:rsid w:val="007C4814"/>
    <w:rsid w:val="007C579D"/>
    <w:rsid w:val="007C6533"/>
    <w:rsid w:val="007C69DA"/>
    <w:rsid w:val="007C7B35"/>
    <w:rsid w:val="007D2501"/>
    <w:rsid w:val="007D30EE"/>
    <w:rsid w:val="007D3210"/>
    <w:rsid w:val="007D4108"/>
    <w:rsid w:val="007D4F38"/>
    <w:rsid w:val="007D54FA"/>
    <w:rsid w:val="007D553B"/>
    <w:rsid w:val="007D5C5E"/>
    <w:rsid w:val="007D62CB"/>
    <w:rsid w:val="007D659F"/>
    <w:rsid w:val="007D683E"/>
    <w:rsid w:val="007D6AD8"/>
    <w:rsid w:val="007D7B20"/>
    <w:rsid w:val="007D7C65"/>
    <w:rsid w:val="007E05A5"/>
    <w:rsid w:val="007E0D12"/>
    <w:rsid w:val="007E0E02"/>
    <w:rsid w:val="007E1227"/>
    <w:rsid w:val="007E1435"/>
    <w:rsid w:val="007E1AC5"/>
    <w:rsid w:val="007E25AC"/>
    <w:rsid w:val="007E2F94"/>
    <w:rsid w:val="007E3011"/>
    <w:rsid w:val="007E3818"/>
    <w:rsid w:val="007E397E"/>
    <w:rsid w:val="007E3BB2"/>
    <w:rsid w:val="007E55FA"/>
    <w:rsid w:val="007E5CFC"/>
    <w:rsid w:val="007E721C"/>
    <w:rsid w:val="007E78FB"/>
    <w:rsid w:val="007F021D"/>
    <w:rsid w:val="007F0494"/>
    <w:rsid w:val="007F08EE"/>
    <w:rsid w:val="007F3170"/>
    <w:rsid w:val="007F3822"/>
    <w:rsid w:val="007F4383"/>
    <w:rsid w:val="007F43A3"/>
    <w:rsid w:val="007F45E3"/>
    <w:rsid w:val="00800016"/>
    <w:rsid w:val="00800275"/>
    <w:rsid w:val="00800287"/>
    <w:rsid w:val="00801422"/>
    <w:rsid w:val="008015D5"/>
    <w:rsid w:val="00802694"/>
    <w:rsid w:val="00802801"/>
    <w:rsid w:val="00803A35"/>
    <w:rsid w:val="00804084"/>
    <w:rsid w:val="00804092"/>
    <w:rsid w:val="00804CF6"/>
    <w:rsid w:val="00805714"/>
    <w:rsid w:val="00805BFC"/>
    <w:rsid w:val="00805C8D"/>
    <w:rsid w:val="00807264"/>
    <w:rsid w:val="00807C32"/>
    <w:rsid w:val="0081060D"/>
    <w:rsid w:val="00811C5E"/>
    <w:rsid w:val="008127ED"/>
    <w:rsid w:val="00813170"/>
    <w:rsid w:val="008135DD"/>
    <w:rsid w:val="00813BE6"/>
    <w:rsid w:val="00813D5F"/>
    <w:rsid w:val="00814FF8"/>
    <w:rsid w:val="008152A6"/>
    <w:rsid w:val="00815855"/>
    <w:rsid w:val="00815BE1"/>
    <w:rsid w:val="00815D2A"/>
    <w:rsid w:val="00816C98"/>
    <w:rsid w:val="008200EA"/>
    <w:rsid w:val="008201B6"/>
    <w:rsid w:val="008203E3"/>
    <w:rsid w:val="00820856"/>
    <w:rsid w:val="00820D20"/>
    <w:rsid w:val="0082152F"/>
    <w:rsid w:val="00823CFD"/>
    <w:rsid w:val="0082454D"/>
    <w:rsid w:val="008245CA"/>
    <w:rsid w:val="00825080"/>
    <w:rsid w:val="008262E3"/>
    <w:rsid w:val="008265B6"/>
    <w:rsid w:val="008270A5"/>
    <w:rsid w:val="00827379"/>
    <w:rsid w:val="008274FA"/>
    <w:rsid w:val="00827EE1"/>
    <w:rsid w:val="00830755"/>
    <w:rsid w:val="00831F77"/>
    <w:rsid w:val="00832563"/>
    <w:rsid w:val="00832862"/>
    <w:rsid w:val="00833E82"/>
    <w:rsid w:val="00834F5A"/>
    <w:rsid w:val="0083533D"/>
    <w:rsid w:val="00835E09"/>
    <w:rsid w:val="008369A5"/>
    <w:rsid w:val="008369E6"/>
    <w:rsid w:val="00840582"/>
    <w:rsid w:val="0084425C"/>
    <w:rsid w:val="00845ED4"/>
    <w:rsid w:val="0084719F"/>
    <w:rsid w:val="00847681"/>
    <w:rsid w:val="00847CCB"/>
    <w:rsid w:val="008503BB"/>
    <w:rsid w:val="008512CA"/>
    <w:rsid w:val="00851982"/>
    <w:rsid w:val="00851F2A"/>
    <w:rsid w:val="0085229B"/>
    <w:rsid w:val="008524C7"/>
    <w:rsid w:val="0085363F"/>
    <w:rsid w:val="00853642"/>
    <w:rsid w:val="008536B1"/>
    <w:rsid w:val="008538A4"/>
    <w:rsid w:val="0085432D"/>
    <w:rsid w:val="00854996"/>
    <w:rsid w:val="00855AE0"/>
    <w:rsid w:val="00855D87"/>
    <w:rsid w:val="00855FCD"/>
    <w:rsid w:val="008578EE"/>
    <w:rsid w:val="00860E16"/>
    <w:rsid w:val="0086222E"/>
    <w:rsid w:val="00862834"/>
    <w:rsid w:val="00862AEA"/>
    <w:rsid w:val="00862CD6"/>
    <w:rsid w:val="00863C81"/>
    <w:rsid w:val="008642EF"/>
    <w:rsid w:val="00864B63"/>
    <w:rsid w:val="00864E02"/>
    <w:rsid w:val="00865391"/>
    <w:rsid w:val="0086581F"/>
    <w:rsid w:val="008671CD"/>
    <w:rsid w:val="0087129A"/>
    <w:rsid w:val="00871EDD"/>
    <w:rsid w:val="00872B8B"/>
    <w:rsid w:val="00872C86"/>
    <w:rsid w:val="0087490C"/>
    <w:rsid w:val="00874C16"/>
    <w:rsid w:val="00875336"/>
    <w:rsid w:val="008753E9"/>
    <w:rsid w:val="00875C9E"/>
    <w:rsid w:val="00876C36"/>
    <w:rsid w:val="00876C68"/>
    <w:rsid w:val="008774FF"/>
    <w:rsid w:val="00880B31"/>
    <w:rsid w:val="00881A3E"/>
    <w:rsid w:val="00881E69"/>
    <w:rsid w:val="00882071"/>
    <w:rsid w:val="008827E4"/>
    <w:rsid w:val="008838C6"/>
    <w:rsid w:val="00883BE1"/>
    <w:rsid w:val="00883CF9"/>
    <w:rsid w:val="00886BE9"/>
    <w:rsid w:val="0088724D"/>
    <w:rsid w:val="00890A5B"/>
    <w:rsid w:val="0089115A"/>
    <w:rsid w:val="00891643"/>
    <w:rsid w:val="00891956"/>
    <w:rsid w:val="0089214C"/>
    <w:rsid w:val="0089289C"/>
    <w:rsid w:val="00893798"/>
    <w:rsid w:val="00894BDB"/>
    <w:rsid w:val="00895315"/>
    <w:rsid w:val="008953C1"/>
    <w:rsid w:val="00895895"/>
    <w:rsid w:val="00895BF6"/>
    <w:rsid w:val="00896192"/>
    <w:rsid w:val="00896659"/>
    <w:rsid w:val="00896C79"/>
    <w:rsid w:val="00897CB4"/>
    <w:rsid w:val="008A00D1"/>
    <w:rsid w:val="008A0188"/>
    <w:rsid w:val="008A077D"/>
    <w:rsid w:val="008A39F4"/>
    <w:rsid w:val="008A4FE6"/>
    <w:rsid w:val="008A5002"/>
    <w:rsid w:val="008A57FC"/>
    <w:rsid w:val="008A5877"/>
    <w:rsid w:val="008A60A7"/>
    <w:rsid w:val="008A7513"/>
    <w:rsid w:val="008B0085"/>
    <w:rsid w:val="008B17E1"/>
    <w:rsid w:val="008B18BD"/>
    <w:rsid w:val="008B20C0"/>
    <w:rsid w:val="008B42F5"/>
    <w:rsid w:val="008B4A1C"/>
    <w:rsid w:val="008B4E82"/>
    <w:rsid w:val="008B50A3"/>
    <w:rsid w:val="008B54EB"/>
    <w:rsid w:val="008B5FC4"/>
    <w:rsid w:val="008B6246"/>
    <w:rsid w:val="008B74EB"/>
    <w:rsid w:val="008B7560"/>
    <w:rsid w:val="008C05C0"/>
    <w:rsid w:val="008C1DD3"/>
    <w:rsid w:val="008C28D1"/>
    <w:rsid w:val="008C4204"/>
    <w:rsid w:val="008C455D"/>
    <w:rsid w:val="008C59EC"/>
    <w:rsid w:val="008D0194"/>
    <w:rsid w:val="008D0F5F"/>
    <w:rsid w:val="008D313B"/>
    <w:rsid w:val="008D3B61"/>
    <w:rsid w:val="008D5271"/>
    <w:rsid w:val="008D53BA"/>
    <w:rsid w:val="008D703E"/>
    <w:rsid w:val="008D754E"/>
    <w:rsid w:val="008D7D49"/>
    <w:rsid w:val="008E1316"/>
    <w:rsid w:val="008E1F37"/>
    <w:rsid w:val="008E2D2F"/>
    <w:rsid w:val="008E2D78"/>
    <w:rsid w:val="008E2EE3"/>
    <w:rsid w:val="008E3257"/>
    <w:rsid w:val="008E3BD8"/>
    <w:rsid w:val="008E3C64"/>
    <w:rsid w:val="008E41B6"/>
    <w:rsid w:val="008E4D62"/>
    <w:rsid w:val="008E575A"/>
    <w:rsid w:val="008E59E9"/>
    <w:rsid w:val="008E5C3F"/>
    <w:rsid w:val="008E648C"/>
    <w:rsid w:val="008E65B6"/>
    <w:rsid w:val="008E6D5E"/>
    <w:rsid w:val="008E7E3A"/>
    <w:rsid w:val="008F0362"/>
    <w:rsid w:val="008F040A"/>
    <w:rsid w:val="008F09BE"/>
    <w:rsid w:val="008F1359"/>
    <w:rsid w:val="008F2708"/>
    <w:rsid w:val="008F2817"/>
    <w:rsid w:val="008F4DE8"/>
    <w:rsid w:val="008F5905"/>
    <w:rsid w:val="008F61F5"/>
    <w:rsid w:val="008F73D1"/>
    <w:rsid w:val="00900674"/>
    <w:rsid w:val="009009E1"/>
    <w:rsid w:val="00900E67"/>
    <w:rsid w:val="00901FCD"/>
    <w:rsid w:val="00902BAA"/>
    <w:rsid w:val="00903B0F"/>
    <w:rsid w:val="00904450"/>
    <w:rsid w:val="00904BEE"/>
    <w:rsid w:val="00904C70"/>
    <w:rsid w:val="00904C8D"/>
    <w:rsid w:val="00904DD0"/>
    <w:rsid w:val="0090596F"/>
    <w:rsid w:val="00905FC3"/>
    <w:rsid w:val="00906C00"/>
    <w:rsid w:val="00907150"/>
    <w:rsid w:val="00910164"/>
    <w:rsid w:val="00911585"/>
    <w:rsid w:val="00912183"/>
    <w:rsid w:val="0091267F"/>
    <w:rsid w:val="009126CC"/>
    <w:rsid w:val="00912DA7"/>
    <w:rsid w:val="0091488D"/>
    <w:rsid w:val="00915F4D"/>
    <w:rsid w:val="00915FDE"/>
    <w:rsid w:val="0092087E"/>
    <w:rsid w:val="00920C5D"/>
    <w:rsid w:val="00921134"/>
    <w:rsid w:val="009211DF"/>
    <w:rsid w:val="0092219F"/>
    <w:rsid w:val="009224F8"/>
    <w:rsid w:val="009225EF"/>
    <w:rsid w:val="009230FD"/>
    <w:rsid w:val="00923F09"/>
    <w:rsid w:val="0092543B"/>
    <w:rsid w:val="00925A97"/>
    <w:rsid w:val="00926115"/>
    <w:rsid w:val="009271A9"/>
    <w:rsid w:val="00930776"/>
    <w:rsid w:val="0093117B"/>
    <w:rsid w:val="00931CBE"/>
    <w:rsid w:val="00932548"/>
    <w:rsid w:val="00932E48"/>
    <w:rsid w:val="009332C4"/>
    <w:rsid w:val="009364EF"/>
    <w:rsid w:val="009365F4"/>
    <w:rsid w:val="009400C5"/>
    <w:rsid w:val="009404B9"/>
    <w:rsid w:val="00940508"/>
    <w:rsid w:val="009407C6"/>
    <w:rsid w:val="00940B6C"/>
    <w:rsid w:val="0094227B"/>
    <w:rsid w:val="009426F7"/>
    <w:rsid w:val="00943080"/>
    <w:rsid w:val="009431BC"/>
    <w:rsid w:val="00943C24"/>
    <w:rsid w:val="00945955"/>
    <w:rsid w:val="009517C9"/>
    <w:rsid w:val="00951969"/>
    <w:rsid w:val="00952FD8"/>
    <w:rsid w:val="00954F4C"/>
    <w:rsid w:val="00955006"/>
    <w:rsid w:val="0095601F"/>
    <w:rsid w:val="00956C44"/>
    <w:rsid w:val="00956F83"/>
    <w:rsid w:val="00957421"/>
    <w:rsid w:val="00957D19"/>
    <w:rsid w:val="009612C3"/>
    <w:rsid w:val="009618A9"/>
    <w:rsid w:val="00961DC6"/>
    <w:rsid w:val="00964F75"/>
    <w:rsid w:val="009650FE"/>
    <w:rsid w:val="00965372"/>
    <w:rsid w:val="00966DF9"/>
    <w:rsid w:val="00970221"/>
    <w:rsid w:val="00970B1A"/>
    <w:rsid w:val="0097134D"/>
    <w:rsid w:val="00971ED1"/>
    <w:rsid w:val="00972C5B"/>
    <w:rsid w:val="00972FEE"/>
    <w:rsid w:val="0097333F"/>
    <w:rsid w:val="00974843"/>
    <w:rsid w:val="00975FED"/>
    <w:rsid w:val="009761DE"/>
    <w:rsid w:val="009769C3"/>
    <w:rsid w:val="0097765D"/>
    <w:rsid w:val="00977C91"/>
    <w:rsid w:val="00977E18"/>
    <w:rsid w:val="00980644"/>
    <w:rsid w:val="009806F4"/>
    <w:rsid w:val="00980EFF"/>
    <w:rsid w:val="00981F96"/>
    <w:rsid w:val="00983357"/>
    <w:rsid w:val="00983776"/>
    <w:rsid w:val="00986478"/>
    <w:rsid w:val="009877F4"/>
    <w:rsid w:val="00991890"/>
    <w:rsid w:val="00992942"/>
    <w:rsid w:val="00992ACF"/>
    <w:rsid w:val="009933B6"/>
    <w:rsid w:val="00993FF3"/>
    <w:rsid w:val="009947D2"/>
    <w:rsid w:val="00995211"/>
    <w:rsid w:val="00995570"/>
    <w:rsid w:val="0099578A"/>
    <w:rsid w:val="009970DA"/>
    <w:rsid w:val="00997122"/>
    <w:rsid w:val="0099713B"/>
    <w:rsid w:val="00997272"/>
    <w:rsid w:val="009973D9"/>
    <w:rsid w:val="009A08C8"/>
    <w:rsid w:val="009A100F"/>
    <w:rsid w:val="009A1DAA"/>
    <w:rsid w:val="009A1E7D"/>
    <w:rsid w:val="009A3990"/>
    <w:rsid w:val="009A3F2A"/>
    <w:rsid w:val="009A448C"/>
    <w:rsid w:val="009A60D9"/>
    <w:rsid w:val="009A68C9"/>
    <w:rsid w:val="009A7021"/>
    <w:rsid w:val="009A7033"/>
    <w:rsid w:val="009A7104"/>
    <w:rsid w:val="009A73E0"/>
    <w:rsid w:val="009A780F"/>
    <w:rsid w:val="009A7C3F"/>
    <w:rsid w:val="009B035D"/>
    <w:rsid w:val="009B071E"/>
    <w:rsid w:val="009B07CD"/>
    <w:rsid w:val="009B0A8C"/>
    <w:rsid w:val="009B105B"/>
    <w:rsid w:val="009B12FB"/>
    <w:rsid w:val="009B13D0"/>
    <w:rsid w:val="009B1C99"/>
    <w:rsid w:val="009B2596"/>
    <w:rsid w:val="009B2D20"/>
    <w:rsid w:val="009B3CAC"/>
    <w:rsid w:val="009B55C2"/>
    <w:rsid w:val="009B57F7"/>
    <w:rsid w:val="009B58AF"/>
    <w:rsid w:val="009B5CEA"/>
    <w:rsid w:val="009B7015"/>
    <w:rsid w:val="009B7D52"/>
    <w:rsid w:val="009C2B9D"/>
    <w:rsid w:val="009C30D0"/>
    <w:rsid w:val="009C3160"/>
    <w:rsid w:val="009C3506"/>
    <w:rsid w:val="009C3B27"/>
    <w:rsid w:val="009C48F3"/>
    <w:rsid w:val="009C4D09"/>
    <w:rsid w:val="009C4DC8"/>
    <w:rsid w:val="009C5346"/>
    <w:rsid w:val="009C56C4"/>
    <w:rsid w:val="009C5BA1"/>
    <w:rsid w:val="009C622F"/>
    <w:rsid w:val="009C624A"/>
    <w:rsid w:val="009C6A4D"/>
    <w:rsid w:val="009C71F7"/>
    <w:rsid w:val="009C77D6"/>
    <w:rsid w:val="009C7D95"/>
    <w:rsid w:val="009C7F55"/>
    <w:rsid w:val="009D1231"/>
    <w:rsid w:val="009D2E04"/>
    <w:rsid w:val="009D3765"/>
    <w:rsid w:val="009D3DBE"/>
    <w:rsid w:val="009D5004"/>
    <w:rsid w:val="009D54A1"/>
    <w:rsid w:val="009D56FF"/>
    <w:rsid w:val="009D5820"/>
    <w:rsid w:val="009D5975"/>
    <w:rsid w:val="009D59F8"/>
    <w:rsid w:val="009D5B37"/>
    <w:rsid w:val="009D5D0B"/>
    <w:rsid w:val="009D66FB"/>
    <w:rsid w:val="009D6760"/>
    <w:rsid w:val="009D6B13"/>
    <w:rsid w:val="009D6FA7"/>
    <w:rsid w:val="009D751B"/>
    <w:rsid w:val="009D7D83"/>
    <w:rsid w:val="009E0A47"/>
    <w:rsid w:val="009E1289"/>
    <w:rsid w:val="009E1936"/>
    <w:rsid w:val="009E1D0E"/>
    <w:rsid w:val="009E24F2"/>
    <w:rsid w:val="009E408A"/>
    <w:rsid w:val="009E408C"/>
    <w:rsid w:val="009E434B"/>
    <w:rsid w:val="009E5F40"/>
    <w:rsid w:val="009E634C"/>
    <w:rsid w:val="009E66BA"/>
    <w:rsid w:val="009F0045"/>
    <w:rsid w:val="009F1EB4"/>
    <w:rsid w:val="009F1F15"/>
    <w:rsid w:val="009F2F1C"/>
    <w:rsid w:val="009F3189"/>
    <w:rsid w:val="009F3AC3"/>
    <w:rsid w:val="009F4612"/>
    <w:rsid w:val="009F4B32"/>
    <w:rsid w:val="009F7B96"/>
    <w:rsid w:val="00A00736"/>
    <w:rsid w:val="00A029FC"/>
    <w:rsid w:val="00A02BA6"/>
    <w:rsid w:val="00A05E0D"/>
    <w:rsid w:val="00A062FF"/>
    <w:rsid w:val="00A06F84"/>
    <w:rsid w:val="00A1028D"/>
    <w:rsid w:val="00A1033C"/>
    <w:rsid w:val="00A107D0"/>
    <w:rsid w:val="00A112A3"/>
    <w:rsid w:val="00A122B8"/>
    <w:rsid w:val="00A12F3F"/>
    <w:rsid w:val="00A1300E"/>
    <w:rsid w:val="00A130D6"/>
    <w:rsid w:val="00A134F4"/>
    <w:rsid w:val="00A148D1"/>
    <w:rsid w:val="00A1505B"/>
    <w:rsid w:val="00A16F57"/>
    <w:rsid w:val="00A17194"/>
    <w:rsid w:val="00A17709"/>
    <w:rsid w:val="00A2018D"/>
    <w:rsid w:val="00A21A2C"/>
    <w:rsid w:val="00A22B91"/>
    <w:rsid w:val="00A242D5"/>
    <w:rsid w:val="00A25150"/>
    <w:rsid w:val="00A25E35"/>
    <w:rsid w:val="00A264EC"/>
    <w:rsid w:val="00A27042"/>
    <w:rsid w:val="00A274AE"/>
    <w:rsid w:val="00A30990"/>
    <w:rsid w:val="00A314F7"/>
    <w:rsid w:val="00A31862"/>
    <w:rsid w:val="00A31C3A"/>
    <w:rsid w:val="00A320AD"/>
    <w:rsid w:val="00A3484B"/>
    <w:rsid w:val="00A35FA1"/>
    <w:rsid w:val="00A364DC"/>
    <w:rsid w:val="00A377F2"/>
    <w:rsid w:val="00A414EE"/>
    <w:rsid w:val="00A427C2"/>
    <w:rsid w:val="00A42B03"/>
    <w:rsid w:val="00A42BFA"/>
    <w:rsid w:val="00A42E8D"/>
    <w:rsid w:val="00A45506"/>
    <w:rsid w:val="00A45733"/>
    <w:rsid w:val="00A4581C"/>
    <w:rsid w:val="00A46079"/>
    <w:rsid w:val="00A46BEB"/>
    <w:rsid w:val="00A474E2"/>
    <w:rsid w:val="00A478A5"/>
    <w:rsid w:val="00A508E3"/>
    <w:rsid w:val="00A50C5F"/>
    <w:rsid w:val="00A51EA9"/>
    <w:rsid w:val="00A546B6"/>
    <w:rsid w:val="00A547D2"/>
    <w:rsid w:val="00A54A9C"/>
    <w:rsid w:val="00A54BE3"/>
    <w:rsid w:val="00A55FE6"/>
    <w:rsid w:val="00A5671E"/>
    <w:rsid w:val="00A568AA"/>
    <w:rsid w:val="00A56FBF"/>
    <w:rsid w:val="00A604ED"/>
    <w:rsid w:val="00A60AAC"/>
    <w:rsid w:val="00A60E45"/>
    <w:rsid w:val="00A60EE4"/>
    <w:rsid w:val="00A611D1"/>
    <w:rsid w:val="00A62CF3"/>
    <w:rsid w:val="00A63617"/>
    <w:rsid w:val="00A6449F"/>
    <w:rsid w:val="00A65B89"/>
    <w:rsid w:val="00A672C2"/>
    <w:rsid w:val="00A67347"/>
    <w:rsid w:val="00A67741"/>
    <w:rsid w:val="00A67EDA"/>
    <w:rsid w:val="00A71CA5"/>
    <w:rsid w:val="00A72338"/>
    <w:rsid w:val="00A744D9"/>
    <w:rsid w:val="00A75662"/>
    <w:rsid w:val="00A76158"/>
    <w:rsid w:val="00A76752"/>
    <w:rsid w:val="00A76AE6"/>
    <w:rsid w:val="00A7781A"/>
    <w:rsid w:val="00A805C1"/>
    <w:rsid w:val="00A80CC6"/>
    <w:rsid w:val="00A8198B"/>
    <w:rsid w:val="00A81DEF"/>
    <w:rsid w:val="00A82666"/>
    <w:rsid w:val="00A827A7"/>
    <w:rsid w:val="00A82F7F"/>
    <w:rsid w:val="00A8355E"/>
    <w:rsid w:val="00A8399E"/>
    <w:rsid w:val="00A83D4B"/>
    <w:rsid w:val="00A8434F"/>
    <w:rsid w:val="00A846DB"/>
    <w:rsid w:val="00A8485B"/>
    <w:rsid w:val="00A85472"/>
    <w:rsid w:val="00A854EE"/>
    <w:rsid w:val="00A87595"/>
    <w:rsid w:val="00A87637"/>
    <w:rsid w:val="00A877B2"/>
    <w:rsid w:val="00A8788D"/>
    <w:rsid w:val="00A87B96"/>
    <w:rsid w:val="00A90250"/>
    <w:rsid w:val="00A90A88"/>
    <w:rsid w:val="00A91645"/>
    <w:rsid w:val="00A93492"/>
    <w:rsid w:val="00A93FB6"/>
    <w:rsid w:val="00A94327"/>
    <w:rsid w:val="00A9450C"/>
    <w:rsid w:val="00A945E7"/>
    <w:rsid w:val="00A94681"/>
    <w:rsid w:val="00A949ED"/>
    <w:rsid w:val="00A94F2B"/>
    <w:rsid w:val="00A95276"/>
    <w:rsid w:val="00A971F4"/>
    <w:rsid w:val="00A97415"/>
    <w:rsid w:val="00A97692"/>
    <w:rsid w:val="00A97BD7"/>
    <w:rsid w:val="00AA0104"/>
    <w:rsid w:val="00AA2873"/>
    <w:rsid w:val="00AA2C85"/>
    <w:rsid w:val="00AA34A6"/>
    <w:rsid w:val="00AA3954"/>
    <w:rsid w:val="00AA3A11"/>
    <w:rsid w:val="00AA3B25"/>
    <w:rsid w:val="00AA4770"/>
    <w:rsid w:val="00AA6068"/>
    <w:rsid w:val="00AB037D"/>
    <w:rsid w:val="00AB0907"/>
    <w:rsid w:val="00AB12D4"/>
    <w:rsid w:val="00AB12EB"/>
    <w:rsid w:val="00AB137F"/>
    <w:rsid w:val="00AB18F5"/>
    <w:rsid w:val="00AB235E"/>
    <w:rsid w:val="00AB24A3"/>
    <w:rsid w:val="00AB2C99"/>
    <w:rsid w:val="00AB356F"/>
    <w:rsid w:val="00AB51D0"/>
    <w:rsid w:val="00AB57FB"/>
    <w:rsid w:val="00AB6FD8"/>
    <w:rsid w:val="00AB7053"/>
    <w:rsid w:val="00AB7563"/>
    <w:rsid w:val="00AB76A1"/>
    <w:rsid w:val="00AC04B0"/>
    <w:rsid w:val="00AC05E1"/>
    <w:rsid w:val="00AC0CF6"/>
    <w:rsid w:val="00AC2199"/>
    <w:rsid w:val="00AC3420"/>
    <w:rsid w:val="00AC4538"/>
    <w:rsid w:val="00AC4727"/>
    <w:rsid w:val="00AC4CD6"/>
    <w:rsid w:val="00AC5FA9"/>
    <w:rsid w:val="00AC6565"/>
    <w:rsid w:val="00AC6671"/>
    <w:rsid w:val="00AC67EC"/>
    <w:rsid w:val="00AC7182"/>
    <w:rsid w:val="00AC7384"/>
    <w:rsid w:val="00AC75E2"/>
    <w:rsid w:val="00AD0539"/>
    <w:rsid w:val="00AD0765"/>
    <w:rsid w:val="00AD0DF9"/>
    <w:rsid w:val="00AD1795"/>
    <w:rsid w:val="00AD2477"/>
    <w:rsid w:val="00AD2613"/>
    <w:rsid w:val="00AD28F8"/>
    <w:rsid w:val="00AD2B25"/>
    <w:rsid w:val="00AD326D"/>
    <w:rsid w:val="00AD3CFC"/>
    <w:rsid w:val="00AD5157"/>
    <w:rsid w:val="00AD56B1"/>
    <w:rsid w:val="00AD5950"/>
    <w:rsid w:val="00AD70B9"/>
    <w:rsid w:val="00AD7F34"/>
    <w:rsid w:val="00AE0D3A"/>
    <w:rsid w:val="00AE138B"/>
    <w:rsid w:val="00AE1662"/>
    <w:rsid w:val="00AE1A42"/>
    <w:rsid w:val="00AE1A87"/>
    <w:rsid w:val="00AE2D30"/>
    <w:rsid w:val="00AE493C"/>
    <w:rsid w:val="00AE5849"/>
    <w:rsid w:val="00AE6F5E"/>
    <w:rsid w:val="00AE768B"/>
    <w:rsid w:val="00AE7A14"/>
    <w:rsid w:val="00AE7DED"/>
    <w:rsid w:val="00AF08A2"/>
    <w:rsid w:val="00AF08CD"/>
    <w:rsid w:val="00AF153A"/>
    <w:rsid w:val="00AF2997"/>
    <w:rsid w:val="00AF2CD4"/>
    <w:rsid w:val="00AF3261"/>
    <w:rsid w:val="00AF3602"/>
    <w:rsid w:val="00AF36EB"/>
    <w:rsid w:val="00AF4791"/>
    <w:rsid w:val="00AF5A4C"/>
    <w:rsid w:val="00AF60C0"/>
    <w:rsid w:val="00AF6988"/>
    <w:rsid w:val="00AF6A72"/>
    <w:rsid w:val="00AF6AB3"/>
    <w:rsid w:val="00AF6FFC"/>
    <w:rsid w:val="00AF70EA"/>
    <w:rsid w:val="00AF7821"/>
    <w:rsid w:val="00B00B6C"/>
    <w:rsid w:val="00B0108E"/>
    <w:rsid w:val="00B02CB8"/>
    <w:rsid w:val="00B03D22"/>
    <w:rsid w:val="00B0455A"/>
    <w:rsid w:val="00B05179"/>
    <w:rsid w:val="00B05CC7"/>
    <w:rsid w:val="00B06832"/>
    <w:rsid w:val="00B07575"/>
    <w:rsid w:val="00B10F58"/>
    <w:rsid w:val="00B1137A"/>
    <w:rsid w:val="00B11F1C"/>
    <w:rsid w:val="00B1240A"/>
    <w:rsid w:val="00B1243B"/>
    <w:rsid w:val="00B13518"/>
    <w:rsid w:val="00B1373A"/>
    <w:rsid w:val="00B13B01"/>
    <w:rsid w:val="00B1411E"/>
    <w:rsid w:val="00B14189"/>
    <w:rsid w:val="00B15B07"/>
    <w:rsid w:val="00B163FD"/>
    <w:rsid w:val="00B16E39"/>
    <w:rsid w:val="00B17FBB"/>
    <w:rsid w:val="00B21013"/>
    <w:rsid w:val="00B21970"/>
    <w:rsid w:val="00B23A6D"/>
    <w:rsid w:val="00B23D17"/>
    <w:rsid w:val="00B2429E"/>
    <w:rsid w:val="00B252DA"/>
    <w:rsid w:val="00B25F10"/>
    <w:rsid w:val="00B26E1C"/>
    <w:rsid w:val="00B27327"/>
    <w:rsid w:val="00B27B25"/>
    <w:rsid w:val="00B30D15"/>
    <w:rsid w:val="00B30DAB"/>
    <w:rsid w:val="00B31B8C"/>
    <w:rsid w:val="00B32013"/>
    <w:rsid w:val="00B3223E"/>
    <w:rsid w:val="00B325D5"/>
    <w:rsid w:val="00B32E64"/>
    <w:rsid w:val="00B338DD"/>
    <w:rsid w:val="00B3413E"/>
    <w:rsid w:val="00B344E7"/>
    <w:rsid w:val="00B35E39"/>
    <w:rsid w:val="00B36602"/>
    <w:rsid w:val="00B3671C"/>
    <w:rsid w:val="00B370AE"/>
    <w:rsid w:val="00B3797B"/>
    <w:rsid w:val="00B37A50"/>
    <w:rsid w:val="00B37B23"/>
    <w:rsid w:val="00B37BCC"/>
    <w:rsid w:val="00B37D12"/>
    <w:rsid w:val="00B400C6"/>
    <w:rsid w:val="00B4084D"/>
    <w:rsid w:val="00B40F35"/>
    <w:rsid w:val="00B41C79"/>
    <w:rsid w:val="00B43424"/>
    <w:rsid w:val="00B447EA"/>
    <w:rsid w:val="00B45151"/>
    <w:rsid w:val="00B45E73"/>
    <w:rsid w:val="00B47636"/>
    <w:rsid w:val="00B47BA2"/>
    <w:rsid w:val="00B50FB7"/>
    <w:rsid w:val="00B5199D"/>
    <w:rsid w:val="00B51C1B"/>
    <w:rsid w:val="00B52471"/>
    <w:rsid w:val="00B527FE"/>
    <w:rsid w:val="00B539BF"/>
    <w:rsid w:val="00B53A8C"/>
    <w:rsid w:val="00B543BA"/>
    <w:rsid w:val="00B544FB"/>
    <w:rsid w:val="00B545F0"/>
    <w:rsid w:val="00B5515B"/>
    <w:rsid w:val="00B55E09"/>
    <w:rsid w:val="00B56375"/>
    <w:rsid w:val="00B57993"/>
    <w:rsid w:val="00B60148"/>
    <w:rsid w:val="00B61BCC"/>
    <w:rsid w:val="00B6224B"/>
    <w:rsid w:val="00B64535"/>
    <w:rsid w:val="00B65F8A"/>
    <w:rsid w:val="00B679BC"/>
    <w:rsid w:val="00B71FAF"/>
    <w:rsid w:val="00B73947"/>
    <w:rsid w:val="00B739C5"/>
    <w:rsid w:val="00B73B3B"/>
    <w:rsid w:val="00B73F4A"/>
    <w:rsid w:val="00B73F7F"/>
    <w:rsid w:val="00B74877"/>
    <w:rsid w:val="00B75487"/>
    <w:rsid w:val="00B75647"/>
    <w:rsid w:val="00B75DAD"/>
    <w:rsid w:val="00B767B9"/>
    <w:rsid w:val="00B769B8"/>
    <w:rsid w:val="00B77162"/>
    <w:rsid w:val="00B77F92"/>
    <w:rsid w:val="00B80CE5"/>
    <w:rsid w:val="00B81BFA"/>
    <w:rsid w:val="00B81EDD"/>
    <w:rsid w:val="00B82B26"/>
    <w:rsid w:val="00B82FF1"/>
    <w:rsid w:val="00B8381B"/>
    <w:rsid w:val="00B84146"/>
    <w:rsid w:val="00B8450B"/>
    <w:rsid w:val="00B84CDF"/>
    <w:rsid w:val="00B84E10"/>
    <w:rsid w:val="00B85C73"/>
    <w:rsid w:val="00B878B6"/>
    <w:rsid w:val="00B9084F"/>
    <w:rsid w:val="00B90C7C"/>
    <w:rsid w:val="00B90EA6"/>
    <w:rsid w:val="00B91157"/>
    <w:rsid w:val="00B93223"/>
    <w:rsid w:val="00B932B4"/>
    <w:rsid w:val="00B93683"/>
    <w:rsid w:val="00B93A83"/>
    <w:rsid w:val="00B95375"/>
    <w:rsid w:val="00B953B2"/>
    <w:rsid w:val="00B955A5"/>
    <w:rsid w:val="00B95B26"/>
    <w:rsid w:val="00B96D54"/>
    <w:rsid w:val="00B97341"/>
    <w:rsid w:val="00BA0248"/>
    <w:rsid w:val="00BA0ADD"/>
    <w:rsid w:val="00BA2D37"/>
    <w:rsid w:val="00BA2EFD"/>
    <w:rsid w:val="00BA2F4A"/>
    <w:rsid w:val="00BA3643"/>
    <w:rsid w:val="00BA384F"/>
    <w:rsid w:val="00BA5658"/>
    <w:rsid w:val="00BA72AF"/>
    <w:rsid w:val="00BB037E"/>
    <w:rsid w:val="00BB087F"/>
    <w:rsid w:val="00BB0E61"/>
    <w:rsid w:val="00BB159C"/>
    <w:rsid w:val="00BB18D1"/>
    <w:rsid w:val="00BB2428"/>
    <w:rsid w:val="00BB4415"/>
    <w:rsid w:val="00BB4987"/>
    <w:rsid w:val="00BB4A12"/>
    <w:rsid w:val="00BB4AD9"/>
    <w:rsid w:val="00BB6337"/>
    <w:rsid w:val="00BB7004"/>
    <w:rsid w:val="00BB7E25"/>
    <w:rsid w:val="00BC0DE5"/>
    <w:rsid w:val="00BC15D5"/>
    <w:rsid w:val="00BC1F67"/>
    <w:rsid w:val="00BC3A1A"/>
    <w:rsid w:val="00BC3B80"/>
    <w:rsid w:val="00BC4031"/>
    <w:rsid w:val="00BC429D"/>
    <w:rsid w:val="00BC4777"/>
    <w:rsid w:val="00BC5CB1"/>
    <w:rsid w:val="00BC6B80"/>
    <w:rsid w:val="00BC72E8"/>
    <w:rsid w:val="00BC759A"/>
    <w:rsid w:val="00BC7876"/>
    <w:rsid w:val="00BC7F47"/>
    <w:rsid w:val="00BD0066"/>
    <w:rsid w:val="00BD049A"/>
    <w:rsid w:val="00BD0CF3"/>
    <w:rsid w:val="00BD0E6A"/>
    <w:rsid w:val="00BD0EF1"/>
    <w:rsid w:val="00BD1611"/>
    <w:rsid w:val="00BD373E"/>
    <w:rsid w:val="00BD5FF4"/>
    <w:rsid w:val="00BD6423"/>
    <w:rsid w:val="00BD755C"/>
    <w:rsid w:val="00BE1BFA"/>
    <w:rsid w:val="00BE2C0C"/>
    <w:rsid w:val="00BE3999"/>
    <w:rsid w:val="00BE3BFA"/>
    <w:rsid w:val="00BE540F"/>
    <w:rsid w:val="00BE5422"/>
    <w:rsid w:val="00BE660E"/>
    <w:rsid w:val="00BE71A1"/>
    <w:rsid w:val="00BE7E8B"/>
    <w:rsid w:val="00BF12EC"/>
    <w:rsid w:val="00BF140D"/>
    <w:rsid w:val="00BF1BAF"/>
    <w:rsid w:val="00BF24DB"/>
    <w:rsid w:val="00BF2724"/>
    <w:rsid w:val="00BF2FAA"/>
    <w:rsid w:val="00BF3012"/>
    <w:rsid w:val="00BF36C1"/>
    <w:rsid w:val="00BF4627"/>
    <w:rsid w:val="00BF466F"/>
    <w:rsid w:val="00BF4957"/>
    <w:rsid w:val="00BF5A23"/>
    <w:rsid w:val="00BF5CA1"/>
    <w:rsid w:val="00BF761F"/>
    <w:rsid w:val="00BF7A3D"/>
    <w:rsid w:val="00C01C4A"/>
    <w:rsid w:val="00C0438B"/>
    <w:rsid w:val="00C04836"/>
    <w:rsid w:val="00C055ED"/>
    <w:rsid w:val="00C06723"/>
    <w:rsid w:val="00C068AC"/>
    <w:rsid w:val="00C06BAA"/>
    <w:rsid w:val="00C0787E"/>
    <w:rsid w:val="00C079EE"/>
    <w:rsid w:val="00C07A67"/>
    <w:rsid w:val="00C10D97"/>
    <w:rsid w:val="00C10F81"/>
    <w:rsid w:val="00C10FFB"/>
    <w:rsid w:val="00C13BFB"/>
    <w:rsid w:val="00C14377"/>
    <w:rsid w:val="00C15427"/>
    <w:rsid w:val="00C155E4"/>
    <w:rsid w:val="00C1769F"/>
    <w:rsid w:val="00C2027E"/>
    <w:rsid w:val="00C2073D"/>
    <w:rsid w:val="00C214AB"/>
    <w:rsid w:val="00C2368A"/>
    <w:rsid w:val="00C23BC7"/>
    <w:rsid w:val="00C23F22"/>
    <w:rsid w:val="00C25B7E"/>
    <w:rsid w:val="00C2618E"/>
    <w:rsid w:val="00C261C1"/>
    <w:rsid w:val="00C27A79"/>
    <w:rsid w:val="00C27C96"/>
    <w:rsid w:val="00C3077F"/>
    <w:rsid w:val="00C307EA"/>
    <w:rsid w:val="00C3081F"/>
    <w:rsid w:val="00C3150A"/>
    <w:rsid w:val="00C32064"/>
    <w:rsid w:val="00C32E95"/>
    <w:rsid w:val="00C33944"/>
    <w:rsid w:val="00C361F4"/>
    <w:rsid w:val="00C3654F"/>
    <w:rsid w:val="00C37A3B"/>
    <w:rsid w:val="00C37B03"/>
    <w:rsid w:val="00C40757"/>
    <w:rsid w:val="00C40790"/>
    <w:rsid w:val="00C41AD7"/>
    <w:rsid w:val="00C42B64"/>
    <w:rsid w:val="00C42CB2"/>
    <w:rsid w:val="00C432B2"/>
    <w:rsid w:val="00C435E7"/>
    <w:rsid w:val="00C44686"/>
    <w:rsid w:val="00C44E03"/>
    <w:rsid w:val="00C463E5"/>
    <w:rsid w:val="00C46847"/>
    <w:rsid w:val="00C46F47"/>
    <w:rsid w:val="00C50C59"/>
    <w:rsid w:val="00C51002"/>
    <w:rsid w:val="00C513CF"/>
    <w:rsid w:val="00C513EB"/>
    <w:rsid w:val="00C53048"/>
    <w:rsid w:val="00C53137"/>
    <w:rsid w:val="00C534E1"/>
    <w:rsid w:val="00C5425E"/>
    <w:rsid w:val="00C54458"/>
    <w:rsid w:val="00C54906"/>
    <w:rsid w:val="00C55EF5"/>
    <w:rsid w:val="00C56267"/>
    <w:rsid w:val="00C57390"/>
    <w:rsid w:val="00C57F49"/>
    <w:rsid w:val="00C607C6"/>
    <w:rsid w:val="00C61868"/>
    <w:rsid w:val="00C6198C"/>
    <w:rsid w:val="00C61EEE"/>
    <w:rsid w:val="00C61FA7"/>
    <w:rsid w:val="00C62F21"/>
    <w:rsid w:val="00C63A9F"/>
    <w:rsid w:val="00C6493C"/>
    <w:rsid w:val="00C651F2"/>
    <w:rsid w:val="00C658F0"/>
    <w:rsid w:val="00C66598"/>
    <w:rsid w:val="00C665F4"/>
    <w:rsid w:val="00C67923"/>
    <w:rsid w:val="00C67EFB"/>
    <w:rsid w:val="00C714E7"/>
    <w:rsid w:val="00C7292B"/>
    <w:rsid w:val="00C7295C"/>
    <w:rsid w:val="00C73380"/>
    <w:rsid w:val="00C7357B"/>
    <w:rsid w:val="00C73BD4"/>
    <w:rsid w:val="00C74B1B"/>
    <w:rsid w:val="00C75D92"/>
    <w:rsid w:val="00C7651D"/>
    <w:rsid w:val="00C76772"/>
    <w:rsid w:val="00C80E93"/>
    <w:rsid w:val="00C81689"/>
    <w:rsid w:val="00C81A08"/>
    <w:rsid w:val="00C82145"/>
    <w:rsid w:val="00C8361F"/>
    <w:rsid w:val="00C84450"/>
    <w:rsid w:val="00C8479D"/>
    <w:rsid w:val="00C85114"/>
    <w:rsid w:val="00C852DE"/>
    <w:rsid w:val="00C859B1"/>
    <w:rsid w:val="00C866F1"/>
    <w:rsid w:val="00C87291"/>
    <w:rsid w:val="00C872BA"/>
    <w:rsid w:val="00C87326"/>
    <w:rsid w:val="00C87AB8"/>
    <w:rsid w:val="00C87F99"/>
    <w:rsid w:val="00C904D8"/>
    <w:rsid w:val="00C90B2A"/>
    <w:rsid w:val="00C9148D"/>
    <w:rsid w:val="00C93480"/>
    <w:rsid w:val="00C93959"/>
    <w:rsid w:val="00C93A7C"/>
    <w:rsid w:val="00C95006"/>
    <w:rsid w:val="00C95C61"/>
    <w:rsid w:val="00C97029"/>
    <w:rsid w:val="00C97203"/>
    <w:rsid w:val="00C97691"/>
    <w:rsid w:val="00CA0B95"/>
    <w:rsid w:val="00CA12AD"/>
    <w:rsid w:val="00CA1710"/>
    <w:rsid w:val="00CA22C2"/>
    <w:rsid w:val="00CA4110"/>
    <w:rsid w:val="00CA564F"/>
    <w:rsid w:val="00CA5EF3"/>
    <w:rsid w:val="00CA5F07"/>
    <w:rsid w:val="00CA7DB0"/>
    <w:rsid w:val="00CB04E3"/>
    <w:rsid w:val="00CB36D7"/>
    <w:rsid w:val="00CB4FBE"/>
    <w:rsid w:val="00CB57B4"/>
    <w:rsid w:val="00CB5D53"/>
    <w:rsid w:val="00CB67A5"/>
    <w:rsid w:val="00CB6CA9"/>
    <w:rsid w:val="00CB75EF"/>
    <w:rsid w:val="00CC1D9C"/>
    <w:rsid w:val="00CC2044"/>
    <w:rsid w:val="00CC251A"/>
    <w:rsid w:val="00CC39B9"/>
    <w:rsid w:val="00CC3E5F"/>
    <w:rsid w:val="00CC3FE6"/>
    <w:rsid w:val="00CC452C"/>
    <w:rsid w:val="00CC4DAD"/>
    <w:rsid w:val="00CC503E"/>
    <w:rsid w:val="00CC5746"/>
    <w:rsid w:val="00CD0018"/>
    <w:rsid w:val="00CD0AD4"/>
    <w:rsid w:val="00CD14FF"/>
    <w:rsid w:val="00CD2F7C"/>
    <w:rsid w:val="00CD3505"/>
    <w:rsid w:val="00CD3ED3"/>
    <w:rsid w:val="00CD414C"/>
    <w:rsid w:val="00CD4AFD"/>
    <w:rsid w:val="00CD518F"/>
    <w:rsid w:val="00CD52C4"/>
    <w:rsid w:val="00CD6ACE"/>
    <w:rsid w:val="00CD72F4"/>
    <w:rsid w:val="00CD7BED"/>
    <w:rsid w:val="00CE02DF"/>
    <w:rsid w:val="00CE06C7"/>
    <w:rsid w:val="00CE079D"/>
    <w:rsid w:val="00CE1401"/>
    <w:rsid w:val="00CE1BDF"/>
    <w:rsid w:val="00CE200B"/>
    <w:rsid w:val="00CE20A8"/>
    <w:rsid w:val="00CE3793"/>
    <w:rsid w:val="00CE4720"/>
    <w:rsid w:val="00CF05B2"/>
    <w:rsid w:val="00CF0C6C"/>
    <w:rsid w:val="00CF0DD5"/>
    <w:rsid w:val="00CF0E83"/>
    <w:rsid w:val="00CF0FC2"/>
    <w:rsid w:val="00CF160E"/>
    <w:rsid w:val="00CF19A7"/>
    <w:rsid w:val="00CF27E1"/>
    <w:rsid w:val="00CF285A"/>
    <w:rsid w:val="00CF2D10"/>
    <w:rsid w:val="00CF3680"/>
    <w:rsid w:val="00CF37C5"/>
    <w:rsid w:val="00CF3AC8"/>
    <w:rsid w:val="00CF4D79"/>
    <w:rsid w:val="00CF6969"/>
    <w:rsid w:val="00CF698D"/>
    <w:rsid w:val="00CF7E07"/>
    <w:rsid w:val="00D01401"/>
    <w:rsid w:val="00D019F4"/>
    <w:rsid w:val="00D01D30"/>
    <w:rsid w:val="00D02806"/>
    <w:rsid w:val="00D03129"/>
    <w:rsid w:val="00D05631"/>
    <w:rsid w:val="00D0588F"/>
    <w:rsid w:val="00D075CF"/>
    <w:rsid w:val="00D07EB7"/>
    <w:rsid w:val="00D10C20"/>
    <w:rsid w:val="00D113F8"/>
    <w:rsid w:val="00D13AF4"/>
    <w:rsid w:val="00D14513"/>
    <w:rsid w:val="00D14B06"/>
    <w:rsid w:val="00D153A0"/>
    <w:rsid w:val="00D1624D"/>
    <w:rsid w:val="00D1635B"/>
    <w:rsid w:val="00D16DF3"/>
    <w:rsid w:val="00D205B1"/>
    <w:rsid w:val="00D20AAF"/>
    <w:rsid w:val="00D210EF"/>
    <w:rsid w:val="00D222D5"/>
    <w:rsid w:val="00D23081"/>
    <w:rsid w:val="00D246CB"/>
    <w:rsid w:val="00D24A63"/>
    <w:rsid w:val="00D25F08"/>
    <w:rsid w:val="00D30C4A"/>
    <w:rsid w:val="00D31890"/>
    <w:rsid w:val="00D31CD4"/>
    <w:rsid w:val="00D31D61"/>
    <w:rsid w:val="00D326C9"/>
    <w:rsid w:val="00D3379B"/>
    <w:rsid w:val="00D344A7"/>
    <w:rsid w:val="00D34A60"/>
    <w:rsid w:val="00D34B1E"/>
    <w:rsid w:val="00D35013"/>
    <w:rsid w:val="00D35285"/>
    <w:rsid w:val="00D36293"/>
    <w:rsid w:val="00D36FF8"/>
    <w:rsid w:val="00D40A1B"/>
    <w:rsid w:val="00D4141D"/>
    <w:rsid w:val="00D4162D"/>
    <w:rsid w:val="00D43037"/>
    <w:rsid w:val="00D43787"/>
    <w:rsid w:val="00D43AD4"/>
    <w:rsid w:val="00D44000"/>
    <w:rsid w:val="00D446BD"/>
    <w:rsid w:val="00D447BF"/>
    <w:rsid w:val="00D44C0D"/>
    <w:rsid w:val="00D450B3"/>
    <w:rsid w:val="00D4557C"/>
    <w:rsid w:val="00D45954"/>
    <w:rsid w:val="00D46FAE"/>
    <w:rsid w:val="00D5199E"/>
    <w:rsid w:val="00D526DD"/>
    <w:rsid w:val="00D52E85"/>
    <w:rsid w:val="00D5368D"/>
    <w:rsid w:val="00D54B0E"/>
    <w:rsid w:val="00D55A6B"/>
    <w:rsid w:val="00D567BC"/>
    <w:rsid w:val="00D5695F"/>
    <w:rsid w:val="00D56D27"/>
    <w:rsid w:val="00D610F9"/>
    <w:rsid w:val="00D61A23"/>
    <w:rsid w:val="00D61BF7"/>
    <w:rsid w:val="00D62CBE"/>
    <w:rsid w:val="00D65A7D"/>
    <w:rsid w:val="00D65DE2"/>
    <w:rsid w:val="00D673BD"/>
    <w:rsid w:val="00D678AE"/>
    <w:rsid w:val="00D70465"/>
    <w:rsid w:val="00D704F2"/>
    <w:rsid w:val="00D708DE"/>
    <w:rsid w:val="00D7209F"/>
    <w:rsid w:val="00D727C2"/>
    <w:rsid w:val="00D730A0"/>
    <w:rsid w:val="00D74355"/>
    <w:rsid w:val="00D7469B"/>
    <w:rsid w:val="00D747A5"/>
    <w:rsid w:val="00D75FC0"/>
    <w:rsid w:val="00D7620A"/>
    <w:rsid w:val="00D76F51"/>
    <w:rsid w:val="00D776EF"/>
    <w:rsid w:val="00D81614"/>
    <w:rsid w:val="00D81660"/>
    <w:rsid w:val="00D820A8"/>
    <w:rsid w:val="00D84BE6"/>
    <w:rsid w:val="00D86C09"/>
    <w:rsid w:val="00D86DFF"/>
    <w:rsid w:val="00D874E4"/>
    <w:rsid w:val="00D90BD5"/>
    <w:rsid w:val="00D93945"/>
    <w:rsid w:val="00D93A41"/>
    <w:rsid w:val="00D93CD8"/>
    <w:rsid w:val="00D94D4A"/>
    <w:rsid w:val="00D94F23"/>
    <w:rsid w:val="00D95BE2"/>
    <w:rsid w:val="00D970D8"/>
    <w:rsid w:val="00D97224"/>
    <w:rsid w:val="00D97404"/>
    <w:rsid w:val="00D974FE"/>
    <w:rsid w:val="00D97D3F"/>
    <w:rsid w:val="00DA1B70"/>
    <w:rsid w:val="00DA1B98"/>
    <w:rsid w:val="00DA2C7B"/>
    <w:rsid w:val="00DA4007"/>
    <w:rsid w:val="00DA4391"/>
    <w:rsid w:val="00DA4A66"/>
    <w:rsid w:val="00DA5DF8"/>
    <w:rsid w:val="00DA617D"/>
    <w:rsid w:val="00DA68E3"/>
    <w:rsid w:val="00DA784B"/>
    <w:rsid w:val="00DB0491"/>
    <w:rsid w:val="00DB26C2"/>
    <w:rsid w:val="00DB32A0"/>
    <w:rsid w:val="00DB41ED"/>
    <w:rsid w:val="00DB6451"/>
    <w:rsid w:val="00DB6B9E"/>
    <w:rsid w:val="00DB6EE6"/>
    <w:rsid w:val="00DB70CC"/>
    <w:rsid w:val="00DB70DF"/>
    <w:rsid w:val="00DB75A5"/>
    <w:rsid w:val="00DB7F96"/>
    <w:rsid w:val="00DC0C8E"/>
    <w:rsid w:val="00DC22EC"/>
    <w:rsid w:val="00DC450F"/>
    <w:rsid w:val="00DC4684"/>
    <w:rsid w:val="00DC4BFB"/>
    <w:rsid w:val="00DC55D5"/>
    <w:rsid w:val="00DC6156"/>
    <w:rsid w:val="00DC7823"/>
    <w:rsid w:val="00DC7C27"/>
    <w:rsid w:val="00DD0DB0"/>
    <w:rsid w:val="00DD1A6F"/>
    <w:rsid w:val="00DD1B16"/>
    <w:rsid w:val="00DD3A33"/>
    <w:rsid w:val="00DD3AD5"/>
    <w:rsid w:val="00DD3C57"/>
    <w:rsid w:val="00DD62FA"/>
    <w:rsid w:val="00DD65BA"/>
    <w:rsid w:val="00DD6C07"/>
    <w:rsid w:val="00DD792B"/>
    <w:rsid w:val="00DD7B5A"/>
    <w:rsid w:val="00DE07A9"/>
    <w:rsid w:val="00DE181D"/>
    <w:rsid w:val="00DE1B91"/>
    <w:rsid w:val="00DE31BF"/>
    <w:rsid w:val="00DE358C"/>
    <w:rsid w:val="00DE3F84"/>
    <w:rsid w:val="00DE502D"/>
    <w:rsid w:val="00DE5262"/>
    <w:rsid w:val="00DE5293"/>
    <w:rsid w:val="00DE559C"/>
    <w:rsid w:val="00DE702B"/>
    <w:rsid w:val="00DE77D3"/>
    <w:rsid w:val="00DE7BD3"/>
    <w:rsid w:val="00DF017C"/>
    <w:rsid w:val="00DF0984"/>
    <w:rsid w:val="00DF0A3C"/>
    <w:rsid w:val="00DF1BAC"/>
    <w:rsid w:val="00DF1D3F"/>
    <w:rsid w:val="00DF2588"/>
    <w:rsid w:val="00DF36DB"/>
    <w:rsid w:val="00DF643B"/>
    <w:rsid w:val="00E00058"/>
    <w:rsid w:val="00E00373"/>
    <w:rsid w:val="00E004F6"/>
    <w:rsid w:val="00E016B9"/>
    <w:rsid w:val="00E0174F"/>
    <w:rsid w:val="00E01D83"/>
    <w:rsid w:val="00E0269F"/>
    <w:rsid w:val="00E02E5D"/>
    <w:rsid w:val="00E052EA"/>
    <w:rsid w:val="00E0583D"/>
    <w:rsid w:val="00E05DD5"/>
    <w:rsid w:val="00E06706"/>
    <w:rsid w:val="00E1082A"/>
    <w:rsid w:val="00E111A4"/>
    <w:rsid w:val="00E11D2F"/>
    <w:rsid w:val="00E127E8"/>
    <w:rsid w:val="00E12B91"/>
    <w:rsid w:val="00E1339E"/>
    <w:rsid w:val="00E13A09"/>
    <w:rsid w:val="00E13C65"/>
    <w:rsid w:val="00E13D6D"/>
    <w:rsid w:val="00E1481E"/>
    <w:rsid w:val="00E15921"/>
    <w:rsid w:val="00E15E7C"/>
    <w:rsid w:val="00E15FF9"/>
    <w:rsid w:val="00E16636"/>
    <w:rsid w:val="00E1664E"/>
    <w:rsid w:val="00E166A6"/>
    <w:rsid w:val="00E16943"/>
    <w:rsid w:val="00E178EF"/>
    <w:rsid w:val="00E179F6"/>
    <w:rsid w:val="00E17CFF"/>
    <w:rsid w:val="00E20DF3"/>
    <w:rsid w:val="00E21AED"/>
    <w:rsid w:val="00E224FA"/>
    <w:rsid w:val="00E228FC"/>
    <w:rsid w:val="00E22F23"/>
    <w:rsid w:val="00E2368D"/>
    <w:rsid w:val="00E2372F"/>
    <w:rsid w:val="00E23C7C"/>
    <w:rsid w:val="00E260DD"/>
    <w:rsid w:val="00E260E2"/>
    <w:rsid w:val="00E30B8B"/>
    <w:rsid w:val="00E31131"/>
    <w:rsid w:val="00E311A2"/>
    <w:rsid w:val="00E31C17"/>
    <w:rsid w:val="00E32B59"/>
    <w:rsid w:val="00E33AFF"/>
    <w:rsid w:val="00E353B6"/>
    <w:rsid w:val="00E354A0"/>
    <w:rsid w:val="00E3577A"/>
    <w:rsid w:val="00E3685D"/>
    <w:rsid w:val="00E36926"/>
    <w:rsid w:val="00E36D3A"/>
    <w:rsid w:val="00E372EE"/>
    <w:rsid w:val="00E377A7"/>
    <w:rsid w:val="00E40F44"/>
    <w:rsid w:val="00E417CA"/>
    <w:rsid w:val="00E42B46"/>
    <w:rsid w:val="00E42E7A"/>
    <w:rsid w:val="00E43481"/>
    <w:rsid w:val="00E45D35"/>
    <w:rsid w:val="00E465CF"/>
    <w:rsid w:val="00E46612"/>
    <w:rsid w:val="00E478C4"/>
    <w:rsid w:val="00E479D9"/>
    <w:rsid w:val="00E50AE4"/>
    <w:rsid w:val="00E5163C"/>
    <w:rsid w:val="00E5219C"/>
    <w:rsid w:val="00E52716"/>
    <w:rsid w:val="00E52786"/>
    <w:rsid w:val="00E53281"/>
    <w:rsid w:val="00E53A80"/>
    <w:rsid w:val="00E54D75"/>
    <w:rsid w:val="00E55517"/>
    <w:rsid w:val="00E55C25"/>
    <w:rsid w:val="00E576B3"/>
    <w:rsid w:val="00E57AF8"/>
    <w:rsid w:val="00E61438"/>
    <w:rsid w:val="00E614AF"/>
    <w:rsid w:val="00E615A5"/>
    <w:rsid w:val="00E63D69"/>
    <w:rsid w:val="00E63DB7"/>
    <w:rsid w:val="00E64731"/>
    <w:rsid w:val="00E64A4B"/>
    <w:rsid w:val="00E64EFA"/>
    <w:rsid w:val="00E64F35"/>
    <w:rsid w:val="00E6693A"/>
    <w:rsid w:val="00E67ACA"/>
    <w:rsid w:val="00E67F9A"/>
    <w:rsid w:val="00E72954"/>
    <w:rsid w:val="00E72BCD"/>
    <w:rsid w:val="00E72CB4"/>
    <w:rsid w:val="00E73011"/>
    <w:rsid w:val="00E730D6"/>
    <w:rsid w:val="00E73ED6"/>
    <w:rsid w:val="00E74D09"/>
    <w:rsid w:val="00E76607"/>
    <w:rsid w:val="00E76E50"/>
    <w:rsid w:val="00E77E1B"/>
    <w:rsid w:val="00E81246"/>
    <w:rsid w:val="00E81A33"/>
    <w:rsid w:val="00E820BE"/>
    <w:rsid w:val="00E82CFE"/>
    <w:rsid w:val="00E82FE3"/>
    <w:rsid w:val="00E84336"/>
    <w:rsid w:val="00E84C5C"/>
    <w:rsid w:val="00E85675"/>
    <w:rsid w:val="00E856AD"/>
    <w:rsid w:val="00E8585D"/>
    <w:rsid w:val="00E858E8"/>
    <w:rsid w:val="00E87A9A"/>
    <w:rsid w:val="00E9361A"/>
    <w:rsid w:val="00E93F01"/>
    <w:rsid w:val="00E94177"/>
    <w:rsid w:val="00E95584"/>
    <w:rsid w:val="00E96EE2"/>
    <w:rsid w:val="00EA011C"/>
    <w:rsid w:val="00EA0BDB"/>
    <w:rsid w:val="00EA0ED5"/>
    <w:rsid w:val="00EA1043"/>
    <w:rsid w:val="00EA13D2"/>
    <w:rsid w:val="00EA2F38"/>
    <w:rsid w:val="00EA3516"/>
    <w:rsid w:val="00EA39E1"/>
    <w:rsid w:val="00EA45A3"/>
    <w:rsid w:val="00EA5B0D"/>
    <w:rsid w:val="00EA621A"/>
    <w:rsid w:val="00EA68C9"/>
    <w:rsid w:val="00EB2291"/>
    <w:rsid w:val="00EB4184"/>
    <w:rsid w:val="00EB4CC6"/>
    <w:rsid w:val="00EB5D00"/>
    <w:rsid w:val="00EB7471"/>
    <w:rsid w:val="00EC1395"/>
    <w:rsid w:val="00EC1A31"/>
    <w:rsid w:val="00EC22F1"/>
    <w:rsid w:val="00EC2A05"/>
    <w:rsid w:val="00EC3C0E"/>
    <w:rsid w:val="00EC3F4C"/>
    <w:rsid w:val="00EC40BB"/>
    <w:rsid w:val="00EC4D70"/>
    <w:rsid w:val="00EC689B"/>
    <w:rsid w:val="00EC6FBD"/>
    <w:rsid w:val="00EC75FD"/>
    <w:rsid w:val="00EC7C19"/>
    <w:rsid w:val="00EC7DB3"/>
    <w:rsid w:val="00ED01B1"/>
    <w:rsid w:val="00ED0286"/>
    <w:rsid w:val="00ED0724"/>
    <w:rsid w:val="00ED179C"/>
    <w:rsid w:val="00ED1825"/>
    <w:rsid w:val="00ED194B"/>
    <w:rsid w:val="00ED1D59"/>
    <w:rsid w:val="00ED1D90"/>
    <w:rsid w:val="00ED2EF9"/>
    <w:rsid w:val="00ED4364"/>
    <w:rsid w:val="00ED4717"/>
    <w:rsid w:val="00ED4891"/>
    <w:rsid w:val="00ED52F0"/>
    <w:rsid w:val="00ED5A4D"/>
    <w:rsid w:val="00ED66AB"/>
    <w:rsid w:val="00ED73FC"/>
    <w:rsid w:val="00ED78C9"/>
    <w:rsid w:val="00ED7E9F"/>
    <w:rsid w:val="00EE1B6F"/>
    <w:rsid w:val="00EE276A"/>
    <w:rsid w:val="00EE31A5"/>
    <w:rsid w:val="00EE3819"/>
    <w:rsid w:val="00EE39BF"/>
    <w:rsid w:val="00EE3EA3"/>
    <w:rsid w:val="00EE54D7"/>
    <w:rsid w:val="00EF1119"/>
    <w:rsid w:val="00EF306A"/>
    <w:rsid w:val="00EF3696"/>
    <w:rsid w:val="00EF434E"/>
    <w:rsid w:val="00EF47DF"/>
    <w:rsid w:val="00EF569D"/>
    <w:rsid w:val="00EF5B68"/>
    <w:rsid w:val="00EF608C"/>
    <w:rsid w:val="00EF6626"/>
    <w:rsid w:val="00F00D3F"/>
    <w:rsid w:val="00F00EEA"/>
    <w:rsid w:val="00F01411"/>
    <w:rsid w:val="00F0279A"/>
    <w:rsid w:val="00F02BD4"/>
    <w:rsid w:val="00F04548"/>
    <w:rsid w:val="00F05BFC"/>
    <w:rsid w:val="00F066A7"/>
    <w:rsid w:val="00F0749A"/>
    <w:rsid w:val="00F1045B"/>
    <w:rsid w:val="00F1073C"/>
    <w:rsid w:val="00F1197E"/>
    <w:rsid w:val="00F119C9"/>
    <w:rsid w:val="00F11AA1"/>
    <w:rsid w:val="00F14238"/>
    <w:rsid w:val="00F14781"/>
    <w:rsid w:val="00F17442"/>
    <w:rsid w:val="00F17497"/>
    <w:rsid w:val="00F2016A"/>
    <w:rsid w:val="00F20769"/>
    <w:rsid w:val="00F21CA3"/>
    <w:rsid w:val="00F230BB"/>
    <w:rsid w:val="00F231FC"/>
    <w:rsid w:val="00F249B4"/>
    <w:rsid w:val="00F2560D"/>
    <w:rsid w:val="00F25A44"/>
    <w:rsid w:val="00F26C75"/>
    <w:rsid w:val="00F26D47"/>
    <w:rsid w:val="00F27110"/>
    <w:rsid w:val="00F27DC4"/>
    <w:rsid w:val="00F27FB8"/>
    <w:rsid w:val="00F30D34"/>
    <w:rsid w:val="00F30DBD"/>
    <w:rsid w:val="00F31EC2"/>
    <w:rsid w:val="00F32F3B"/>
    <w:rsid w:val="00F32FE4"/>
    <w:rsid w:val="00F342FD"/>
    <w:rsid w:val="00F3456A"/>
    <w:rsid w:val="00F346F4"/>
    <w:rsid w:val="00F34871"/>
    <w:rsid w:val="00F351F1"/>
    <w:rsid w:val="00F35A5F"/>
    <w:rsid w:val="00F360E2"/>
    <w:rsid w:val="00F372F7"/>
    <w:rsid w:val="00F42558"/>
    <w:rsid w:val="00F42F3E"/>
    <w:rsid w:val="00F435AD"/>
    <w:rsid w:val="00F43AF1"/>
    <w:rsid w:val="00F43B7B"/>
    <w:rsid w:val="00F454C7"/>
    <w:rsid w:val="00F4552E"/>
    <w:rsid w:val="00F45D92"/>
    <w:rsid w:val="00F47028"/>
    <w:rsid w:val="00F50A0B"/>
    <w:rsid w:val="00F5184A"/>
    <w:rsid w:val="00F51C9C"/>
    <w:rsid w:val="00F51E56"/>
    <w:rsid w:val="00F5204F"/>
    <w:rsid w:val="00F53FED"/>
    <w:rsid w:val="00F55146"/>
    <w:rsid w:val="00F554FC"/>
    <w:rsid w:val="00F55A8A"/>
    <w:rsid w:val="00F56FBA"/>
    <w:rsid w:val="00F57288"/>
    <w:rsid w:val="00F57C05"/>
    <w:rsid w:val="00F57D5F"/>
    <w:rsid w:val="00F60C82"/>
    <w:rsid w:val="00F61475"/>
    <w:rsid w:val="00F614CA"/>
    <w:rsid w:val="00F619E6"/>
    <w:rsid w:val="00F61A99"/>
    <w:rsid w:val="00F6313F"/>
    <w:rsid w:val="00F63AE9"/>
    <w:rsid w:val="00F63BB9"/>
    <w:rsid w:val="00F63D3E"/>
    <w:rsid w:val="00F63EDB"/>
    <w:rsid w:val="00F6569F"/>
    <w:rsid w:val="00F676B1"/>
    <w:rsid w:val="00F700D6"/>
    <w:rsid w:val="00F70CF0"/>
    <w:rsid w:val="00F711AD"/>
    <w:rsid w:val="00F735CF"/>
    <w:rsid w:val="00F73EBD"/>
    <w:rsid w:val="00F7425D"/>
    <w:rsid w:val="00F74827"/>
    <w:rsid w:val="00F7499E"/>
    <w:rsid w:val="00F75A1E"/>
    <w:rsid w:val="00F76ABC"/>
    <w:rsid w:val="00F802CC"/>
    <w:rsid w:val="00F81045"/>
    <w:rsid w:val="00F81F7F"/>
    <w:rsid w:val="00F8595B"/>
    <w:rsid w:val="00F86430"/>
    <w:rsid w:val="00F86C22"/>
    <w:rsid w:val="00F86F79"/>
    <w:rsid w:val="00F872D8"/>
    <w:rsid w:val="00F87502"/>
    <w:rsid w:val="00F87976"/>
    <w:rsid w:val="00F90CDB"/>
    <w:rsid w:val="00F910E7"/>
    <w:rsid w:val="00F91663"/>
    <w:rsid w:val="00F934B5"/>
    <w:rsid w:val="00F93B65"/>
    <w:rsid w:val="00F93F25"/>
    <w:rsid w:val="00F94B23"/>
    <w:rsid w:val="00F94CF4"/>
    <w:rsid w:val="00F9504E"/>
    <w:rsid w:val="00F96275"/>
    <w:rsid w:val="00F96525"/>
    <w:rsid w:val="00F96712"/>
    <w:rsid w:val="00F96A19"/>
    <w:rsid w:val="00F97E84"/>
    <w:rsid w:val="00FA0565"/>
    <w:rsid w:val="00FA2018"/>
    <w:rsid w:val="00FA332C"/>
    <w:rsid w:val="00FA332F"/>
    <w:rsid w:val="00FA3A71"/>
    <w:rsid w:val="00FA4AA1"/>
    <w:rsid w:val="00FA4C01"/>
    <w:rsid w:val="00FA5904"/>
    <w:rsid w:val="00FA59DF"/>
    <w:rsid w:val="00FA6690"/>
    <w:rsid w:val="00FA6A72"/>
    <w:rsid w:val="00FA6C46"/>
    <w:rsid w:val="00FA6F8A"/>
    <w:rsid w:val="00FA7060"/>
    <w:rsid w:val="00FA725F"/>
    <w:rsid w:val="00FB0523"/>
    <w:rsid w:val="00FB05B2"/>
    <w:rsid w:val="00FB0A3B"/>
    <w:rsid w:val="00FB0E68"/>
    <w:rsid w:val="00FB121A"/>
    <w:rsid w:val="00FB2B86"/>
    <w:rsid w:val="00FB2F06"/>
    <w:rsid w:val="00FB3478"/>
    <w:rsid w:val="00FB3486"/>
    <w:rsid w:val="00FB3BFE"/>
    <w:rsid w:val="00FB4682"/>
    <w:rsid w:val="00FB663B"/>
    <w:rsid w:val="00FB68EF"/>
    <w:rsid w:val="00FB7010"/>
    <w:rsid w:val="00FC12DF"/>
    <w:rsid w:val="00FC1718"/>
    <w:rsid w:val="00FC1E1A"/>
    <w:rsid w:val="00FC328D"/>
    <w:rsid w:val="00FC35AD"/>
    <w:rsid w:val="00FC389B"/>
    <w:rsid w:val="00FC3D50"/>
    <w:rsid w:val="00FC3F24"/>
    <w:rsid w:val="00FC402C"/>
    <w:rsid w:val="00FC4C22"/>
    <w:rsid w:val="00FC511C"/>
    <w:rsid w:val="00FC5224"/>
    <w:rsid w:val="00FD0781"/>
    <w:rsid w:val="00FD0B6D"/>
    <w:rsid w:val="00FD0C44"/>
    <w:rsid w:val="00FD21FD"/>
    <w:rsid w:val="00FD2458"/>
    <w:rsid w:val="00FD248B"/>
    <w:rsid w:val="00FD2C66"/>
    <w:rsid w:val="00FD3AF2"/>
    <w:rsid w:val="00FD3B4E"/>
    <w:rsid w:val="00FD468B"/>
    <w:rsid w:val="00FD4C53"/>
    <w:rsid w:val="00FD55CC"/>
    <w:rsid w:val="00FD6C27"/>
    <w:rsid w:val="00FE00C9"/>
    <w:rsid w:val="00FE13A5"/>
    <w:rsid w:val="00FE1F2F"/>
    <w:rsid w:val="00FE3066"/>
    <w:rsid w:val="00FE35B1"/>
    <w:rsid w:val="00FE4517"/>
    <w:rsid w:val="00FE4AE7"/>
    <w:rsid w:val="00FE4EE9"/>
    <w:rsid w:val="00FF0355"/>
    <w:rsid w:val="00FF1602"/>
    <w:rsid w:val="00FF2978"/>
    <w:rsid w:val="00FF4717"/>
    <w:rsid w:val="00FF5543"/>
    <w:rsid w:val="00FF584F"/>
    <w:rsid w:val="00FF5C49"/>
    <w:rsid w:val="00FF5DF1"/>
    <w:rsid w:val="00FF5F4B"/>
    <w:rsid w:val="00FF719C"/>
    <w:rsid w:val="00FF7A79"/>
    <w:rsid w:val="00FF7B4C"/>
    <w:rsid w:val="019112D6"/>
    <w:rsid w:val="01924C5E"/>
    <w:rsid w:val="02B07DBC"/>
    <w:rsid w:val="047FD467"/>
    <w:rsid w:val="06AE7316"/>
    <w:rsid w:val="0BF9A0D0"/>
    <w:rsid w:val="0C04AEDA"/>
    <w:rsid w:val="0C21763A"/>
    <w:rsid w:val="0C6E9141"/>
    <w:rsid w:val="0E815202"/>
    <w:rsid w:val="0F6E1BF3"/>
    <w:rsid w:val="1079A95C"/>
    <w:rsid w:val="114B588E"/>
    <w:rsid w:val="13B1BA9B"/>
    <w:rsid w:val="1691E27A"/>
    <w:rsid w:val="17174A23"/>
    <w:rsid w:val="17CE0510"/>
    <w:rsid w:val="1A1E38F9"/>
    <w:rsid w:val="1DE61A12"/>
    <w:rsid w:val="20DE4D10"/>
    <w:rsid w:val="214C3201"/>
    <w:rsid w:val="22468777"/>
    <w:rsid w:val="254919CD"/>
    <w:rsid w:val="26457BAA"/>
    <w:rsid w:val="283B8DAD"/>
    <w:rsid w:val="28493E12"/>
    <w:rsid w:val="298BE1D5"/>
    <w:rsid w:val="29A359F5"/>
    <w:rsid w:val="2B9BE7E1"/>
    <w:rsid w:val="2C0C2C15"/>
    <w:rsid w:val="2D66D381"/>
    <w:rsid w:val="2EFFD882"/>
    <w:rsid w:val="2F0D0895"/>
    <w:rsid w:val="2F9D0F01"/>
    <w:rsid w:val="30207EAF"/>
    <w:rsid w:val="323C8122"/>
    <w:rsid w:val="325A21C3"/>
    <w:rsid w:val="32B682E1"/>
    <w:rsid w:val="33D78BF6"/>
    <w:rsid w:val="3422D71D"/>
    <w:rsid w:val="3435C749"/>
    <w:rsid w:val="34AD981D"/>
    <w:rsid w:val="35C0CC55"/>
    <w:rsid w:val="35E2AAE7"/>
    <w:rsid w:val="36D84C2C"/>
    <w:rsid w:val="3A595189"/>
    <w:rsid w:val="3A684709"/>
    <w:rsid w:val="3A6C155F"/>
    <w:rsid w:val="3B7A950A"/>
    <w:rsid w:val="3BC7E91A"/>
    <w:rsid w:val="42973001"/>
    <w:rsid w:val="42DF16ED"/>
    <w:rsid w:val="43270DCC"/>
    <w:rsid w:val="441A87C3"/>
    <w:rsid w:val="4489E603"/>
    <w:rsid w:val="45957E47"/>
    <w:rsid w:val="46BB51D1"/>
    <w:rsid w:val="4867E8B2"/>
    <w:rsid w:val="4AB09771"/>
    <w:rsid w:val="4BD5BAFA"/>
    <w:rsid w:val="4E41EB36"/>
    <w:rsid w:val="4F78A147"/>
    <w:rsid w:val="50063D7C"/>
    <w:rsid w:val="50A5DB53"/>
    <w:rsid w:val="532188D7"/>
    <w:rsid w:val="577786AE"/>
    <w:rsid w:val="58F20462"/>
    <w:rsid w:val="5930591E"/>
    <w:rsid w:val="5C8A4691"/>
    <w:rsid w:val="5D0BAE0E"/>
    <w:rsid w:val="5E73F42D"/>
    <w:rsid w:val="5E933656"/>
    <w:rsid w:val="634FAA2B"/>
    <w:rsid w:val="66AE0348"/>
    <w:rsid w:val="683B03A8"/>
    <w:rsid w:val="69E7B0B4"/>
    <w:rsid w:val="6A3849FB"/>
    <w:rsid w:val="6B57303B"/>
    <w:rsid w:val="6C47459B"/>
    <w:rsid w:val="6D2533B5"/>
    <w:rsid w:val="6F6F3F1D"/>
    <w:rsid w:val="708F5F41"/>
    <w:rsid w:val="70AD9ED0"/>
    <w:rsid w:val="73E7E478"/>
    <w:rsid w:val="758090A8"/>
    <w:rsid w:val="75A81AE7"/>
    <w:rsid w:val="75B62CD1"/>
    <w:rsid w:val="77CAD001"/>
    <w:rsid w:val="78DC92BC"/>
    <w:rsid w:val="79D1D996"/>
    <w:rsid w:val="7A35757F"/>
    <w:rsid w:val="7A686E68"/>
    <w:rsid w:val="7AB1FD57"/>
    <w:rsid w:val="7B5F637D"/>
    <w:rsid w:val="7BC523FA"/>
    <w:rsid w:val="7E82AF8C"/>
    <w:rsid w:val="7F3B08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674B3"/>
  <w14:defaultImageDpi w14:val="32767"/>
  <w15:chartTrackingRefBased/>
  <w15:docId w15:val="{C7BDA37B-6BE6-B74F-97A7-07664B784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ADA"/>
  </w:style>
  <w:style w:type="paragraph" w:styleId="Titre1">
    <w:name w:val="heading 1"/>
    <w:basedOn w:val="Normal"/>
    <w:next w:val="Normal"/>
    <w:link w:val="Titre1Car"/>
    <w:uiPriority w:val="9"/>
    <w:qFormat/>
    <w:rsid w:val="00CA22C2"/>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semiHidden/>
    <w:unhideWhenUsed/>
    <w:rsid w:val="00087BAF"/>
  </w:style>
  <w:style w:type="character" w:customStyle="1" w:styleId="Titre1Car">
    <w:name w:val="Titre 1 Car"/>
    <w:basedOn w:val="Policepardfaut"/>
    <w:link w:val="Titre1"/>
    <w:uiPriority w:val="9"/>
    <w:rsid w:val="00CA22C2"/>
    <w:rPr>
      <w:rFonts w:asciiTheme="majorHAnsi" w:eastAsiaTheme="majorEastAsia" w:hAnsiTheme="majorHAnsi" w:cstheme="majorBidi"/>
      <w:b/>
      <w:bCs/>
      <w:color w:val="2F5496" w:themeColor="accent1" w:themeShade="BF"/>
      <w:sz w:val="28"/>
      <w:szCs w:val="28"/>
      <w:lang w:val="en-US" w:bidi="en-US"/>
    </w:rPr>
  </w:style>
  <w:style w:type="paragraph" w:styleId="Bibliographie">
    <w:name w:val="Bibliography"/>
    <w:basedOn w:val="Normal"/>
    <w:next w:val="Normal"/>
    <w:uiPriority w:val="37"/>
    <w:unhideWhenUsed/>
    <w:rsid w:val="00CA22C2"/>
  </w:style>
  <w:style w:type="paragraph" w:styleId="Paragraphedeliste">
    <w:name w:val="List Paragraph"/>
    <w:basedOn w:val="Normal"/>
    <w:uiPriority w:val="34"/>
    <w:qFormat/>
    <w:rsid w:val="00236BAF"/>
    <w:pPr>
      <w:ind w:left="720"/>
      <w:contextualSpacing/>
    </w:pPr>
  </w:style>
  <w:style w:type="character" w:styleId="Lienhypertexte">
    <w:name w:val="Hyperlink"/>
    <w:basedOn w:val="Policepardfaut"/>
    <w:uiPriority w:val="99"/>
    <w:unhideWhenUsed/>
    <w:rsid w:val="001E6840"/>
    <w:rPr>
      <w:color w:val="0563C1" w:themeColor="hyperlink"/>
      <w:u w:val="single"/>
    </w:rPr>
  </w:style>
  <w:style w:type="character" w:styleId="Lienhypertextesuivivisit">
    <w:name w:val="FollowedHyperlink"/>
    <w:basedOn w:val="Policepardfaut"/>
    <w:uiPriority w:val="99"/>
    <w:semiHidden/>
    <w:unhideWhenUsed/>
    <w:rsid w:val="008827E4"/>
    <w:rPr>
      <w:color w:val="954F72" w:themeColor="followedHyperlink"/>
      <w:u w:val="single"/>
    </w:rPr>
  </w:style>
  <w:style w:type="paragraph" w:styleId="NormalWeb">
    <w:name w:val="Normal (Web)"/>
    <w:basedOn w:val="Normal"/>
    <w:uiPriority w:val="99"/>
    <w:unhideWhenUsed/>
    <w:rsid w:val="00047CFD"/>
    <w:pPr>
      <w:spacing w:before="100" w:beforeAutospacing="1" w:after="100" w:afterAutospacing="1"/>
    </w:pPr>
    <w:rPr>
      <w:rFonts w:ascii="Times New Roman" w:eastAsia="Times New Roman" w:hAnsi="Times New Roman" w:cs="Times New Roman"/>
      <w:lang w:val="en-NZ"/>
    </w:rPr>
  </w:style>
  <w:style w:type="character" w:styleId="Marquedecommentaire">
    <w:name w:val="annotation reference"/>
    <w:basedOn w:val="Policepardfaut"/>
    <w:uiPriority w:val="99"/>
    <w:semiHidden/>
    <w:unhideWhenUsed/>
    <w:rsid w:val="00C07A67"/>
    <w:rPr>
      <w:sz w:val="16"/>
      <w:szCs w:val="16"/>
    </w:rPr>
  </w:style>
  <w:style w:type="paragraph" w:styleId="Commentaire">
    <w:name w:val="annotation text"/>
    <w:basedOn w:val="Normal"/>
    <w:link w:val="CommentaireCar"/>
    <w:uiPriority w:val="99"/>
    <w:semiHidden/>
    <w:unhideWhenUsed/>
    <w:rsid w:val="00C07A67"/>
    <w:rPr>
      <w:sz w:val="20"/>
      <w:szCs w:val="20"/>
    </w:rPr>
  </w:style>
  <w:style w:type="character" w:customStyle="1" w:styleId="CommentaireCar">
    <w:name w:val="Commentaire Car"/>
    <w:basedOn w:val="Policepardfaut"/>
    <w:link w:val="Commentaire"/>
    <w:uiPriority w:val="99"/>
    <w:semiHidden/>
    <w:rsid w:val="00C07A67"/>
    <w:rPr>
      <w:sz w:val="20"/>
      <w:szCs w:val="20"/>
    </w:rPr>
  </w:style>
  <w:style w:type="paragraph" w:styleId="Objetducommentaire">
    <w:name w:val="annotation subject"/>
    <w:basedOn w:val="Commentaire"/>
    <w:next w:val="Commentaire"/>
    <w:link w:val="ObjetducommentaireCar"/>
    <w:uiPriority w:val="99"/>
    <w:semiHidden/>
    <w:unhideWhenUsed/>
    <w:rsid w:val="00C07A67"/>
    <w:rPr>
      <w:b/>
      <w:bCs/>
    </w:rPr>
  </w:style>
  <w:style w:type="character" w:customStyle="1" w:styleId="ObjetducommentaireCar">
    <w:name w:val="Objet du commentaire Car"/>
    <w:basedOn w:val="CommentaireCar"/>
    <w:link w:val="Objetducommentaire"/>
    <w:uiPriority w:val="99"/>
    <w:semiHidden/>
    <w:rsid w:val="00C07A67"/>
    <w:rPr>
      <w:b/>
      <w:bCs/>
      <w:sz w:val="20"/>
      <w:szCs w:val="20"/>
    </w:rPr>
  </w:style>
  <w:style w:type="paragraph" w:styleId="Textedebulles">
    <w:name w:val="Balloon Text"/>
    <w:basedOn w:val="Normal"/>
    <w:link w:val="TextedebullesCar"/>
    <w:uiPriority w:val="99"/>
    <w:semiHidden/>
    <w:unhideWhenUsed/>
    <w:rsid w:val="00C07A6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7A67"/>
    <w:rPr>
      <w:rFonts w:ascii="Segoe UI" w:hAnsi="Segoe UI" w:cs="Segoe UI"/>
      <w:sz w:val="18"/>
      <w:szCs w:val="18"/>
    </w:rPr>
  </w:style>
  <w:style w:type="paragraph" w:styleId="En-tte">
    <w:name w:val="header"/>
    <w:basedOn w:val="Normal"/>
    <w:link w:val="En-tteCar"/>
    <w:uiPriority w:val="99"/>
    <w:unhideWhenUsed/>
    <w:rsid w:val="0070428B"/>
    <w:pPr>
      <w:tabs>
        <w:tab w:val="center" w:pos="4513"/>
        <w:tab w:val="right" w:pos="9026"/>
      </w:tabs>
    </w:pPr>
  </w:style>
  <w:style w:type="character" w:customStyle="1" w:styleId="En-tteCar">
    <w:name w:val="En-tête Car"/>
    <w:basedOn w:val="Policepardfaut"/>
    <w:link w:val="En-tte"/>
    <w:uiPriority w:val="99"/>
    <w:rsid w:val="0070428B"/>
  </w:style>
  <w:style w:type="paragraph" w:styleId="Pieddepage">
    <w:name w:val="footer"/>
    <w:basedOn w:val="Normal"/>
    <w:link w:val="PieddepageCar"/>
    <w:uiPriority w:val="99"/>
    <w:unhideWhenUsed/>
    <w:rsid w:val="0070428B"/>
    <w:pPr>
      <w:tabs>
        <w:tab w:val="center" w:pos="4513"/>
        <w:tab w:val="right" w:pos="9026"/>
      </w:tabs>
    </w:pPr>
  </w:style>
  <w:style w:type="character" w:customStyle="1" w:styleId="PieddepageCar">
    <w:name w:val="Pied de page Car"/>
    <w:basedOn w:val="Policepardfaut"/>
    <w:link w:val="Pieddepage"/>
    <w:uiPriority w:val="99"/>
    <w:rsid w:val="0070428B"/>
  </w:style>
  <w:style w:type="paragraph" w:styleId="Rvision">
    <w:name w:val="Revision"/>
    <w:hidden/>
    <w:uiPriority w:val="99"/>
    <w:semiHidden/>
    <w:rsid w:val="00747985"/>
  </w:style>
  <w:style w:type="character" w:customStyle="1" w:styleId="UnresolvedMention1">
    <w:name w:val="Unresolved Mention1"/>
    <w:basedOn w:val="Policepardfaut"/>
    <w:uiPriority w:val="99"/>
    <w:semiHidden/>
    <w:unhideWhenUsed/>
    <w:rsid w:val="00130101"/>
    <w:rPr>
      <w:color w:val="605E5C"/>
      <w:shd w:val="clear" w:color="auto" w:fill="E1DFDD"/>
    </w:rPr>
  </w:style>
  <w:style w:type="table" w:styleId="Grilledutableau">
    <w:name w:val="Table Grid"/>
    <w:basedOn w:val="TableauNormal"/>
    <w:uiPriority w:val="59"/>
    <w:rsid w:val="007553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umrodepage">
    <w:name w:val="page number"/>
    <w:basedOn w:val="Policepardfaut"/>
    <w:uiPriority w:val="99"/>
    <w:semiHidden/>
    <w:unhideWhenUsed/>
    <w:rsid w:val="00C55EF5"/>
  </w:style>
  <w:style w:type="character" w:customStyle="1" w:styleId="jrnl">
    <w:name w:val="jrnl"/>
    <w:basedOn w:val="Policepardfaut"/>
    <w:rsid w:val="007316B7"/>
  </w:style>
  <w:style w:type="character" w:customStyle="1" w:styleId="identifier">
    <w:name w:val="identifier"/>
    <w:basedOn w:val="Policepardfaut"/>
    <w:rsid w:val="002966AF"/>
  </w:style>
  <w:style w:type="character" w:customStyle="1" w:styleId="id-label">
    <w:name w:val="id-label"/>
    <w:basedOn w:val="Policepardfaut"/>
    <w:rsid w:val="002966AF"/>
  </w:style>
  <w:style w:type="character" w:customStyle="1" w:styleId="UnresolvedMention2">
    <w:name w:val="Unresolved Mention2"/>
    <w:basedOn w:val="Policepardfaut"/>
    <w:uiPriority w:val="99"/>
    <w:semiHidden/>
    <w:unhideWhenUsed/>
    <w:rsid w:val="0003688F"/>
    <w:rPr>
      <w:color w:val="605E5C"/>
      <w:shd w:val="clear" w:color="auto" w:fill="E1DFDD"/>
    </w:rPr>
  </w:style>
  <w:style w:type="character" w:styleId="Mentionnonrsolue">
    <w:name w:val="Unresolved Mention"/>
    <w:basedOn w:val="Policepardfaut"/>
    <w:uiPriority w:val="99"/>
    <w:rsid w:val="009E4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86766">
      <w:bodyDiv w:val="1"/>
      <w:marLeft w:val="0"/>
      <w:marRight w:val="0"/>
      <w:marTop w:val="0"/>
      <w:marBottom w:val="0"/>
      <w:divBdr>
        <w:top w:val="none" w:sz="0" w:space="0" w:color="auto"/>
        <w:left w:val="none" w:sz="0" w:space="0" w:color="auto"/>
        <w:bottom w:val="none" w:sz="0" w:space="0" w:color="auto"/>
        <w:right w:val="none" w:sz="0" w:space="0" w:color="auto"/>
      </w:divBdr>
      <w:divsChild>
        <w:div w:id="1401905630">
          <w:marLeft w:val="0"/>
          <w:marRight w:val="0"/>
          <w:marTop w:val="0"/>
          <w:marBottom w:val="0"/>
          <w:divBdr>
            <w:top w:val="none" w:sz="0" w:space="0" w:color="auto"/>
            <w:left w:val="none" w:sz="0" w:space="0" w:color="auto"/>
            <w:bottom w:val="none" w:sz="0" w:space="0" w:color="auto"/>
            <w:right w:val="none" w:sz="0" w:space="0" w:color="auto"/>
          </w:divBdr>
          <w:divsChild>
            <w:div w:id="411006753">
              <w:marLeft w:val="0"/>
              <w:marRight w:val="0"/>
              <w:marTop w:val="0"/>
              <w:marBottom w:val="0"/>
              <w:divBdr>
                <w:top w:val="none" w:sz="0" w:space="0" w:color="auto"/>
                <w:left w:val="none" w:sz="0" w:space="0" w:color="auto"/>
                <w:bottom w:val="none" w:sz="0" w:space="0" w:color="auto"/>
                <w:right w:val="none" w:sz="0" w:space="0" w:color="auto"/>
              </w:divBdr>
              <w:divsChild>
                <w:div w:id="620573753">
                  <w:marLeft w:val="0"/>
                  <w:marRight w:val="0"/>
                  <w:marTop w:val="0"/>
                  <w:marBottom w:val="0"/>
                  <w:divBdr>
                    <w:top w:val="none" w:sz="0" w:space="0" w:color="auto"/>
                    <w:left w:val="none" w:sz="0" w:space="0" w:color="auto"/>
                    <w:bottom w:val="none" w:sz="0" w:space="0" w:color="auto"/>
                    <w:right w:val="none" w:sz="0" w:space="0" w:color="auto"/>
                  </w:divBdr>
                  <w:divsChild>
                    <w:div w:id="6187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082615">
      <w:bodyDiv w:val="1"/>
      <w:marLeft w:val="0"/>
      <w:marRight w:val="0"/>
      <w:marTop w:val="0"/>
      <w:marBottom w:val="0"/>
      <w:divBdr>
        <w:top w:val="none" w:sz="0" w:space="0" w:color="auto"/>
        <w:left w:val="none" w:sz="0" w:space="0" w:color="auto"/>
        <w:bottom w:val="none" w:sz="0" w:space="0" w:color="auto"/>
        <w:right w:val="none" w:sz="0" w:space="0" w:color="auto"/>
      </w:divBdr>
    </w:div>
    <w:div w:id="1679306511">
      <w:bodyDiv w:val="1"/>
      <w:marLeft w:val="0"/>
      <w:marRight w:val="0"/>
      <w:marTop w:val="0"/>
      <w:marBottom w:val="0"/>
      <w:divBdr>
        <w:top w:val="none" w:sz="0" w:space="0" w:color="auto"/>
        <w:left w:val="none" w:sz="0" w:space="0" w:color="auto"/>
        <w:bottom w:val="none" w:sz="0" w:space="0" w:color="auto"/>
        <w:right w:val="none" w:sz="0" w:space="0" w:color="auto"/>
      </w:divBdr>
    </w:div>
    <w:div w:id="1838496860">
      <w:bodyDiv w:val="1"/>
      <w:marLeft w:val="0"/>
      <w:marRight w:val="0"/>
      <w:marTop w:val="0"/>
      <w:marBottom w:val="0"/>
      <w:divBdr>
        <w:top w:val="none" w:sz="0" w:space="0" w:color="auto"/>
        <w:left w:val="none" w:sz="0" w:space="0" w:color="auto"/>
        <w:bottom w:val="none" w:sz="0" w:space="0" w:color="auto"/>
        <w:right w:val="none" w:sz="0" w:space="0" w:color="auto"/>
      </w:divBdr>
      <w:divsChild>
        <w:div w:id="1169249422">
          <w:marLeft w:val="0"/>
          <w:marRight w:val="0"/>
          <w:marTop w:val="0"/>
          <w:marBottom w:val="0"/>
          <w:divBdr>
            <w:top w:val="none" w:sz="0" w:space="0" w:color="auto"/>
            <w:left w:val="none" w:sz="0" w:space="0" w:color="auto"/>
            <w:bottom w:val="none" w:sz="0" w:space="0" w:color="auto"/>
            <w:right w:val="none" w:sz="0" w:space="0" w:color="auto"/>
          </w:divBdr>
          <w:divsChild>
            <w:div w:id="1381782896">
              <w:marLeft w:val="0"/>
              <w:marRight w:val="0"/>
              <w:marTop w:val="0"/>
              <w:marBottom w:val="0"/>
              <w:divBdr>
                <w:top w:val="none" w:sz="0" w:space="0" w:color="auto"/>
                <w:left w:val="none" w:sz="0" w:space="0" w:color="auto"/>
                <w:bottom w:val="none" w:sz="0" w:space="0" w:color="auto"/>
                <w:right w:val="none" w:sz="0" w:space="0" w:color="auto"/>
              </w:divBdr>
              <w:divsChild>
                <w:div w:id="22900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606348">
      <w:bodyDiv w:val="1"/>
      <w:marLeft w:val="0"/>
      <w:marRight w:val="0"/>
      <w:marTop w:val="0"/>
      <w:marBottom w:val="0"/>
      <w:divBdr>
        <w:top w:val="none" w:sz="0" w:space="0" w:color="auto"/>
        <w:left w:val="none" w:sz="0" w:space="0" w:color="auto"/>
        <w:bottom w:val="none" w:sz="0" w:space="0" w:color="auto"/>
        <w:right w:val="none" w:sz="0" w:space="0" w:color="auto"/>
      </w:divBdr>
      <w:divsChild>
        <w:div w:id="699625499">
          <w:marLeft w:val="0"/>
          <w:marRight w:val="0"/>
          <w:marTop w:val="0"/>
          <w:marBottom w:val="0"/>
          <w:divBdr>
            <w:top w:val="none" w:sz="0" w:space="0" w:color="auto"/>
            <w:left w:val="none" w:sz="0" w:space="0" w:color="auto"/>
            <w:bottom w:val="none" w:sz="0" w:space="0" w:color="auto"/>
            <w:right w:val="none" w:sz="0" w:space="0" w:color="auto"/>
          </w:divBdr>
          <w:divsChild>
            <w:div w:id="784420076">
              <w:marLeft w:val="0"/>
              <w:marRight w:val="0"/>
              <w:marTop w:val="0"/>
              <w:marBottom w:val="0"/>
              <w:divBdr>
                <w:top w:val="none" w:sz="0" w:space="0" w:color="auto"/>
                <w:left w:val="none" w:sz="0" w:space="0" w:color="auto"/>
                <w:bottom w:val="none" w:sz="0" w:space="0" w:color="auto"/>
                <w:right w:val="none" w:sz="0" w:space="0" w:color="auto"/>
              </w:divBdr>
              <w:divsChild>
                <w:div w:id="13539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aep.org/horsehealth/lameness-exams-evaluating-lame-hor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303517-0102-4eb8-8a79-f67bfb597343">
      <UserInfo>
        <DisplayName>Nerina Somerville</DisplayName>
        <AccountId>18</AccountId>
        <AccountType/>
      </UserInfo>
      <UserInfo>
        <DisplayName>Leigh</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44D1F778C844CB6F5A80038F84093" ma:contentTypeVersion="4" ma:contentTypeDescription="Create a new document." ma:contentTypeScope="" ma:versionID="9fbbf330c9177adaa27531d186a179bb">
  <xsd:schema xmlns:xsd="http://www.w3.org/2001/XMLSchema" xmlns:xs="http://www.w3.org/2001/XMLSchema" xmlns:p="http://schemas.microsoft.com/office/2006/metadata/properties" xmlns:ns2="a83e8ed4-045a-4403-9901-dccb1febb0cf" xmlns:ns3="82303517-0102-4eb8-8a79-f67bfb597343" targetNamespace="http://schemas.microsoft.com/office/2006/metadata/properties" ma:root="true" ma:fieldsID="af8f9dc1c051b13b8cb3d9b049e33942" ns2:_="" ns3:_="">
    <xsd:import namespace="a83e8ed4-045a-4403-9901-dccb1febb0cf"/>
    <xsd:import namespace="82303517-0102-4eb8-8a79-f67bfb5973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3e8ed4-045a-4403-9901-dccb1febb0c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03517-0102-4eb8-8a79-f67bfb5973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b:Source>
    <b:Tag>Chr032</b:Tag>
    <b:SourceType>JournalArticle</b:SourceType>
    <b:Guid>{5955A13A-0F2A-5948-8A1F-EDD3DAE73291}</b:Guid>
    <b:Author>
      <b:Author>
        <b:NameList>
          <b:Person>
            <b:Last>Christensen</b:Last>
            <b:First>L.H</b:First>
          </b:Person>
          <b:Person>
            <b:Last>Breitling</b:Last>
            <b:First>V.B.</b:First>
          </b:Person>
          <b:Person>
            <b:Last>Aasted</b:Last>
            <b:First>A</b:First>
          </b:Person>
          <b:Person>
            <b:Last>Jorgensen</b:Last>
            <b:First>A</b:First>
          </b:Person>
          <b:Person>
            <b:Last>Kebuladze</b:Last>
            <b:First>I</b:First>
          </b:Person>
        </b:NameList>
      </b:Author>
    </b:Author>
    <b:Title>Long term effects of polyacrylamide hydrogel in human breast tissue</b:Title>
    <b:JournalName>Plastic Reconstructive Surgery</b:JournalName>
    <b:Year>2003</b:Year>
    <b:Volume>111</b:Volume>
    <b:Pages>1883-1889</b:Pages>
    <b:RefOrder>1</b:RefOrder>
  </b:Source>
  <b:Source>
    <b:Tag>Ark06</b:Tag>
    <b:SourceType>JournalArticle</b:SourceType>
    <b:Guid>{4A758AB7-33C5-2349-91E5-82C9907A31CA}</b:Guid>
    <b:Author>
      <b:Author>
        <b:NameList>
          <b:Person>
            <b:Last>Arkell</b:Last>
            <b:First>M.</b:First>
          </b:Person>
          <b:Person>
            <b:Last>Archer</b:Last>
            <b:First>R.M.</b:First>
          </b:Person>
          <b:Person>
            <b:Last>Guitian</b:Last>
            <b:First>F.J.</b:First>
          </b:Person>
          <b:Person>
            <b:Last>May</b:Last>
            <b:First>S.A.,</b:First>
          </b:Person>
        </b:NameList>
      </b:Author>
    </b:Author>
    <b:Title>Evidence of bias affecting the interpretation of the results of local anaesthetic nerve blocks when assessing lameness in horses.</b:Title>
    <b:JournalName>Veterinary Record</b:JournalName>
    <b:Year>2006</b:Year>
    <b:Volume>159</b:Volume>
    <b:Pages>346–349</b:Pages>
    <b:RefOrder>1</b:RefOrder>
  </b:Source>
  <b:Source>
    <b:Tag>Ful06</b:Tag>
    <b:SourceType>JournalArticle</b:SourceType>
    <b:Guid>{C6D910EF-A0BB-C446-9CDD-1D67FD660AFE}</b:Guid>
    <b:Author>
      <b:Author>
        <b:NameList>
          <b:Person>
            <b:Last>Fuller</b:Last>
            <b:First>C.A.</b:First>
          </b:Person>
          <b:Person>
            <b:Last>Bladon</b:Last>
            <b:First>B.M.</b:First>
          </b:Person>
          <b:Person>
            <b:Last>Driver</b:Last>
            <b:First>A.J.</b:First>
          </b:Person>
          <b:Person>
            <b:Last>Barr</b:Last>
            <b:First>A.R.S.</b:First>
          </b:Person>
        </b:NameList>
      </b:Author>
    </b:Author>
    <b:Title>The intra- and inter-assessor reliability of measurement of functional outcome by lameness scoring in horses.</b:Title>
    <b:JournalName>The Veterinary Journal</b:JournalName>
    <b:Year>2006</b:Year>
    <b:Volume>171</b:Volume>
    <b:Pages>281-286</b:Pages>
    <b:RefOrder>2</b:RefOrder>
  </b:Source>
  <b:Source>
    <b:Tag>Kee10</b:Tag>
    <b:SourceType>JournalArticle</b:SourceType>
    <b:Guid>{6053D00E-58F4-2E4A-9446-FEF42DA546BF}</b:Guid>
    <b:Author>
      <b:Author>
        <b:NameList>
          <b:Person>
            <b:Last>Keegan</b:Last>
            <b:First>K.G.</b:First>
          </b:Person>
          <b:Person>
            <b:Last>Dent</b:Last>
            <b:First>E.V.</b:First>
          </b:Person>
          <b:Person>
            <b:Last>Wilson</b:Last>
            <b:First>D.A.</b:First>
          </b:Person>
          <b:Person>
            <b:Last>Janicek</b:Last>
            <b:First>J.</b:First>
          </b:Person>
          <b:Person>
            <b:Last>Kramer</b:Last>
            <b:First>J.</b:First>
          </b:Person>
          <b:Person>
            <b:Last>Lacarrubba</b:Last>
            <b:First>A.</b:First>
          </b:Person>
          <b:Person>
            <b:Last>Walsh</b:Last>
            <b:First>D.M.</b:First>
          </b:Person>
          <b:Person>
            <b:Last>Cassells</b:Last>
            <b:First>M.W.</b:First>
          </b:Person>
          <b:Person>
            <b:Last>Esther</b:Last>
            <b:First>T.M.</b:First>
          </b:Person>
          <b:Person>
            <b:Last>Schiltz</b:Last>
            <b:First>P.</b:First>
          </b:Person>
        </b:NameList>
      </b:Author>
    </b:Author>
    <b:Title>Repeatability of subjective evaluation of lameness in horses.</b:Title>
    <b:JournalName>Equine Veterinary Journal</b:JournalName>
    <b:Year>2010</b:Year>
    <b:Volume>42</b:Volume>
    <b:Pages>92-97</b:Pages>
    <b:RefOrder>3</b:RefOrder>
  </b:Source>
</b:Sources>
</file>

<file path=customXml/itemProps1.xml><?xml version="1.0" encoding="utf-8"?>
<ds:datastoreItem xmlns:ds="http://schemas.openxmlformats.org/officeDocument/2006/customXml" ds:itemID="{92C5655B-14D3-433B-B0EA-81E22746B1D2}">
  <ds:schemaRefs>
    <ds:schemaRef ds:uri="http://schemas.microsoft.com/office/2006/metadata/properties"/>
    <ds:schemaRef ds:uri="http://schemas.microsoft.com/office/infopath/2007/PartnerControls"/>
    <ds:schemaRef ds:uri="82303517-0102-4eb8-8a79-f67bfb597343"/>
  </ds:schemaRefs>
</ds:datastoreItem>
</file>

<file path=customXml/itemProps2.xml><?xml version="1.0" encoding="utf-8"?>
<ds:datastoreItem xmlns:ds="http://schemas.openxmlformats.org/officeDocument/2006/customXml" ds:itemID="{5716037E-DF70-47CD-9033-E64D8C25624C}">
  <ds:schemaRefs>
    <ds:schemaRef ds:uri="http://schemas.microsoft.com/sharepoint/v3/contenttype/forms"/>
  </ds:schemaRefs>
</ds:datastoreItem>
</file>

<file path=customXml/itemProps3.xml><?xml version="1.0" encoding="utf-8"?>
<ds:datastoreItem xmlns:ds="http://schemas.openxmlformats.org/officeDocument/2006/customXml" ds:itemID="{98DDF322-05CD-4FF0-B2EA-7F9702F0E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3e8ed4-045a-4403-9901-dccb1febb0cf"/>
    <ds:schemaRef ds:uri="82303517-0102-4eb8-8a79-f67bfb5973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FAC13-7416-9748-8B82-B67E87C8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7382</Words>
  <Characters>40602</Characters>
  <Application>Microsoft Office Word</Application>
  <DocSecurity>0</DocSecurity>
  <Lines>338</Lines>
  <Paragraphs>95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de Clifford</dc:creator>
  <cp:lastModifiedBy>Florent DAVID</cp:lastModifiedBy>
  <cp:revision>3</cp:revision>
  <cp:lastPrinted>2020-10-16T03:11:00Z</cp:lastPrinted>
  <dcterms:created xsi:type="dcterms:W3CDTF">2021-09-17T21:50:00Z</dcterms:created>
  <dcterms:modified xsi:type="dcterms:W3CDTF">2021-09-17T21:50:00Z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0x01010081B44D1F778C844CB6F5A80038F84093</vt:lpwstr>
  </property>
</Properties>
</file>