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FB8" w:rsidRDefault="000C3FB8">
      <w:r>
        <w:rPr>
          <w:noProof/>
        </w:rPr>
        <w:drawing>
          <wp:inline distT="0" distB="0" distL="0" distR="0" wp14:anchorId="0D64AE88" wp14:editId="2107F03B">
            <wp:extent cx="5943600" cy="7362825"/>
            <wp:effectExtent l="0" t="0" r="0" b="9525"/>
            <wp:docPr id="1" name="Chart 1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id="{00000000-0008-0000-0700-000009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0C3FB8" w:rsidRDefault="000C3FB8" w:rsidP="000C3FB8">
      <w:pPr>
        <w:jc w:val="center"/>
        <w:rPr>
          <w:rFonts w:asciiTheme="majorBidi" w:hAnsiTheme="majorBidi" w:cstheme="majorBidi"/>
        </w:rPr>
      </w:pPr>
      <w:r w:rsidRPr="000C3FB8">
        <w:rPr>
          <w:rFonts w:asciiTheme="majorBidi" w:hAnsiTheme="majorBidi" w:cstheme="majorBidi"/>
          <w:b/>
          <w:bCs/>
        </w:rPr>
        <w:t>Figure 1s:</w:t>
      </w:r>
      <w:r w:rsidRPr="000C3FB8">
        <w:rPr>
          <w:rFonts w:asciiTheme="majorBidi" w:hAnsiTheme="majorBidi" w:cstheme="majorBidi"/>
        </w:rPr>
        <w:t xml:space="preserve"> Frequency (%) of healthcare workers enrollment in this survey from different countries, except participants from Qatar (n=400, 38.8%) and India (n=161, 15.6%)</w:t>
      </w:r>
    </w:p>
    <w:p w:rsidR="000C3FB8" w:rsidRDefault="000C3FB8" w:rsidP="000C3FB8">
      <w:pPr>
        <w:jc w:val="center"/>
        <w:rPr>
          <w:rFonts w:asciiTheme="majorBidi" w:hAnsiTheme="majorBidi" w:cstheme="majorBidi"/>
        </w:rPr>
      </w:pPr>
    </w:p>
    <w:p w:rsidR="000C3FB8" w:rsidRDefault="000C3FB8" w:rsidP="000C3FB8">
      <w:pPr>
        <w:jc w:val="center"/>
        <w:rPr>
          <w:rFonts w:asciiTheme="majorBidi" w:hAnsiTheme="majorBidi" w:cstheme="majorBidi"/>
          <w:lang w:bidi="fa-IR"/>
        </w:rPr>
      </w:pPr>
      <w:r>
        <w:rPr>
          <w:noProof/>
        </w:rPr>
        <w:lastRenderedPageBreak/>
        <w:drawing>
          <wp:inline distT="0" distB="0" distL="0" distR="0" wp14:anchorId="154293C5" wp14:editId="38C95850">
            <wp:extent cx="5943600" cy="7581900"/>
            <wp:effectExtent l="0" t="0" r="0" b="0"/>
            <wp:docPr id="2" name="Chart 2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id="{00000000-0008-0000-08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0C3FB8" w:rsidRDefault="000C3FB8" w:rsidP="00606EC4">
      <w:pPr>
        <w:jc w:val="center"/>
        <w:rPr>
          <w:rFonts w:asciiTheme="majorBidi" w:hAnsiTheme="majorBidi" w:cstheme="majorBidi"/>
        </w:rPr>
      </w:pPr>
      <w:r w:rsidRPr="000C3FB8">
        <w:rPr>
          <w:rFonts w:asciiTheme="majorBidi" w:hAnsiTheme="majorBidi" w:cstheme="majorBidi"/>
          <w:b/>
          <w:bCs/>
        </w:rPr>
        <w:t>Figure 1s:</w:t>
      </w:r>
      <w:r w:rsidRPr="000C3FB8">
        <w:rPr>
          <w:rFonts w:asciiTheme="majorBidi" w:hAnsiTheme="majorBidi" w:cstheme="majorBidi"/>
        </w:rPr>
        <w:t xml:space="preserve"> Frequency (%) of healthcare workers enrollment in this survey from different countries, except participants from Qatar (n=400, 38.8%) and India (n=161, 15.6%)</w:t>
      </w:r>
      <w:r>
        <w:rPr>
          <w:rFonts w:asciiTheme="majorBidi" w:hAnsiTheme="majorBidi" w:cstheme="majorBidi"/>
        </w:rPr>
        <w:t xml:space="preserve">, according to </w:t>
      </w:r>
      <w:bookmarkStart w:id="0" w:name="_GoBack"/>
      <w:bookmarkEnd w:id="0"/>
      <w:r w:rsidRPr="000C3FB8">
        <w:rPr>
          <w:rFonts w:asciiTheme="majorBidi" w:hAnsiTheme="majorBidi" w:cstheme="majorBidi"/>
        </w:rPr>
        <w:t>HCWs who worked in COVID-19 area or not</w:t>
      </w:r>
    </w:p>
    <w:p w:rsidR="000C3FB8" w:rsidRPr="000C3FB8" w:rsidRDefault="000C3FB8" w:rsidP="000C3FB8">
      <w:pPr>
        <w:jc w:val="center"/>
        <w:rPr>
          <w:rFonts w:asciiTheme="majorBidi" w:hAnsiTheme="majorBidi" w:cstheme="majorBidi"/>
          <w:rtl/>
          <w:lang w:bidi="fa-IR"/>
        </w:rPr>
      </w:pPr>
    </w:p>
    <w:sectPr w:rsidR="000C3FB8" w:rsidRPr="000C3FB8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99A" w:rsidRDefault="0093799A" w:rsidP="000C3FB8">
      <w:pPr>
        <w:spacing w:after="0" w:line="240" w:lineRule="auto"/>
      </w:pPr>
      <w:r>
        <w:separator/>
      </w:r>
    </w:p>
  </w:endnote>
  <w:endnote w:type="continuationSeparator" w:id="0">
    <w:p w:rsidR="0093799A" w:rsidRDefault="0093799A" w:rsidP="000C3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67832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3FB8" w:rsidRDefault="000C3FB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6EC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C3FB8" w:rsidRDefault="000C3F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99A" w:rsidRDefault="0093799A" w:rsidP="000C3FB8">
      <w:pPr>
        <w:spacing w:after="0" w:line="240" w:lineRule="auto"/>
      </w:pPr>
      <w:r>
        <w:separator/>
      </w:r>
    </w:p>
  </w:footnote>
  <w:footnote w:type="continuationSeparator" w:id="0">
    <w:p w:rsidR="0093799A" w:rsidRDefault="0093799A" w:rsidP="000C3F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FB8"/>
    <w:rsid w:val="0002784F"/>
    <w:rsid w:val="000C3FB8"/>
    <w:rsid w:val="00606EC4"/>
    <w:rsid w:val="006406DA"/>
    <w:rsid w:val="0093799A"/>
    <w:rsid w:val="009D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9EABF1-FFD0-469F-9669-8F3C4A9DE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3F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3FB8"/>
  </w:style>
  <w:style w:type="paragraph" w:styleId="Footer">
    <w:name w:val="footer"/>
    <w:basedOn w:val="Normal"/>
    <w:link w:val="FooterChar"/>
    <w:uiPriority w:val="99"/>
    <w:unhideWhenUsed/>
    <w:rsid w:val="000C3F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3F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Graph!$C$1</c:f>
              <c:strCache>
                <c:ptCount val="1"/>
                <c:pt idx="0">
                  <c:v>%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Graph!$B$2:$B$47</c:f>
              <c:strCache>
                <c:ptCount val="46"/>
                <c:pt idx="0">
                  <c:v>   Albania</c:v>
                </c:pt>
                <c:pt idx="1">
                  <c:v>   Algeria</c:v>
                </c:pt>
                <c:pt idx="2">
                  <c:v>   Argentina</c:v>
                </c:pt>
                <c:pt idx="3">
                  <c:v>   Australia</c:v>
                </c:pt>
                <c:pt idx="4">
                  <c:v>   Bahrain</c:v>
                </c:pt>
                <c:pt idx="5">
                  <c:v>   Brazil</c:v>
                </c:pt>
                <c:pt idx="6">
                  <c:v>   Canada</c:v>
                </c:pt>
                <c:pt idx="7">
                  <c:v>   Chile</c:v>
                </c:pt>
                <c:pt idx="8">
                  <c:v>   Colombia</c:v>
                </c:pt>
                <c:pt idx="9">
                  <c:v>   Egypt</c:v>
                </c:pt>
                <c:pt idx="10">
                  <c:v>   Ethiopia</c:v>
                </c:pt>
                <c:pt idx="11">
                  <c:v>   France</c:v>
                </c:pt>
                <c:pt idx="12">
                  <c:v>   Germany</c:v>
                </c:pt>
                <c:pt idx="13">
                  <c:v>   Hong Kong</c:v>
                </c:pt>
                <c:pt idx="14">
                  <c:v>   Indonesia</c:v>
                </c:pt>
                <c:pt idx="15">
                  <c:v>   Iran</c:v>
                </c:pt>
                <c:pt idx="16">
                  <c:v>   Iraq</c:v>
                </c:pt>
                <c:pt idx="17">
                  <c:v>   Ireland</c:v>
                </c:pt>
                <c:pt idx="18">
                  <c:v>   Israel</c:v>
                </c:pt>
                <c:pt idx="19">
                  <c:v>   Italy</c:v>
                </c:pt>
                <c:pt idx="20">
                  <c:v>   Japan</c:v>
                </c:pt>
                <c:pt idx="21">
                  <c:v>   Jordan</c:v>
                </c:pt>
                <c:pt idx="22">
                  <c:v>   Kuwait</c:v>
                </c:pt>
                <c:pt idx="23">
                  <c:v>   Lebanon</c:v>
                </c:pt>
                <c:pt idx="24">
                  <c:v>   Libya</c:v>
                </c:pt>
                <c:pt idx="25">
                  <c:v>   Malaysia</c:v>
                </c:pt>
                <c:pt idx="26">
                  <c:v>   Mexico</c:v>
                </c:pt>
                <c:pt idx="27">
                  <c:v>   Morocco</c:v>
                </c:pt>
                <c:pt idx="28">
                  <c:v>   Netherlands</c:v>
                </c:pt>
                <c:pt idx="29">
                  <c:v>   Oman</c:v>
                </c:pt>
                <c:pt idx="30">
                  <c:v>   Pakistan</c:v>
                </c:pt>
                <c:pt idx="31">
                  <c:v>   Palestine</c:v>
                </c:pt>
                <c:pt idx="32">
                  <c:v>   Philippines </c:v>
                </c:pt>
                <c:pt idx="33">
                  <c:v>   Poland</c:v>
                </c:pt>
                <c:pt idx="34">
                  <c:v>   Saudi Arabia</c:v>
                </c:pt>
                <c:pt idx="35">
                  <c:v>   Singapore </c:v>
                </c:pt>
                <c:pt idx="36">
                  <c:v>   South Africa</c:v>
                </c:pt>
                <c:pt idx="37">
                  <c:v>   South Korea</c:v>
                </c:pt>
                <c:pt idx="38">
                  <c:v>   Sudan</c:v>
                </c:pt>
                <c:pt idx="39">
                  <c:v>   Sweden</c:v>
                </c:pt>
                <c:pt idx="40">
                  <c:v>   Syria</c:v>
                </c:pt>
                <c:pt idx="41">
                  <c:v>   United Arab Emirates</c:v>
                </c:pt>
                <c:pt idx="42">
                  <c:v>   United Kingdom</c:v>
                </c:pt>
                <c:pt idx="43">
                  <c:v>   United States</c:v>
                </c:pt>
                <c:pt idx="44">
                  <c:v>   Uzbekistan </c:v>
                </c:pt>
                <c:pt idx="45">
                  <c:v>   Vietnam </c:v>
                </c:pt>
              </c:strCache>
            </c:strRef>
          </c:cat>
          <c:val>
            <c:numRef>
              <c:f>Graph!$C$2:$C$47</c:f>
              <c:numCache>
                <c:formatCode>General</c:formatCode>
                <c:ptCount val="46"/>
                <c:pt idx="0">
                  <c:v>0.2</c:v>
                </c:pt>
                <c:pt idx="1">
                  <c:v>0.2</c:v>
                </c:pt>
                <c:pt idx="2">
                  <c:v>0.2</c:v>
                </c:pt>
                <c:pt idx="3">
                  <c:v>1.3</c:v>
                </c:pt>
                <c:pt idx="4">
                  <c:v>0.1</c:v>
                </c:pt>
                <c:pt idx="5">
                  <c:v>1.2</c:v>
                </c:pt>
                <c:pt idx="6">
                  <c:v>1.2</c:v>
                </c:pt>
                <c:pt idx="7">
                  <c:v>0.1</c:v>
                </c:pt>
                <c:pt idx="8">
                  <c:v>0.1</c:v>
                </c:pt>
                <c:pt idx="9">
                  <c:v>0.9</c:v>
                </c:pt>
                <c:pt idx="10">
                  <c:v>0.1</c:v>
                </c:pt>
                <c:pt idx="11">
                  <c:v>1.8</c:v>
                </c:pt>
                <c:pt idx="12">
                  <c:v>0.4</c:v>
                </c:pt>
                <c:pt idx="13">
                  <c:v>0.3</c:v>
                </c:pt>
                <c:pt idx="14">
                  <c:v>0.1</c:v>
                </c:pt>
                <c:pt idx="15">
                  <c:v>0.4</c:v>
                </c:pt>
                <c:pt idx="16">
                  <c:v>0.6</c:v>
                </c:pt>
                <c:pt idx="17">
                  <c:v>1.2</c:v>
                </c:pt>
                <c:pt idx="18">
                  <c:v>0.1</c:v>
                </c:pt>
                <c:pt idx="19">
                  <c:v>1</c:v>
                </c:pt>
                <c:pt idx="20">
                  <c:v>0.1</c:v>
                </c:pt>
                <c:pt idx="21">
                  <c:v>0.1</c:v>
                </c:pt>
                <c:pt idx="22">
                  <c:v>4.5999999999999996</c:v>
                </c:pt>
                <c:pt idx="23">
                  <c:v>0.9</c:v>
                </c:pt>
                <c:pt idx="24">
                  <c:v>0.9</c:v>
                </c:pt>
                <c:pt idx="25">
                  <c:v>1.5</c:v>
                </c:pt>
                <c:pt idx="26">
                  <c:v>0.1</c:v>
                </c:pt>
                <c:pt idx="27">
                  <c:v>0.9</c:v>
                </c:pt>
                <c:pt idx="28">
                  <c:v>0.1</c:v>
                </c:pt>
                <c:pt idx="29">
                  <c:v>0.7</c:v>
                </c:pt>
                <c:pt idx="30">
                  <c:v>1</c:v>
                </c:pt>
                <c:pt idx="31">
                  <c:v>0.1</c:v>
                </c:pt>
                <c:pt idx="32">
                  <c:v>0.8</c:v>
                </c:pt>
                <c:pt idx="33">
                  <c:v>0.1</c:v>
                </c:pt>
                <c:pt idx="34">
                  <c:v>2.2000000000000002</c:v>
                </c:pt>
                <c:pt idx="35">
                  <c:v>0.1</c:v>
                </c:pt>
                <c:pt idx="36">
                  <c:v>5.4</c:v>
                </c:pt>
                <c:pt idx="37">
                  <c:v>0.4</c:v>
                </c:pt>
                <c:pt idx="38">
                  <c:v>0.8</c:v>
                </c:pt>
                <c:pt idx="39">
                  <c:v>2.9</c:v>
                </c:pt>
                <c:pt idx="40">
                  <c:v>0.1</c:v>
                </c:pt>
                <c:pt idx="41">
                  <c:v>1.4</c:v>
                </c:pt>
                <c:pt idx="42">
                  <c:v>3.7</c:v>
                </c:pt>
                <c:pt idx="43">
                  <c:v>5.4</c:v>
                </c:pt>
                <c:pt idx="44">
                  <c:v>0.1</c:v>
                </c:pt>
                <c:pt idx="45">
                  <c:v>0.1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849-4DFD-99AB-AED4A1B8BE92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-1368366960"/>
        <c:axId val="-1368364784"/>
      </c:barChart>
      <c:catAx>
        <c:axId val="-136836696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368364784"/>
        <c:crosses val="autoZero"/>
        <c:auto val="1"/>
        <c:lblAlgn val="ctr"/>
        <c:lblOffset val="100"/>
        <c:noMultiLvlLbl val="0"/>
      </c:catAx>
      <c:valAx>
        <c:axId val="-13683647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36836696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6058668147250826"/>
          <c:y val="3.8108813205578213E-2"/>
          <c:w val="0.81807667259888317"/>
          <c:h val="0.87158715204030135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Graph2!$B$1</c:f>
              <c:strCache>
                <c:ptCount val="1"/>
                <c:pt idx="0">
                  <c:v> All particpants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Graph2!$A$2:$A$47</c:f>
              <c:strCache>
                <c:ptCount val="46"/>
                <c:pt idx="0">
                  <c:v>   Albania</c:v>
                </c:pt>
                <c:pt idx="1">
                  <c:v>   Algeria</c:v>
                </c:pt>
                <c:pt idx="2">
                  <c:v>   Argentina</c:v>
                </c:pt>
                <c:pt idx="3">
                  <c:v>   Australia</c:v>
                </c:pt>
                <c:pt idx="4">
                  <c:v>   Bahrain</c:v>
                </c:pt>
                <c:pt idx="5">
                  <c:v>   Brazil</c:v>
                </c:pt>
                <c:pt idx="6">
                  <c:v>   Canada</c:v>
                </c:pt>
                <c:pt idx="7">
                  <c:v>   Chile</c:v>
                </c:pt>
                <c:pt idx="8">
                  <c:v>   Colombia</c:v>
                </c:pt>
                <c:pt idx="9">
                  <c:v>   Egypt</c:v>
                </c:pt>
                <c:pt idx="10">
                  <c:v>   Ethiopia</c:v>
                </c:pt>
                <c:pt idx="11">
                  <c:v>   France</c:v>
                </c:pt>
                <c:pt idx="12">
                  <c:v>   Germany</c:v>
                </c:pt>
                <c:pt idx="13">
                  <c:v>   Hong Kong</c:v>
                </c:pt>
                <c:pt idx="14">
                  <c:v>   Indonesia</c:v>
                </c:pt>
                <c:pt idx="15">
                  <c:v>   Iran</c:v>
                </c:pt>
                <c:pt idx="16">
                  <c:v>   Iraq</c:v>
                </c:pt>
                <c:pt idx="17">
                  <c:v>   Ireland</c:v>
                </c:pt>
                <c:pt idx="18">
                  <c:v>   Israel</c:v>
                </c:pt>
                <c:pt idx="19">
                  <c:v>   Italy</c:v>
                </c:pt>
                <c:pt idx="20">
                  <c:v>   Japan</c:v>
                </c:pt>
                <c:pt idx="21">
                  <c:v>   Jordan</c:v>
                </c:pt>
                <c:pt idx="22">
                  <c:v>   Kuwait</c:v>
                </c:pt>
                <c:pt idx="23">
                  <c:v>   Lebanon</c:v>
                </c:pt>
                <c:pt idx="24">
                  <c:v>   Libya</c:v>
                </c:pt>
                <c:pt idx="25">
                  <c:v>   Malaysia</c:v>
                </c:pt>
                <c:pt idx="26">
                  <c:v>   Mexico</c:v>
                </c:pt>
                <c:pt idx="27">
                  <c:v>   Morocco</c:v>
                </c:pt>
                <c:pt idx="28">
                  <c:v>   Netherlands</c:v>
                </c:pt>
                <c:pt idx="29">
                  <c:v>   Oman</c:v>
                </c:pt>
                <c:pt idx="30">
                  <c:v>   Pakistan</c:v>
                </c:pt>
                <c:pt idx="31">
                  <c:v>   Palestine</c:v>
                </c:pt>
                <c:pt idx="32">
                  <c:v>   Philippines </c:v>
                </c:pt>
                <c:pt idx="33">
                  <c:v>   Poland</c:v>
                </c:pt>
                <c:pt idx="34">
                  <c:v>   Saudi Arabia</c:v>
                </c:pt>
                <c:pt idx="35">
                  <c:v>   Singapore </c:v>
                </c:pt>
                <c:pt idx="36">
                  <c:v>   South Africa</c:v>
                </c:pt>
                <c:pt idx="37">
                  <c:v>   South Korea</c:v>
                </c:pt>
                <c:pt idx="38">
                  <c:v>   Sudan</c:v>
                </c:pt>
                <c:pt idx="39">
                  <c:v>   Sweden</c:v>
                </c:pt>
                <c:pt idx="40">
                  <c:v>   Syria</c:v>
                </c:pt>
                <c:pt idx="41">
                  <c:v>   United Arab Emirates</c:v>
                </c:pt>
                <c:pt idx="42">
                  <c:v>   United Kingdom</c:v>
                </c:pt>
                <c:pt idx="43">
                  <c:v>   United States</c:v>
                </c:pt>
                <c:pt idx="44">
                  <c:v>   Uzbekistan </c:v>
                </c:pt>
                <c:pt idx="45">
                  <c:v>   Vietnam </c:v>
                </c:pt>
              </c:strCache>
            </c:strRef>
          </c:cat>
          <c:val>
            <c:numRef>
              <c:f>Graph2!$B$2:$B$47</c:f>
              <c:numCache>
                <c:formatCode>General</c:formatCode>
                <c:ptCount val="46"/>
                <c:pt idx="0">
                  <c:v>0.2</c:v>
                </c:pt>
                <c:pt idx="1">
                  <c:v>0.2</c:v>
                </c:pt>
                <c:pt idx="2">
                  <c:v>0.2</c:v>
                </c:pt>
                <c:pt idx="3">
                  <c:v>1.3</c:v>
                </c:pt>
                <c:pt idx="4">
                  <c:v>0.1</c:v>
                </c:pt>
                <c:pt idx="5">
                  <c:v>1.2</c:v>
                </c:pt>
                <c:pt idx="6">
                  <c:v>1.2</c:v>
                </c:pt>
                <c:pt idx="7">
                  <c:v>0.1</c:v>
                </c:pt>
                <c:pt idx="8">
                  <c:v>0.1</c:v>
                </c:pt>
                <c:pt idx="9">
                  <c:v>0.9</c:v>
                </c:pt>
                <c:pt idx="10">
                  <c:v>0.1</c:v>
                </c:pt>
                <c:pt idx="11">
                  <c:v>1.8</c:v>
                </c:pt>
                <c:pt idx="12">
                  <c:v>0.4</c:v>
                </c:pt>
                <c:pt idx="13">
                  <c:v>0.3</c:v>
                </c:pt>
                <c:pt idx="14">
                  <c:v>0.1</c:v>
                </c:pt>
                <c:pt idx="15">
                  <c:v>0.4</c:v>
                </c:pt>
                <c:pt idx="16">
                  <c:v>0.6</c:v>
                </c:pt>
                <c:pt idx="17">
                  <c:v>1.2</c:v>
                </c:pt>
                <c:pt idx="18">
                  <c:v>0.1</c:v>
                </c:pt>
                <c:pt idx="19">
                  <c:v>1</c:v>
                </c:pt>
                <c:pt idx="20">
                  <c:v>0.1</c:v>
                </c:pt>
                <c:pt idx="21">
                  <c:v>0.1</c:v>
                </c:pt>
                <c:pt idx="22">
                  <c:v>4.5999999999999996</c:v>
                </c:pt>
                <c:pt idx="23">
                  <c:v>0.9</c:v>
                </c:pt>
                <c:pt idx="24">
                  <c:v>0.9</c:v>
                </c:pt>
                <c:pt idx="25">
                  <c:v>1.5</c:v>
                </c:pt>
                <c:pt idx="26">
                  <c:v>0.1</c:v>
                </c:pt>
                <c:pt idx="27">
                  <c:v>0.9</c:v>
                </c:pt>
                <c:pt idx="28">
                  <c:v>0.1</c:v>
                </c:pt>
                <c:pt idx="29">
                  <c:v>0.7</c:v>
                </c:pt>
                <c:pt idx="30">
                  <c:v>1</c:v>
                </c:pt>
                <c:pt idx="31">
                  <c:v>0.1</c:v>
                </c:pt>
                <c:pt idx="32">
                  <c:v>0.8</c:v>
                </c:pt>
                <c:pt idx="33">
                  <c:v>0.1</c:v>
                </c:pt>
                <c:pt idx="34">
                  <c:v>2.2000000000000002</c:v>
                </c:pt>
                <c:pt idx="35">
                  <c:v>0.1</c:v>
                </c:pt>
                <c:pt idx="36">
                  <c:v>5.4</c:v>
                </c:pt>
                <c:pt idx="37">
                  <c:v>0.4</c:v>
                </c:pt>
                <c:pt idx="38">
                  <c:v>0.8</c:v>
                </c:pt>
                <c:pt idx="39">
                  <c:v>2.9</c:v>
                </c:pt>
                <c:pt idx="40">
                  <c:v>0.1</c:v>
                </c:pt>
                <c:pt idx="41">
                  <c:v>1.4</c:v>
                </c:pt>
                <c:pt idx="42">
                  <c:v>3.7</c:v>
                </c:pt>
                <c:pt idx="43">
                  <c:v>5.4</c:v>
                </c:pt>
                <c:pt idx="44">
                  <c:v>0.1</c:v>
                </c:pt>
                <c:pt idx="45">
                  <c:v>0.1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D07-4081-894A-ED61221ACE45}"/>
            </c:ext>
          </c:extLst>
        </c:ser>
        <c:ser>
          <c:idx val="1"/>
          <c:order val="1"/>
          <c:tx>
            <c:strRef>
              <c:f>Graph2!$C$1</c:f>
              <c:strCache>
                <c:ptCount val="1"/>
                <c:pt idx="0">
                  <c:v>COVID-19 working area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Graph2!$A$2:$A$47</c:f>
              <c:strCache>
                <c:ptCount val="46"/>
                <c:pt idx="0">
                  <c:v>   Albania</c:v>
                </c:pt>
                <c:pt idx="1">
                  <c:v>   Algeria</c:v>
                </c:pt>
                <c:pt idx="2">
                  <c:v>   Argentina</c:v>
                </c:pt>
                <c:pt idx="3">
                  <c:v>   Australia</c:v>
                </c:pt>
                <c:pt idx="4">
                  <c:v>   Bahrain</c:v>
                </c:pt>
                <c:pt idx="5">
                  <c:v>   Brazil</c:v>
                </c:pt>
                <c:pt idx="6">
                  <c:v>   Canada</c:v>
                </c:pt>
                <c:pt idx="7">
                  <c:v>   Chile</c:v>
                </c:pt>
                <c:pt idx="8">
                  <c:v>   Colombia</c:v>
                </c:pt>
                <c:pt idx="9">
                  <c:v>   Egypt</c:v>
                </c:pt>
                <c:pt idx="10">
                  <c:v>   Ethiopia</c:v>
                </c:pt>
                <c:pt idx="11">
                  <c:v>   France</c:v>
                </c:pt>
                <c:pt idx="12">
                  <c:v>   Germany</c:v>
                </c:pt>
                <c:pt idx="13">
                  <c:v>   Hong Kong</c:v>
                </c:pt>
                <c:pt idx="14">
                  <c:v>   Indonesia</c:v>
                </c:pt>
                <c:pt idx="15">
                  <c:v>   Iran</c:v>
                </c:pt>
                <c:pt idx="16">
                  <c:v>   Iraq</c:v>
                </c:pt>
                <c:pt idx="17">
                  <c:v>   Ireland</c:v>
                </c:pt>
                <c:pt idx="18">
                  <c:v>   Israel</c:v>
                </c:pt>
                <c:pt idx="19">
                  <c:v>   Italy</c:v>
                </c:pt>
                <c:pt idx="20">
                  <c:v>   Japan</c:v>
                </c:pt>
                <c:pt idx="21">
                  <c:v>   Jordan</c:v>
                </c:pt>
                <c:pt idx="22">
                  <c:v>   Kuwait</c:v>
                </c:pt>
                <c:pt idx="23">
                  <c:v>   Lebanon</c:v>
                </c:pt>
                <c:pt idx="24">
                  <c:v>   Libya</c:v>
                </c:pt>
                <c:pt idx="25">
                  <c:v>   Malaysia</c:v>
                </c:pt>
                <c:pt idx="26">
                  <c:v>   Mexico</c:v>
                </c:pt>
                <c:pt idx="27">
                  <c:v>   Morocco</c:v>
                </c:pt>
                <c:pt idx="28">
                  <c:v>   Netherlands</c:v>
                </c:pt>
                <c:pt idx="29">
                  <c:v>   Oman</c:v>
                </c:pt>
                <c:pt idx="30">
                  <c:v>   Pakistan</c:v>
                </c:pt>
                <c:pt idx="31">
                  <c:v>   Palestine</c:v>
                </c:pt>
                <c:pt idx="32">
                  <c:v>   Philippines </c:v>
                </c:pt>
                <c:pt idx="33">
                  <c:v>   Poland</c:v>
                </c:pt>
                <c:pt idx="34">
                  <c:v>   Saudi Arabia</c:v>
                </c:pt>
                <c:pt idx="35">
                  <c:v>   Singapore </c:v>
                </c:pt>
                <c:pt idx="36">
                  <c:v>   South Africa</c:v>
                </c:pt>
                <c:pt idx="37">
                  <c:v>   South Korea</c:v>
                </c:pt>
                <c:pt idx="38">
                  <c:v>   Sudan</c:v>
                </c:pt>
                <c:pt idx="39">
                  <c:v>   Sweden</c:v>
                </c:pt>
                <c:pt idx="40">
                  <c:v>   Syria</c:v>
                </c:pt>
                <c:pt idx="41">
                  <c:v>   United Arab Emirates</c:v>
                </c:pt>
                <c:pt idx="42">
                  <c:v>   United Kingdom</c:v>
                </c:pt>
                <c:pt idx="43">
                  <c:v>   United States</c:v>
                </c:pt>
                <c:pt idx="44">
                  <c:v>   Uzbekistan </c:v>
                </c:pt>
                <c:pt idx="45">
                  <c:v>   Vietnam </c:v>
                </c:pt>
              </c:strCache>
            </c:strRef>
          </c:cat>
          <c:val>
            <c:numRef>
              <c:f>Graph2!$C$2:$C$47</c:f>
              <c:numCache>
                <c:formatCode>General</c:formatCode>
                <c:ptCount val="46"/>
                <c:pt idx="0">
                  <c:v>0</c:v>
                </c:pt>
                <c:pt idx="1">
                  <c:v>0</c:v>
                </c:pt>
                <c:pt idx="2">
                  <c:v>0.3</c:v>
                </c:pt>
                <c:pt idx="3">
                  <c:v>0.9</c:v>
                </c:pt>
                <c:pt idx="4">
                  <c:v>0</c:v>
                </c:pt>
                <c:pt idx="5">
                  <c:v>1.3</c:v>
                </c:pt>
                <c:pt idx="6">
                  <c:v>1.3</c:v>
                </c:pt>
                <c:pt idx="7">
                  <c:v>0.1</c:v>
                </c:pt>
                <c:pt idx="8">
                  <c:v>0.1</c:v>
                </c:pt>
                <c:pt idx="9">
                  <c:v>1.2</c:v>
                </c:pt>
                <c:pt idx="10">
                  <c:v>0.1</c:v>
                </c:pt>
                <c:pt idx="11">
                  <c:v>2.1</c:v>
                </c:pt>
                <c:pt idx="12">
                  <c:v>0.1</c:v>
                </c:pt>
                <c:pt idx="13">
                  <c:v>0.4</c:v>
                </c:pt>
                <c:pt idx="14">
                  <c:v>0.1</c:v>
                </c:pt>
                <c:pt idx="15">
                  <c:v>0.4</c:v>
                </c:pt>
                <c:pt idx="16">
                  <c:v>0.5</c:v>
                </c:pt>
                <c:pt idx="17">
                  <c:v>0.5</c:v>
                </c:pt>
                <c:pt idx="18">
                  <c:v>0.1</c:v>
                </c:pt>
                <c:pt idx="19">
                  <c:v>0.4</c:v>
                </c:pt>
                <c:pt idx="20">
                  <c:v>0.1</c:v>
                </c:pt>
                <c:pt idx="21">
                  <c:v>0</c:v>
                </c:pt>
                <c:pt idx="22">
                  <c:v>5.2</c:v>
                </c:pt>
                <c:pt idx="23">
                  <c:v>0.4</c:v>
                </c:pt>
                <c:pt idx="24">
                  <c:v>0.7</c:v>
                </c:pt>
                <c:pt idx="25">
                  <c:v>1.4</c:v>
                </c:pt>
                <c:pt idx="26">
                  <c:v>0.1</c:v>
                </c:pt>
                <c:pt idx="27">
                  <c:v>1.2</c:v>
                </c:pt>
                <c:pt idx="28">
                  <c:v>0</c:v>
                </c:pt>
                <c:pt idx="29">
                  <c:v>0.5</c:v>
                </c:pt>
                <c:pt idx="30">
                  <c:v>1</c:v>
                </c:pt>
                <c:pt idx="31">
                  <c:v>0.1</c:v>
                </c:pt>
                <c:pt idx="32">
                  <c:v>0.8</c:v>
                </c:pt>
                <c:pt idx="33">
                  <c:v>0</c:v>
                </c:pt>
                <c:pt idx="34">
                  <c:v>2.4</c:v>
                </c:pt>
                <c:pt idx="35">
                  <c:v>0</c:v>
                </c:pt>
                <c:pt idx="36">
                  <c:v>4.7</c:v>
                </c:pt>
                <c:pt idx="37">
                  <c:v>0.4</c:v>
                </c:pt>
                <c:pt idx="38">
                  <c:v>0.7</c:v>
                </c:pt>
                <c:pt idx="39">
                  <c:v>3.5</c:v>
                </c:pt>
                <c:pt idx="40">
                  <c:v>0</c:v>
                </c:pt>
                <c:pt idx="41">
                  <c:v>1.3</c:v>
                </c:pt>
                <c:pt idx="42">
                  <c:v>4.5</c:v>
                </c:pt>
                <c:pt idx="43">
                  <c:v>6.7</c:v>
                </c:pt>
                <c:pt idx="44">
                  <c:v>0</c:v>
                </c:pt>
                <c:pt idx="45">
                  <c:v>0.1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BD07-4081-894A-ED61221ACE45}"/>
            </c:ext>
          </c:extLst>
        </c:ser>
        <c:ser>
          <c:idx val="2"/>
          <c:order val="2"/>
          <c:tx>
            <c:strRef>
              <c:f>Graph2!$D$1</c:f>
              <c:strCache>
                <c:ptCount val="1"/>
                <c:pt idx="0">
                  <c:v>Non-COVID-19 working area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Graph2!$A$2:$A$47</c:f>
              <c:strCache>
                <c:ptCount val="46"/>
                <c:pt idx="0">
                  <c:v>   Albania</c:v>
                </c:pt>
                <c:pt idx="1">
                  <c:v>   Algeria</c:v>
                </c:pt>
                <c:pt idx="2">
                  <c:v>   Argentina</c:v>
                </c:pt>
                <c:pt idx="3">
                  <c:v>   Australia</c:v>
                </c:pt>
                <c:pt idx="4">
                  <c:v>   Bahrain</c:v>
                </c:pt>
                <c:pt idx="5">
                  <c:v>   Brazil</c:v>
                </c:pt>
                <c:pt idx="6">
                  <c:v>   Canada</c:v>
                </c:pt>
                <c:pt idx="7">
                  <c:v>   Chile</c:v>
                </c:pt>
                <c:pt idx="8">
                  <c:v>   Colombia</c:v>
                </c:pt>
                <c:pt idx="9">
                  <c:v>   Egypt</c:v>
                </c:pt>
                <c:pt idx="10">
                  <c:v>   Ethiopia</c:v>
                </c:pt>
                <c:pt idx="11">
                  <c:v>   France</c:v>
                </c:pt>
                <c:pt idx="12">
                  <c:v>   Germany</c:v>
                </c:pt>
                <c:pt idx="13">
                  <c:v>   Hong Kong</c:v>
                </c:pt>
                <c:pt idx="14">
                  <c:v>   Indonesia</c:v>
                </c:pt>
                <c:pt idx="15">
                  <c:v>   Iran</c:v>
                </c:pt>
                <c:pt idx="16">
                  <c:v>   Iraq</c:v>
                </c:pt>
                <c:pt idx="17">
                  <c:v>   Ireland</c:v>
                </c:pt>
                <c:pt idx="18">
                  <c:v>   Israel</c:v>
                </c:pt>
                <c:pt idx="19">
                  <c:v>   Italy</c:v>
                </c:pt>
                <c:pt idx="20">
                  <c:v>   Japan</c:v>
                </c:pt>
                <c:pt idx="21">
                  <c:v>   Jordan</c:v>
                </c:pt>
                <c:pt idx="22">
                  <c:v>   Kuwait</c:v>
                </c:pt>
                <c:pt idx="23">
                  <c:v>   Lebanon</c:v>
                </c:pt>
                <c:pt idx="24">
                  <c:v>   Libya</c:v>
                </c:pt>
                <c:pt idx="25">
                  <c:v>   Malaysia</c:v>
                </c:pt>
                <c:pt idx="26">
                  <c:v>   Mexico</c:v>
                </c:pt>
                <c:pt idx="27">
                  <c:v>   Morocco</c:v>
                </c:pt>
                <c:pt idx="28">
                  <c:v>   Netherlands</c:v>
                </c:pt>
                <c:pt idx="29">
                  <c:v>   Oman</c:v>
                </c:pt>
                <c:pt idx="30">
                  <c:v>   Pakistan</c:v>
                </c:pt>
                <c:pt idx="31">
                  <c:v>   Palestine</c:v>
                </c:pt>
                <c:pt idx="32">
                  <c:v>   Philippines </c:v>
                </c:pt>
                <c:pt idx="33">
                  <c:v>   Poland</c:v>
                </c:pt>
                <c:pt idx="34">
                  <c:v>   Saudi Arabia</c:v>
                </c:pt>
                <c:pt idx="35">
                  <c:v>   Singapore </c:v>
                </c:pt>
                <c:pt idx="36">
                  <c:v>   South Africa</c:v>
                </c:pt>
                <c:pt idx="37">
                  <c:v>   South Korea</c:v>
                </c:pt>
                <c:pt idx="38">
                  <c:v>   Sudan</c:v>
                </c:pt>
                <c:pt idx="39">
                  <c:v>   Sweden</c:v>
                </c:pt>
                <c:pt idx="40">
                  <c:v>   Syria</c:v>
                </c:pt>
                <c:pt idx="41">
                  <c:v>   United Arab Emirates</c:v>
                </c:pt>
                <c:pt idx="42">
                  <c:v>   United Kingdom</c:v>
                </c:pt>
                <c:pt idx="43">
                  <c:v>   United States</c:v>
                </c:pt>
                <c:pt idx="44">
                  <c:v>   Uzbekistan </c:v>
                </c:pt>
                <c:pt idx="45">
                  <c:v>   Vietnam </c:v>
                </c:pt>
              </c:strCache>
            </c:strRef>
          </c:cat>
          <c:val>
            <c:numRef>
              <c:f>Graph2!$D$2:$D$47</c:f>
              <c:numCache>
                <c:formatCode>General</c:formatCode>
                <c:ptCount val="46"/>
                <c:pt idx="0">
                  <c:v>0.7</c:v>
                </c:pt>
                <c:pt idx="1">
                  <c:v>0.7</c:v>
                </c:pt>
                <c:pt idx="2">
                  <c:v>0</c:v>
                </c:pt>
                <c:pt idx="3">
                  <c:v>2.2000000000000002</c:v>
                </c:pt>
                <c:pt idx="4">
                  <c:v>0.4</c:v>
                </c:pt>
                <c:pt idx="5">
                  <c:v>0.7</c:v>
                </c:pt>
                <c:pt idx="6">
                  <c:v>0.7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1.1000000000000001</c:v>
                </c:pt>
                <c:pt idx="12">
                  <c:v>1.1000000000000001</c:v>
                </c:pt>
                <c:pt idx="13">
                  <c:v>0</c:v>
                </c:pt>
                <c:pt idx="14">
                  <c:v>0</c:v>
                </c:pt>
                <c:pt idx="15">
                  <c:v>0.4</c:v>
                </c:pt>
                <c:pt idx="16">
                  <c:v>0.7</c:v>
                </c:pt>
                <c:pt idx="17">
                  <c:v>3</c:v>
                </c:pt>
                <c:pt idx="18">
                  <c:v>0</c:v>
                </c:pt>
                <c:pt idx="19">
                  <c:v>2.6</c:v>
                </c:pt>
                <c:pt idx="20">
                  <c:v>0</c:v>
                </c:pt>
                <c:pt idx="21">
                  <c:v>0.4</c:v>
                </c:pt>
                <c:pt idx="22">
                  <c:v>2.6</c:v>
                </c:pt>
                <c:pt idx="23">
                  <c:v>2.2000000000000002</c:v>
                </c:pt>
                <c:pt idx="24">
                  <c:v>1.5</c:v>
                </c:pt>
                <c:pt idx="25">
                  <c:v>1.5</c:v>
                </c:pt>
                <c:pt idx="26">
                  <c:v>0</c:v>
                </c:pt>
                <c:pt idx="27">
                  <c:v>0</c:v>
                </c:pt>
                <c:pt idx="28">
                  <c:v>0.4</c:v>
                </c:pt>
                <c:pt idx="29">
                  <c:v>1.1000000000000001</c:v>
                </c:pt>
                <c:pt idx="30">
                  <c:v>0.7</c:v>
                </c:pt>
                <c:pt idx="31">
                  <c:v>0</c:v>
                </c:pt>
                <c:pt idx="32">
                  <c:v>0.7</c:v>
                </c:pt>
                <c:pt idx="33">
                  <c:v>0.4</c:v>
                </c:pt>
                <c:pt idx="34">
                  <c:v>1.9</c:v>
                </c:pt>
                <c:pt idx="35">
                  <c:v>0.4</c:v>
                </c:pt>
                <c:pt idx="36">
                  <c:v>7.5</c:v>
                </c:pt>
                <c:pt idx="37">
                  <c:v>0.4</c:v>
                </c:pt>
                <c:pt idx="38">
                  <c:v>1.1000000000000001</c:v>
                </c:pt>
                <c:pt idx="39">
                  <c:v>1.1000000000000001</c:v>
                </c:pt>
                <c:pt idx="40">
                  <c:v>0.4</c:v>
                </c:pt>
                <c:pt idx="41">
                  <c:v>1.5</c:v>
                </c:pt>
                <c:pt idx="42">
                  <c:v>1.5</c:v>
                </c:pt>
                <c:pt idx="43">
                  <c:v>1.9</c:v>
                </c:pt>
                <c:pt idx="44">
                  <c:v>0.4</c:v>
                </c:pt>
                <c:pt idx="4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BD07-4081-894A-ED61221ACE4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-1368362064"/>
        <c:axId val="-1368365328"/>
      </c:barChart>
      <c:catAx>
        <c:axId val="-1368362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368365328"/>
        <c:crosses val="autoZero"/>
        <c:auto val="1"/>
        <c:lblAlgn val="ctr"/>
        <c:lblOffset val="100"/>
        <c:noMultiLvlLbl val="0"/>
      </c:catAx>
      <c:valAx>
        <c:axId val="-13683653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368362064"/>
        <c:crosses val="autoZero"/>
        <c:crossBetween val="between"/>
        <c:majorUnit val="1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48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conference</dc:creator>
  <cp:keywords/>
  <dc:description/>
  <cp:lastModifiedBy>conference</cp:lastModifiedBy>
  <cp:revision>2</cp:revision>
  <dcterms:created xsi:type="dcterms:W3CDTF">2022-11-21T19:05:00Z</dcterms:created>
  <dcterms:modified xsi:type="dcterms:W3CDTF">2022-11-21T19:22:00Z</dcterms:modified>
</cp:coreProperties>
</file>