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67847" w14:textId="07B15555" w:rsidR="00077BD8" w:rsidRDefault="00077BD8" w:rsidP="00077BD8">
      <w:pPr>
        <w:jc w:val="center"/>
        <w:rPr>
          <w:b/>
          <w:bCs/>
          <w:sz w:val="28"/>
          <w:szCs w:val="28"/>
        </w:rPr>
      </w:pPr>
      <w:r w:rsidRPr="00077BD8">
        <w:rPr>
          <w:b/>
          <w:bCs/>
          <w:sz w:val="28"/>
          <w:szCs w:val="28"/>
        </w:rPr>
        <w:t>Supplemental Figures</w:t>
      </w:r>
    </w:p>
    <w:p w14:paraId="0528425B" w14:textId="77777777" w:rsidR="00DE7873" w:rsidRPr="00077BD8" w:rsidRDefault="00DE7873" w:rsidP="00077BD8">
      <w:pPr>
        <w:jc w:val="center"/>
        <w:rPr>
          <w:b/>
          <w:bCs/>
          <w:sz w:val="28"/>
          <w:szCs w:val="28"/>
        </w:rPr>
      </w:pPr>
    </w:p>
    <w:p w14:paraId="3057434C" w14:textId="027EAF0E" w:rsidR="00077BD8" w:rsidRDefault="00DE7873" w:rsidP="00085E3A">
      <w:pPr>
        <w:jc w:val="center"/>
        <w:rPr>
          <w:noProof/>
        </w:rPr>
      </w:pPr>
      <w:r>
        <w:rPr>
          <w:noProof/>
        </w:rPr>
        <w:drawing>
          <wp:inline distT="0" distB="0" distL="0" distR="0" wp14:anchorId="510E4C3B" wp14:editId="710DDF4B">
            <wp:extent cx="5461604" cy="5449330"/>
            <wp:effectExtent l="0" t="0" r="0" b="0"/>
            <wp:docPr id="16840615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61589" name="Picture 1684061589"/>
                    <pic:cNvPicPr/>
                  </pic:nvPicPr>
                  <pic:blipFill rotWithShape="1">
                    <a:blip r:embed="rId4">
                      <a:extLst>
                        <a:ext uri="{28A0092B-C50C-407E-A947-70E740481C1C}">
                          <a14:useLocalDpi xmlns:a14="http://schemas.microsoft.com/office/drawing/2010/main" val="0"/>
                        </a:ext>
                      </a:extLst>
                    </a:blip>
                    <a:srcRect t="1546" b="29380"/>
                    <a:stretch/>
                  </pic:blipFill>
                  <pic:spPr bwMode="auto">
                    <a:xfrm>
                      <a:off x="0" y="0"/>
                      <a:ext cx="5488862" cy="5476526"/>
                    </a:xfrm>
                    <a:prstGeom prst="rect">
                      <a:avLst/>
                    </a:prstGeom>
                    <a:ln>
                      <a:noFill/>
                    </a:ln>
                    <a:extLst>
                      <a:ext uri="{53640926-AAD7-44D8-BBD7-CCE9431645EC}">
                        <a14:shadowObscured xmlns:a14="http://schemas.microsoft.com/office/drawing/2010/main"/>
                      </a:ext>
                    </a:extLst>
                  </pic:spPr>
                </pic:pic>
              </a:graphicData>
            </a:graphic>
          </wp:inline>
        </w:drawing>
      </w:r>
    </w:p>
    <w:p w14:paraId="3011FC1F" w14:textId="77777777" w:rsidR="00DE7873" w:rsidRDefault="00DE7873" w:rsidP="00077BD8"/>
    <w:p w14:paraId="09AD4A9C" w14:textId="2C508141" w:rsidR="009E42C3" w:rsidRPr="009E42C3" w:rsidRDefault="009E42C3" w:rsidP="009E42C3">
      <w:pPr>
        <w:rPr>
          <w:lang w:val="en-QA"/>
        </w:rPr>
      </w:pPr>
      <w:r w:rsidRPr="009E42C3">
        <w:rPr>
          <w:b/>
          <w:bCs/>
        </w:rPr>
        <w:t>Fig</w:t>
      </w:r>
      <w:r w:rsidR="00FC16E3">
        <w:rPr>
          <w:b/>
          <w:bCs/>
        </w:rPr>
        <w:t>.</w:t>
      </w:r>
      <w:r w:rsidRPr="009E42C3">
        <w:rPr>
          <w:b/>
          <w:bCs/>
        </w:rPr>
        <w:t xml:space="preserve"> S1: Per-individual</w:t>
      </w:r>
      <w:r w:rsidRPr="009E42C3">
        <w:t xml:space="preserve"> </w:t>
      </w:r>
      <w:r w:rsidRPr="009E42C3">
        <w:rPr>
          <w:b/>
          <w:bCs/>
        </w:rPr>
        <w:t>count of</w:t>
      </w:r>
      <w:r w:rsidRPr="009E42C3">
        <w:t xml:space="preserve"> </w:t>
      </w:r>
      <w:r w:rsidRPr="009E42C3">
        <w:rPr>
          <w:b/>
          <w:bCs/>
        </w:rPr>
        <w:t>pathogenic (P/LP) variants in the QGP subpopulations</w:t>
      </w:r>
      <w:r w:rsidRPr="009E42C3">
        <w:t xml:space="preserve"> </w:t>
      </w:r>
    </w:p>
    <w:p w14:paraId="270F1559" w14:textId="6E262573" w:rsidR="00077BD8" w:rsidRPr="009E42C3" w:rsidRDefault="009E42C3" w:rsidP="009E42C3">
      <w:pPr>
        <w:rPr>
          <w:lang w:val="en-QA"/>
        </w:rPr>
        <w:sectPr w:rsidR="00077BD8" w:rsidRPr="009E42C3" w:rsidSect="00C01ECF">
          <w:pgSz w:w="11900" w:h="16840"/>
          <w:pgMar w:top="720" w:right="720" w:bottom="816" w:left="720" w:header="709" w:footer="709" w:gutter="0"/>
          <w:cols w:space="708"/>
          <w:docGrid w:linePitch="360"/>
        </w:sectPr>
      </w:pPr>
      <w:r w:rsidRPr="009E42C3">
        <w:t>P/LP variants per individual shown for each QGP subpopulation.</w:t>
      </w:r>
    </w:p>
    <w:p w14:paraId="6E585E62" w14:textId="6F2DB520" w:rsidR="00B45EF1" w:rsidRDefault="00B45EF1" w:rsidP="00077BD8">
      <w:pPr>
        <w:jc w:val="center"/>
      </w:pPr>
    </w:p>
    <w:p w14:paraId="6ABAC99D" w14:textId="11DDF589" w:rsidR="00CF0815" w:rsidRDefault="00CF0815" w:rsidP="00077BD8">
      <w:pPr>
        <w:jc w:val="center"/>
      </w:pPr>
    </w:p>
    <w:p w14:paraId="451EAACB" w14:textId="4E1003E5" w:rsidR="00077BD8" w:rsidRDefault="00EF2012" w:rsidP="00077BD8">
      <w:pPr>
        <w:jc w:val="center"/>
      </w:pPr>
      <w:r>
        <w:rPr>
          <w:noProof/>
        </w:rPr>
        <w:drawing>
          <wp:inline distT="0" distB="0" distL="0" distR="0" wp14:anchorId="577259EE" wp14:editId="56440672">
            <wp:extent cx="7259594" cy="5025836"/>
            <wp:effectExtent l="0" t="0" r="5080" b="3810"/>
            <wp:docPr id="1079223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223818" name="Picture 1079223818"/>
                    <pic:cNvPicPr/>
                  </pic:nvPicPr>
                  <pic:blipFill>
                    <a:blip r:embed="rId5">
                      <a:extLst>
                        <a:ext uri="{28A0092B-C50C-407E-A947-70E740481C1C}">
                          <a14:useLocalDpi xmlns:a14="http://schemas.microsoft.com/office/drawing/2010/main" val="0"/>
                        </a:ext>
                      </a:extLst>
                    </a:blip>
                    <a:stretch>
                      <a:fillRect/>
                    </a:stretch>
                  </pic:blipFill>
                  <pic:spPr>
                    <a:xfrm>
                      <a:off x="0" y="0"/>
                      <a:ext cx="7353479" cy="5090833"/>
                    </a:xfrm>
                    <a:prstGeom prst="rect">
                      <a:avLst/>
                    </a:prstGeom>
                  </pic:spPr>
                </pic:pic>
              </a:graphicData>
            </a:graphic>
          </wp:inline>
        </w:drawing>
      </w:r>
    </w:p>
    <w:p w14:paraId="286BDCE7" w14:textId="77777777" w:rsidR="005223C8" w:rsidRDefault="005223C8" w:rsidP="0037297C">
      <w:pPr>
        <w:rPr>
          <w:b/>
          <w:bCs/>
        </w:rPr>
      </w:pPr>
    </w:p>
    <w:p w14:paraId="4707CF91" w14:textId="277B7534" w:rsidR="0037297C" w:rsidRPr="00696EB6" w:rsidRDefault="009E42C3" w:rsidP="0037297C">
      <w:pPr>
        <w:rPr>
          <w:sz w:val="28"/>
          <w:szCs w:val="28"/>
          <w:lang w:val="en-QA"/>
        </w:rPr>
      </w:pPr>
      <w:r>
        <w:rPr>
          <w:b/>
          <w:bCs/>
          <w:sz w:val="28"/>
          <w:szCs w:val="28"/>
        </w:rPr>
        <w:t>Fig</w:t>
      </w:r>
      <w:r w:rsidR="00FC16E3">
        <w:rPr>
          <w:b/>
          <w:bCs/>
          <w:sz w:val="28"/>
          <w:szCs w:val="28"/>
        </w:rPr>
        <w:t>.</w:t>
      </w:r>
      <w:r w:rsidR="0037297C" w:rsidRPr="00696EB6">
        <w:rPr>
          <w:b/>
          <w:bCs/>
          <w:sz w:val="28"/>
          <w:szCs w:val="28"/>
        </w:rPr>
        <w:t xml:space="preserve"> S2</w:t>
      </w:r>
      <w:r w:rsidR="0037297C" w:rsidRPr="00696EB6">
        <w:rPr>
          <w:sz w:val="28"/>
          <w:szCs w:val="28"/>
        </w:rPr>
        <w:t xml:space="preserve">: </w:t>
      </w:r>
      <w:r w:rsidR="0037297C" w:rsidRPr="00696EB6">
        <w:rPr>
          <w:b/>
          <w:bCs/>
          <w:sz w:val="28"/>
          <w:szCs w:val="28"/>
        </w:rPr>
        <w:t xml:space="preserve">Distribution of </w:t>
      </w:r>
      <w:proofErr w:type="spellStart"/>
      <w:r w:rsidR="0037297C" w:rsidRPr="00696EB6">
        <w:rPr>
          <w:b/>
          <w:bCs/>
          <w:sz w:val="28"/>
          <w:szCs w:val="28"/>
        </w:rPr>
        <w:t>LoF</w:t>
      </w:r>
      <w:proofErr w:type="spellEnd"/>
      <w:r w:rsidR="0037297C" w:rsidRPr="00696EB6">
        <w:rPr>
          <w:b/>
          <w:bCs/>
          <w:sz w:val="28"/>
          <w:szCs w:val="28"/>
        </w:rPr>
        <w:t xml:space="preserve"> variants in the Qatari cohort</w:t>
      </w:r>
    </w:p>
    <w:p w14:paraId="321BE5CD" w14:textId="0E159E5A" w:rsidR="00EF2012" w:rsidRPr="00696EB6" w:rsidRDefault="0037297C" w:rsidP="00EF2012">
      <w:pPr>
        <w:rPr>
          <w:sz w:val="28"/>
          <w:szCs w:val="28"/>
          <w:lang w:val="en-QA"/>
        </w:rPr>
        <w:sectPr w:rsidR="00EF2012" w:rsidRPr="00696EB6" w:rsidSect="00C01ECF">
          <w:pgSz w:w="16840" w:h="11900" w:orient="landscape"/>
          <w:pgMar w:top="720" w:right="720" w:bottom="720" w:left="720" w:header="708" w:footer="708" w:gutter="0"/>
          <w:cols w:space="708"/>
          <w:docGrid w:linePitch="360"/>
        </w:sectPr>
      </w:pPr>
      <w:r w:rsidRPr="00696EB6">
        <w:rPr>
          <w:sz w:val="28"/>
          <w:szCs w:val="28"/>
        </w:rPr>
        <w:t xml:space="preserve">To the left is the distribution of rare </w:t>
      </w:r>
      <w:proofErr w:type="spellStart"/>
      <w:r w:rsidRPr="00696EB6">
        <w:rPr>
          <w:sz w:val="28"/>
          <w:szCs w:val="28"/>
        </w:rPr>
        <w:t>LoF</w:t>
      </w:r>
      <w:proofErr w:type="spellEnd"/>
      <w:r w:rsidRPr="00696EB6">
        <w:rPr>
          <w:sz w:val="28"/>
          <w:szCs w:val="28"/>
        </w:rPr>
        <w:t xml:space="preserve"> </w:t>
      </w:r>
      <w:proofErr w:type="spellStart"/>
      <w:r w:rsidRPr="00696EB6">
        <w:rPr>
          <w:sz w:val="28"/>
          <w:szCs w:val="28"/>
        </w:rPr>
        <w:t>vriants</w:t>
      </w:r>
      <w:proofErr w:type="spellEnd"/>
      <w:r w:rsidRPr="00696EB6">
        <w:rPr>
          <w:sz w:val="28"/>
          <w:szCs w:val="28"/>
        </w:rPr>
        <w:t xml:space="preserve"> in the QGP subpopulations, both, in genome wide and Mendelian panel genes, while to the right is the distribution of rare homozygous </w:t>
      </w:r>
      <w:proofErr w:type="spellStart"/>
      <w:r w:rsidRPr="00696EB6">
        <w:rPr>
          <w:sz w:val="28"/>
          <w:szCs w:val="28"/>
        </w:rPr>
        <w:t>LoF</w:t>
      </w:r>
      <w:proofErr w:type="spellEnd"/>
      <w:r w:rsidRPr="00696EB6">
        <w:rPr>
          <w:sz w:val="28"/>
          <w:szCs w:val="28"/>
        </w:rPr>
        <w:t xml:space="preserve"> variants in the QGP subpopulations, both, in the whole genome and Mendelian panel genes.</w:t>
      </w:r>
    </w:p>
    <w:p w14:paraId="334A9CEE" w14:textId="6224BCEE" w:rsidR="00077BD8" w:rsidRDefault="00EF2012" w:rsidP="00085E3A">
      <w:pPr>
        <w:jc w:val="center"/>
      </w:pPr>
      <w:r>
        <w:rPr>
          <w:noProof/>
        </w:rPr>
        <w:lastRenderedPageBreak/>
        <w:drawing>
          <wp:inline distT="0" distB="0" distL="0" distR="0" wp14:anchorId="3670DDDD" wp14:editId="1B2843E5">
            <wp:extent cx="8902690" cy="4040659"/>
            <wp:effectExtent l="0" t="0" r="635" b="0"/>
            <wp:docPr id="22843950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439504" name="Picture 228439504"/>
                    <pic:cNvPicPr/>
                  </pic:nvPicPr>
                  <pic:blipFill rotWithShape="1">
                    <a:blip r:embed="rId6">
                      <a:extLst>
                        <a:ext uri="{28A0092B-C50C-407E-A947-70E740481C1C}">
                          <a14:useLocalDpi xmlns:a14="http://schemas.microsoft.com/office/drawing/2010/main" val="0"/>
                        </a:ext>
                      </a:extLst>
                    </a:blip>
                    <a:srcRect b="34441"/>
                    <a:stretch/>
                  </pic:blipFill>
                  <pic:spPr bwMode="auto">
                    <a:xfrm>
                      <a:off x="0" y="0"/>
                      <a:ext cx="8918241" cy="4047717"/>
                    </a:xfrm>
                    <a:prstGeom prst="rect">
                      <a:avLst/>
                    </a:prstGeom>
                    <a:ln>
                      <a:noFill/>
                    </a:ln>
                    <a:extLst>
                      <a:ext uri="{53640926-AAD7-44D8-BBD7-CCE9431645EC}">
                        <a14:shadowObscured xmlns:a14="http://schemas.microsoft.com/office/drawing/2010/main"/>
                      </a:ext>
                    </a:extLst>
                  </pic:spPr>
                </pic:pic>
              </a:graphicData>
            </a:graphic>
          </wp:inline>
        </w:drawing>
      </w:r>
    </w:p>
    <w:p w14:paraId="15ACBC01" w14:textId="36A7BF88" w:rsidR="00077BD8" w:rsidRPr="00873FCD" w:rsidRDefault="00077BD8" w:rsidP="00873FCD"/>
    <w:p w14:paraId="588F865E" w14:textId="4D2C4BFA" w:rsidR="00FC16E3" w:rsidRPr="00FC16E3" w:rsidRDefault="00FC16E3" w:rsidP="00FC16E3">
      <w:pPr>
        <w:rPr>
          <w:lang w:val="en-QA"/>
        </w:rPr>
      </w:pPr>
      <w:r w:rsidRPr="00FC16E3">
        <w:rPr>
          <w:b/>
          <w:bCs/>
        </w:rPr>
        <w:t>Fig</w:t>
      </w:r>
      <w:r>
        <w:rPr>
          <w:b/>
          <w:bCs/>
        </w:rPr>
        <w:t>.</w:t>
      </w:r>
      <w:r w:rsidRPr="00FC16E3">
        <w:rPr>
          <w:b/>
          <w:bCs/>
        </w:rPr>
        <w:t xml:space="preserve"> S3. (a) </w:t>
      </w:r>
      <w:r w:rsidRPr="00FC16E3">
        <w:t>Distribution of triglyceride amongst carriers of rs80338940</w:t>
      </w:r>
      <w:r w:rsidRPr="00FC16E3">
        <w:rPr>
          <w:lang w:val="en-GB"/>
        </w:rPr>
        <w:t xml:space="preserve"> (</w:t>
      </w:r>
      <w:r w:rsidRPr="00FC16E3">
        <w:rPr>
          <w:i/>
          <w:iCs/>
        </w:rPr>
        <w:t>APOC3</w:t>
      </w:r>
      <w:r w:rsidRPr="00FC16E3">
        <w:t xml:space="preserve">) and </w:t>
      </w:r>
      <w:r w:rsidRPr="00FC16E3">
        <w:rPr>
          <w:b/>
          <w:bCs/>
        </w:rPr>
        <w:t>(b)</w:t>
      </w:r>
      <w:r w:rsidRPr="00FC16E3">
        <w:t xml:space="preserve"> distribution of homocysteine amongst carriers of rs398123151</w:t>
      </w:r>
      <w:r w:rsidRPr="00FC16E3">
        <w:rPr>
          <w:lang w:val="en-GB"/>
        </w:rPr>
        <w:t xml:space="preserve"> (</w:t>
      </w:r>
      <w:r w:rsidRPr="00FC16E3">
        <w:rPr>
          <w:i/>
          <w:iCs/>
          <w:lang w:val="en-GB"/>
        </w:rPr>
        <w:t>CBS</w:t>
      </w:r>
      <w:r w:rsidRPr="00FC16E3">
        <w:rPr>
          <w:lang w:val="en-GB"/>
        </w:rPr>
        <w:t>)</w:t>
      </w:r>
    </w:p>
    <w:p w14:paraId="3B93CB0A" w14:textId="23E32E28" w:rsidR="00101174" w:rsidRDefault="00101174" w:rsidP="00077BD8">
      <w:pPr>
        <w:sectPr w:rsidR="00101174" w:rsidSect="00C01ECF">
          <w:pgSz w:w="16840" w:h="11900" w:orient="landscape"/>
          <w:pgMar w:top="720" w:right="720" w:bottom="720" w:left="720" w:header="708" w:footer="708" w:gutter="0"/>
          <w:cols w:space="708"/>
          <w:docGrid w:linePitch="360"/>
        </w:sectPr>
      </w:pPr>
    </w:p>
    <w:p w14:paraId="6AB015C2" w14:textId="29E3B33A" w:rsidR="00101174" w:rsidRDefault="00101174" w:rsidP="00101174"/>
    <w:p w14:paraId="2E879F2D" w14:textId="28EAEEBF" w:rsidR="00101174" w:rsidRDefault="002615C8" w:rsidP="00085E3A">
      <w:pPr>
        <w:jc w:val="center"/>
      </w:pPr>
      <w:r>
        <w:rPr>
          <w:noProof/>
        </w:rPr>
        <w:drawing>
          <wp:inline distT="0" distB="0" distL="0" distR="0" wp14:anchorId="57D5E2F0" wp14:editId="5612E395">
            <wp:extent cx="5486340" cy="5128054"/>
            <wp:effectExtent l="0" t="0" r="635" b="3175"/>
            <wp:docPr id="3589634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63474" name="Picture 358963474"/>
                    <pic:cNvPicPr/>
                  </pic:nvPicPr>
                  <pic:blipFill rotWithShape="1">
                    <a:blip r:embed="rId7">
                      <a:extLst>
                        <a:ext uri="{28A0092B-C50C-407E-A947-70E740481C1C}">
                          <a14:useLocalDpi xmlns:a14="http://schemas.microsoft.com/office/drawing/2010/main" val="0"/>
                        </a:ext>
                      </a:extLst>
                    </a:blip>
                    <a:srcRect t="7405" b="27886"/>
                    <a:stretch/>
                  </pic:blipFill>
                  <pic:spPr bwMode="auto">
                    <a:xfrm>
                      <a:off x="0" y="0"/>
                      <a:ext cx="5505523" cy="5145984"/>
                    </a:xfrm>
                    <a:prstGeom prst="rect">
                      <a:avLst/>
                    </a:prstGeom>
                    <a:ln>
                      <a:noFill/>
                    </a:ln>
                    <a:extLst>
                      <a:ext uri="{53640926-AAD7-44D8-BBD7-CCE9431645EC}">
                        <a14:shadowObscured xmlns:a14="http://schemas.microsoft.com/office/drawing/2010/main"/>
                      </a:ext>
                    </a:extLst>
                  </pic:spPr>
                </pic:pic>
              </a:graphicData>
            </a:graphic>
          </wp:inline>
        </w:drawing>
      </w:r>
    </w:p>
    <w:p w14:paraId="4FFF5F02" w14:textId="77777777" w:rsidR="00101174" w:rsidRDefault="00101174" w:rsidP="00101174"/>
    <w:p w14:paraId="2143E890" w14:textId="17088521" w:rsidR="00C567C3" w:rsidRPr="00C567C3" w:rsidRDefault="00C567C3" w:rsidP="00C567C3">
      <w:pPr>
        <w:rPr>
          <w:lang w:val="en-QA"/>
        </w:rPr>
      </w:pPr>
      <w:r w:rsidRPr="00C567C3">
        <w:rPr>
          <w:b/>
          <w:bCs/>
        </w:rPr>
        <w:t>Fig</w:t>
      </w:r>
      <w:r>
        <w:rPr>
          <w:b/>
          <w:bCs/>
        </w:rPr>
        <w:t>.</w:t>
      </w:r>
      <w:r w:rsidRPr="00C567C3">
        <w:rPr>
          <w:b/>
          <w:bCs/>
        </w:rPr>
        <w:t xml:space="preserve"> S4: Parent consanguinity among Qatar Biobank participants</w:t>
      </w:r>
    </w:p>
    <w:p w14:paraId="5E90F6D5" w14:textId="2ABC577D" w:rsidR="00101174" w:rsidRPr="00C567C3" w:rsidRDefault="00C567C3" w:rsidP="00C567C3">
      <w:pPr>
        <w:rPr>
          <w:lang w:val="en-QA"/>
        </w:rPr>
        <w:sectPr w:rsidR="00101174" w:rsidRPr="00C567C3" w:rsidSect="00C01ECF">
          <w:pgSz w:w="11900" w:h="16840"/>
          <w:pgMar w:top="720" w:right="720" w:bottom="720" w:left="720" w:header="708" w:footer="708" w:gutter="0"/>
          <w:cols w:space="708"/>
          <w:docGrid w:linePitch="360"/>
        </w:sectPr>
      </w:pPr>
      <w:r w:rsidRPr="00C567C3">
        <w:t>Self-reported parent consanguinity among 6,045 participants from the Qatar biobank used in the current study.</w:t>
      </w:r>
    </w:p>
    <w:p w14:paraId="68EC86E1" w14:textId="77777777" w:rsidR="00077BD8" w:rsidRDefault="00077BD8" w:rsidP="00077BD8">
      <w:pPr>
        <w:jc w:val="center"/>
      </w:pPr>
    </w:p>
    <w:p w14:paraId="5BB3F427" w14:textId="0E8127F6" w:rsidR="00B01BC9" w:rsidRDefault="00682E69" w:rsidP="00682E69">
      <w:pPr>
        <w:jc w:val="center"/>
      </w:pPr>
      <w:r>
        <w:rPr>
          <w:noProof/>
        </w:rPr>
        <w:drawing>
          <wp:inline distT="0" distB="0" distL="0" distR="0" wp14:anchorId="6DB2047D" wp14:editId="01F84225">
            <wp:extent cx="6548120" cy="4898614"/>
            <wp:effectExtent l="0" t="0" r="5080" b="3810"/>
            <wp:docPr id="1674009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0918" name="Picture 167400918"/>
                    <pic:cNvPicPr/>
                  </pic:nvPicPr>
                  <pic:blipFill rotWithShape="1">
                    <a:blip r:embed="rId8">
                      <a:extLst>
                        <a:ext uri="{28A0092B-C50C-407E-A947-70E740481C1C}">
                          <a14:useLocalDpi xmlns:a14="http://schemas.microsoft.com/office/drawing/2010/main" val="0"/>
                        </a:ext>
                      </a:extLst>
                    </a:blip>
                    <a:srcRect l="12022" t="942" r="11216" b="16110"/>
                    <a:stretch/>
                  </pic:blipFill>
                  <pic:spPr bwMode="auto">
                    <a:xfrm>
                      <a:off x="0" y="0"/>
                      <a:ext cx="6562253" cy="4909187"/>
                    </a:xfrm>
                    <a:prstGeom prst="rect">
                      <a:avLst/>
                    </a:prstGeom>
                    <a:ln>
                      <a:noFill/>
                    </a:ln>
                    <a:extLst>
                      <a:ext uri="{53640926-AAD7-44D8-BBD7-CCE9431645EC}">
                        <a14:shadowObscured xmlns:a14="http://schemas.microsoft.com/office/drawing/2010/main"/>
                      </a:ext>
                    </a:extLst>
                  </pic:spPr>
                </pic:pic>
              </a:graphicData>
            </a:graphic>
          </wp:inline>
        </w:drawing>
      </w:r>
    </w:p>
    <w:p w14:paraId="5F4D45D0" w14:textId="4C1A2BB3" w:rsidR="00572C04" w:rsidRPr="00572C04" w:rsidRDefault="00572C04" w:rsidP="00572C04">
      <w:pPr>
        <w:rPr>
          <w:lang w:val="en-QA"/>
        </w:rPr>
      </w:pPr>
      <w:r w:rsidRPr="00572C04">
        <w:rPr>
          <w:b/>
          <w:bCs/>
        </w:rPr>
        <w:t>Fig</w:t>
      </w:r>
      <w:r>
        <w:rPr>
          <w:b/>
          <w:bCs/>
        </w:rPr>
        <w:t>.</w:t>
      </w:r>
      <w:r w:rsidRPr="00572C04">
        <w:rPr>
          <w:b/>
          <w:bCs/>
        </w:rPr>
        <w:t xml:space="preserve"> S5: Highlighted significant hits from rare-variant burden analysis in the biobank cohort</w:t>
      </w:r>
    </w:p>
    <w:p w14:paraId="498A4FAD" w14:textId="19844C21" w:rsidR="00572C04" w:rsidRPr="00572C04" w:rsidRDefault="00572C04" w:rsidP="00572C04">
      <w:pPr>
        <w:rPr>
          <w:lang w:val="en-QA"/>
        </w:rPr>
      </w:pPr>
      <w:r w:rsidRPr="00572C04">
        <w:t>Rare-variant burden analysis was done using 6,045 Qatari genomes and 58 quantitative phenotypes from the Qatar Biobank. REF, HET, and HOM, refers to reference, heterozygote, and homozygote genotypes, respectively. Number of carriers for each of the genotypes is shown on top of each boxplot.</w:t>
      </w:r>
    </w:p>
    <w:sectPr w:rsidR="00572C04" w:rsidRPr="00572C04" w:rsidSect="00C01ECF">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815"/>
    <w:rsid w:val="00077BD8"/>
    <w:rsid w:val="00081FB9"/>
    <w:rsid w:val="00085E3A"/>
    <w:rsid w:val="000B3B32"/>
    <w:rsid w:val="000C29CC"/>
    <w:rsid w:val="00101174"/>
    <w:rsid w:val="0012794F"/>
    <w:rsid w:val="0014120F"/>
    <w:rsid w:val="00147CA3"/>
    <w:rsid w:val="00162FCE"/>
    <w:rsid w:val="00177316"/>
    <w:rsid w:val="00207282"/>
    <w:rsid w:val="002324D1"/>
    <w:rsid w:val="002408FE"/>
    <w:rsid w:val="002615C8"/>
    <w:rsid w:val="00294B41"/>
    <w:rsid w:val="002A2B2E"/>
    <w:rsid w:val="002C5455"/>
    <w:rsid w:val="002F3975"/>
    <w:rsid w:val="00313AB2"/>
    <w:rsid w:val="003173B3"/>
    <w:rsid w:val="0037297C"/>
    <w:rsid w:val="00372B98"/>
    <w:rsid w:val="0039492F"/>
    <w:rsid w:val="003B1D86"/>
    <w:rsid w:val="003D4493"/>
    <w:rsid w:val="003D7DF0"/>
    <w:rsid w:val="003E11B9"/>
    <w:rsid w:val="003E1B57"/>
    <w:rsid w:val="00400F85"/>
    <w:rsid w:val="0045601A"/>
    <w:rsid w:val="00474B08"/>
    <w:rsid w:val="00475ED2"/>
    <w:rsid w:val="004D0450"/>
    <w:rsid w:val="004E4B29"/>
    <w:rsid w:val="005223C8"/>
    <w:rsid w:val="00544187"/>
    <w:rsid w:val="005626A2"/>
    <w:rsid w:val="00572C04"/>
    <w:rsid w:val="00576CF1"/>
    <w:rsid w:val="00592B2A"/>
    <w:rsid w:val="005A4F2C"/>
    <w:rsid w:val="005B6785"/>
    <w:rsid w:val="00600389"/>
    <w:rsid w:val="006130DA"/>
    <w:rsid w:val="00656617"/>
    <w:rsid w:val="0065661B"/>
    <w:rsid w:val="006779EB"/>
    <w:rsid w:val="00682E69"/>
    <w:rsid w:val="006861E6"/>
    <w:rsid w:val="00696EB6"/>
    <w:rsid w:val="006B3ABB"/>
    <w:rsid w:val="006E20E1"/>
    <w:rsid w:val="006F587B"/>
    <w:rsid w:val="00717058"/>
    <w:rsid w:val="0079200D"/>
    <w:rsid w:val="007B6FB8"/>
    <w:rsid w:val="007D3330"/>
    <w:rsid w:val="007F13EF"/>
    <w:rsid w:val="0080300B"/>
    <w:rsid w:val="00840166"/>
    <w:rsid w:val="008465C9"/>
    <w:rsid w:val="00851944"/>
    <w:rsid w:val="00871824"/>
    <w:rsid w:val="00873FCD"/>
    <w:rsid w:val="008802BD"/>
    <w:rsid w:val="008A587E"/>
    <w:rsid w:val="008C14EC"/>
    <w:rsid w:val="00903D8D"/>
    <w:rsid w:val="00907413"/>
    <w:rsid w:val="00912478"/>
    <w:rsid w:val="00912A95"/>
    <w:rsid w:val="0094270F"/>
    <w:rsid w:val="00945AFD"/>
    <w:rsid w:val="00985F43"/>
    <w:rsid w:val="009D2ED3"/>
    <w:rsid w:val="009E42C3"/>
    <w:rsid w:val="00A00B46"/>
    <w:rsid w:val="00A109FD"/>
    <w:rsid w:val="00A1647C"/>
    <w:rsid w:val="00A250B0"/>
    <w:rsid w:val="00A258C5"/>
    <w:rsid w:val="00A42EC1"/>
    <w:rsid w:val="00A720AF"/>
    <w:rsid w:val="00A96C1C"/>
    <w:rsid w:val="00AC7A58"/>
    <w:rsid w:val="00AE0F0F"/>
    <w:rsid w:val="00AE2CDA"/>
    <w:rsid w:val="00AF414C"/>
    <w:rsid w:val="00B01BC9"/>
    <w:rsid w:val="00B14E83"/>
    <w:rsid w:val="00B45EF1"/>
    <w:rsid w:val="00B5713A"/>
    <w:rsid w:val="00BB2CB2"/>
    <w:rsid w:val="00BB7413"/>
    <w:rsid w:val="00C01ECF"/>
    <w:rsid w:val="00C166A6"/>
    <w:rsid w:val="00C4415F"/>
    <w:rsid w:val="00C54FFE"/>
    <w:rsid w:val="00C567C3"/>
    <w:rsid w:val="00C630D0"/>
    <w:rsid w:val="00C82C1B"/>
    <w:rsid w:val="00C87ED3"/>
    <w:rsid w:val="00CC1866"/>
    <w:rsid w:val="00CC6761"/>
    <w:rsid w:val="00CF0815"/>
    <w:rsid w:val="00D13C58"/>
    <w:rsid w:val="00D25C65"/>
    <w:rsid w:val="00D27640"/>
    <w:rsid w:val="00D50D91"/>
    <w:rsid w:val="00D74FE3"/>
    <w:rsid w:val="00D815AF"/>
    <w:rsid w:val="00DE7873"/>
    <w:rsid w:val="00E179E8"/>
    <w:rsid w:val="00E25EAC"/>
    <w:rsid w:val="00E41077"/>
    <w:rsid w:val="00E43473"/>
    <w:rsid w:val="00EB5F29"/>
    <w:rsid w:val="00EB7ED8"/>
    <w:rsid w:val="00EF2012"/>
    <w:rsid w:val="00EF27B1"/>
    <w:rsid w:val="00F11012"/>
    <w:rsid w:val="00F22E2D"/>
    <w:rsid w:val="00F22FBF"/>
    <w:rsid w:val="00F428E6"/>
    <w:rsid w:val="00F431B2"/>
    <w:rsid w:val="00F455C8"/>
    <w:rsid w:val="00F77079"/>
    <w:rsid w:val="00F84C14"/>
    <w:rsid w:val="00F851C9"/>
    <w:rsid w:val="00F93272"/>
    <w:rsid w:val="00FC16E3"/>
    <w:rsid w:val="00FD0E0E"/>
    <w:rsid w:val="00FF620D"/>
    <w:rsid w:val="00FF6E62"/>
  </w:rsids>
  <m:mathPr>
    <m:mathFont m:val="Cambria Math"/>
    <m:brkBin m:val="before"/>
    <m:brkBinSub m:val="--"/>
    <m:smallFrac m:val="0"/>
    <m:dispDef/>
    <m:lMargin m:val="0"/>
    <m:rMargin m:val="0"/>
    <m:defJc m:val="centerGroup"/>
    <m:wrapIndent m:val="1440"/>
    <m:intLim m:val="subSup"/>
    <m:naryLim m:val="undOvr"/>
  </m:mathPr>
  <w:themeFontLang w:val="en-Q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1C700"/>
  <w15:chartTrackingRefBased/>
  <w15:docId w15:val="{9AF707FF-02BF-7A42-A92F-1F9A0270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Q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140381">
      <w:bodyDiv w:val="1"/>
      <w:marLeft w:val="0"/>
      <w:marRight w:val="0"/>
      <w:marTop w:val="0"/>
      <w:marBottom w:val="0"/>
      <w:divBdr>
        <w:top w:val="none" w:sz="0" w:space="0" w:color="auto"/>
        <w:left w:val="none" w:sz="0" w:space="0" w:color="auto"/>
        <w:bottom w:val="none" w:sz="0" w:space="0" w:color="auto"/>
        <w:right w:val="none" w:sz="0" w:space="0" w:color="auto"/>
      </w:divBdr>
    </w:div>
    <w:div w:id="585310498">
      <w:bodyDiv w:val="1"/>
      <w:marLeft w:val="0"/>
      <w:marRight w:val="0"/>
      <w:marTop w:val="0"/>
      <w:marBottom w:val="0"/>
      <w:divBdr>
        <w:top w:val="none" w:sz="0" w:space="0" w:color="auto"/>
        <w:left w:val="none" w:sz="0" w:space="0" w:color="auto"/>
        <w:bottom w:val="none" w:sz="0" w:space="0" w:color="auto"/>
        <w:right w:val="none" w:sz="0" w:space="0" w:color="auto"/>
      </w:divBdr>
    </w:div>
    <w:div w:id="661812075">
      <w:bodyDiv w:val="1"/>
      <w:marLeft w:val="0"/>
      <w:marRight w:val="0"/>
      <w:marTop w:val="0"/>
      <w:marBottom w:val="0"/>
      <w:divBdr>
        <w:top w:val="none" w:sz="0" w:space="0" w:color="auto"/>
        <w:left w:val="none" w:sz="0" w:space="0" w:color="auto"/>
        <w:bottom w:val="none" w:sz="0" w:space="0" w:color="auto"/>
        <w:right w:val="none" w:sz="0" w:space="0" w:color="auto"/>
      </w:divBdr>
    </w:div>
    <w:div w:id="769931952">
      <w:bodyDiv w:val="1"/>
      <w:marLeft w:val="0"/>
      <w:marRight w:val="0"/>
      <w:marTop w:val="0"/>
      <w:marBottom w:val="0"/>
      <w:divBdr>
        <w:top w:val="none" w:sz="0" w:space="0" w:color="auto"/>
        <w:left w:val="none" w:sz="0" w:space="0" w:color="auto"/>
        <w:bottom w:val="none" w:sz="0" w:space="0" w:color="auto"/>
        <w:right w:val="none" w:sz="0" w:space="0" w:color="auto"/>
      </w:divBdr>
    </w:div>
    <w:div w:id="1489593650">
      <w:bodyDiv w:val="1"/>
      <w:marLeft w:val="0"/>
      <w:marRight w:val="0"/>
      <w:marTop w:val="0"/>
      <w:marBottom w:val="0"/>
      <w:divBdr>
        <w:top w:val="none" w:sz="0" w:space="0" w:color="auto"/>
        <w:left w:val="none" w:sz="0" w:space="0" w:color="auto"/>
        <w:bottom w:val="none" w:sz="0" w:space="0" w:color="auto"/>
        <w:right w:val="none" w:sz="0" w:space="0" w:color="auto"/>
      </w:divBdr>
    </w:div>
    <w:div w:id="1624537633">
      <w:bodyDiv w:val="1"/>
      <w:marLeft w:val="0"/>
      <w:marRight w:val="0"/>
      <w:marTop w:val="0"/>
      <w:marBottom w:val="0"/>
      <w:divBdr>
        <w:top w:val="none" w:sz="0" w:space="0" w:color="auto"/>
        <w:left w:val="none" w:sz="0" w:space="0" w:color="auto"/>
        <w:bottom w:val="none" w:sz="0" w:space="0" w:color="auto"/>
        <w:right w:val="none" w:sz="0" w:space="0" w:color="auto"/>
      </w:divBdr>
    </w:div>
    <w:div w:id="1979996578">
      <w:bodyDiv w:val="1"/>
      <w:marLeft w:val="0"/>
      <w:marRight w:val="0"/>
      <w:marTop w:val="0"/>
      <w:marBottom w:val="0"/>
      <w:divBdr>
        <w:top w:val="none" w:sz="0" w:space="0" w:color="auto"/>
        <w:left w:val="none" w:sz="0" w:space="0" w:color="auto"/>
        <w:bottom w:val="none" w:sz="0" w:space="0" w:color="auto"/>
        <w:right w:val="none" w:sz="0" w:space="0" w:color="auto"/>
      </w:divBdr>
    </w:div>
    <w:div w:id="2044867577">
      <w:bodyDiv w:val="1"/>
      <w:marLeft w:val="0"/>
      <w:marRight w:val="0"/>
      <w:marTop w:val="0"/>
      <w:marBottom w:val="0"/>
      <w:divBdr>
        <w:top w:val="none" w:sz="0" w:space="0" w:color="auto"/>
        <w:left w:val="none" w:sz="0" w:space="0" w:color="auto"/>
        <w:bottom w:val="none" w:sz="0" w:space="0" w:color="auto"/>
        <w:right w:val="none" w:sz="0" w:space="0" w:color="auto"/>
      </w:divBdr>
    </w:div>
    <w:div w:id="208201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Waleed Aamer</dc:creator>
  <cp:keywords/>
  <dc:description/>
  <cp:lastModifiedBy>Waleed Aamer</cp:lastModifiedBy>
  <cp:revision>24</cp:revision>
  <dcterms:created xsi:type="dcterms:W3CDTF">2023-04-03T11:15:00Z</dcterms:created>
  <dcterms:modified xsi:type="dcterms:W3CDTF">2024-02-14T07:58:00Z</dcterms:modified>
</cp:coreProperties>
</file>