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F89AD" w14:textId="36CBED5D" w:rsidR="00310089" w:rsidRDefault="00D0705B">
      <w:pPr>
        <w:rPr>
          <w:rFonts w:asciiTheme="majorBidi" w:hAnsiTheme="majorBidi" w:cstheme="majorBidi"/>
          <w:b/>
          <w:bCs/>
          <w:color w:val="0D0D0D"/>
          <w:sz w:val="24"/>
          <w:szCs w:val="24"/>
          <w:shd w:val="clear" w:color="auto" w:fill="FFFFFF"/>
        </w:rPr>
      </w:pPr>
      <w:r w:rsidRPr="00D0705B">
        <w:rPr>
          <w:rFonts w:asciiTheme="majorBidi" w:hAnsiTheme="majorBidi" w:cstheme="majorBidi"/>
          <w:b/>
          <w:bCs/>
          <w:color w:val="0D0D0D"/>
          <w:sz w:val="24"/>
          <w:szCs w:val="24"/>
          <w:shd w:val="clear" w:color="auto" w:fill="FFFFFF"/>
        </w:rPr>
        <w:t xml:space="preserve">Comparing </w:t>
      </w:r>
      <w:r>
        <w:rPr>
          <w:rFonts w:asciiTheme="majorBidi" w:hAnsiTheme="majorBidi" w:cstheme="majorBidi"/>
          <w:b/>
          <w:bCs/>
          <w:color w:val="0D0D0D"/>
          <w:sz w:val="24"/>
          <w:szCs w:val="24"/>
          <w:shd w:val="clear" w:color="auto" w:fill="FFFFFF"/>
        </w:rPr>
        <w:t>t</w:t>
      </w:r>
      <w:r w:rsidRPr="00D0705B">
        <w:rPr>
          <w:rFonts w:asciiTheme="majorBidi" w:hAnsiTheme="majorBidi" w:cstheme="majorBidi"/>
          <w:b/>
          <w:bCs/>
          <w:color w:val="0D0D0D"/>
          <w:sz w:val="24"/>
          <w:szCs w:val="24"/>
          <w:shd w:val="clear" w:color="auto" w:fill="FFFFFF"/>
        </w:rPr>
        <w:t xml:space="preserve">wo </w:t>
      </w:r>
      <w:r>
        <w:rPr>
          <w:rFonts w:asciiTheme="majorBidi" w:hAnsiTheme="majorBidi" w:cstheme="majorBidi"/>
          <w:b/>
          <w:bCs/>
          <w:color w:val="0D0D0D"/>
          <w:sz w:val="24"/>
          <w:szCs w:val="24"/>
          <w:shd w:val="clear" w:color="auto" w:fill="FFFFFF"/>
        </w:rPr>
        <w:t>a</w:t>
      </w:r>
      <w:r w:rsidRPr="00D0705B">
        <w:rPr>
          <w:rFonts w:asciiTheme="majorBidi" w:hAnsiTheme="majorBidi" w:cstheme="majorBidi"/>
          <w:b/>
          <w:bCs/>
          <w:color w:val="0D0D0D"/>
          <w:sz w:val="24"/>
          <w:szCs w:val="24"/>
          <w:shd w:val="clear" w:color="auto" w:fill="FFFFFF"/>
        </w:rPr>
        <w:t xml:space="preserve">pproaches to </w:t>
      </w:r>
      <w:r>
        <w:rPr>
          <w:rFonts w:asciiTheme="majorBidi" w:hAnsiTheme="majorBidi" w:cstheme="majorBidi"/>
          <w:b/>
          <w:bCs/>
          <w:color w:val="0D0D0D"/>
          <w:sz w:val="24"/>
          <w:szCs w:val="24"/>
          <w:shd w:val="clear" w:color="auto" w:fill="FFFFFF"/>
        </w:rPr>
        <w:t>c</w:t>
      </w:r>
      <w:r w:rsidRPr="00D0705B">
        <w:rPr>
          <w:rFonts w:asciiTheme="majorBidi" w:hAnsiTheme="majorBidi" w:cstheme="majorBidi"/>
          <w:b/>
          <w:bCs/>
          <w:color w:val="0D0D0D"/>
          <w:sz w:val="24"/>
          <w:szCs w:val="24"/>
          <w:shd w:val="clear" w:color="auto" w:fill="FFFFFF"/>
        </w:rPr>
        <w:t xml:space="preserve">alculating </w:t>
      </w:r>
      <w:r>
        <w:rPr>
          <w:rFonts w:asciiTheme="majorBidi" w:hAnsiTheme="majorBidi" w:cstheme="majorBidi"/>
          <w:b/>
          <w:bCs/>
          <w:color w:val="0D0D0D"/>
          <w:sz w:val="24"/>
          <w:szCs w:val="24"/>
          <w:shd w:val="clear" w:color="auto" w:fill="FFFFFF"/>
        </w:rPr>
        <w:t>w</w:t>
      </w:r>
      <w:r w:rsidRPr="00D0705B">
        <w:rPr>
          <w:rFonts w:asciiTheme="majorBidi" w:hAnsiTheme="majorBidi" w:cstheme="majorBidi"/>
          <w:b/>
          <w:bCs/>
          <w:color w:val="0D0D0D"/>
          <w:sz w:val="24"/>
          <w:szCs w:val="24"/>
          <w:shd w:val="clear" w:color="auto" w:fill="FFFFFF"/>
        </w:rPr>
        <w:t>illingness</w:t>
      </w:r>
      <w:r>
        <w:rPr>
          <w:rFonts w:asciiTheme="majorBidi" w:hAnsiTheme="majorBidi" w:cstheme="majorBidi"/>
          <w:b/>
          <w:bCs/>
          <w:color w:val="0D0D0D"/>
          <w:sz w:val="24"/>
          <w:szCs w:val="24"/>
          <w:shd w:val="clear" w:color="auto" w:fill="FFFFFF"/>
        </w:rPr>
        <w:t xml:space="preserve"> </w:t>
      </w:r>
      <w:r w:rsidRPr="00D0705B">
        <w:rPr>
          <w:rFonts w:asciiTheme="majorBidi" w:hAnsiTheme="majorBidi" w:cstheme="majorBidi"/>
          <w:b/>
          <w:bCs/>
          <w:color w:val="0D0D0D"/>
          <w:sz w:val="24"/>
          <w:szCs w:val="24"/>
          <w:shd w:val="clear" w:color="auto" w:fill="FFFFFF"/>
        </w:rPr>
        <w:t>to</w:t>
      </w:r>
      <w:r>
        <w:rPr>
          <w:rFonts w:asciiTheme="majorBidi" w:hAnsiTheme="majorBidi" w:cstheme="majorBidi"/>
          <w:b/>
          <w:bCs/>
          <w:color w:val="0D0D0D"/>
          <w:sz w:val="24"/>
          <w:szCs w:val="24"/>
          <w:shd w:val="clear" w:color="auto" w:fill="FFFFFF"/>
        </w:rPr>
        <w:t xml:space="preserve"> p</w:t>
      </w:r>
      <w:r w:rsidRPr="00D0705B">
        <w:rPr>
          <w:rFonts w:asciiTheme="majorBidi" w:hAnsiTheme="majorBidi" w:cstheme="majorBidi"/>
          <w:b/>
          <w:bCs/>
          <w:color w:val="0D0D0D"/>
          <w:sz w:val="24"/>
          <w:szCs w:val="24"/>
          <w:shd w:val="clear" w:color="auto" w:fill="FFFFFF"/>
        </w:rPr>
        <w:t>ay</w:t>
      </w:r>
      <w:r>
        <w:rPr>
          <w:rFonts w:asciiTheme="majorBidi" w:hAnsiTheme="majorBidi" w:cstheme="majorBidi"/>
          <w:b/>
          <w:bCs/>
          <w:color w:val="0D0D0D"/>
          <w:sz w:val="24"/>
          <w:szCs w:val="24"/>
          <w:shd w:val="clear" w:color="auto" w:fill="FFFFFF"/>
        </w:rPr>
        <w:t xml:space="preserve"> (WTP)</w:t>
      </w:r>
      <w:r w:rsidRPr="00D0705B">
        <w:rPr>
          <w:rFonts w:asciiTheme="majorBidi" w:hAnsiTheme="majorBidi" w:cstheme="majorBidi"/>
          <w:b/>
          <w:bCs/>
          <w:color w:val="0D0D0D"/>
          <w:sz w:val="24"/>
          <w:szCs w:val="24"/>
          <w:shd w:val="clear" w:color="auto" w:fill="FFFFFF"/>
        </w:rPr>
        <w:t xml:space="preserve"> Score</w:t>
      </w:r>
    </w:p>
    <w:p w14:paraId="5316F974" w14:textId="77777777" w:rsidR="00D0705B" w:rsidRPr="00D0705B" w:rsidRDefault="00D0705B">
      <w:pPr>
        <w:rPr>
          <w:rFonts w:asciiTheme="majorBidi" w:hAnsiTheme="majorBidi" w:cstheme="majorBidi"/>
          <w:color w:val="0D0D0D"/>
          <w:sz w:val="24"/>
          <w:szCs w:val="24"/>
          <w:shd w:val="clear" w:color="auto" w:fill="FFFFFF"/>
        </w:rPr>
      </w:pPr>
    </w:p>
    <w:p w14:paraId="6DA009E7" w14:textId="3F90D7A5" w:rsidR="00D0705B" w:rsidRPr="009F12C4" w:rsidRDefault="00D0705B" w:rsidP="00D0705B">
      <w:pPr>
        <w:jc w:val="both"/>
        <w:rPr>
          <w:rFonts w:asciiTheme="majorBidi" w:hAnsiTheme="majorBidi" w:cstheme="majorBidi"/>
        </w:rPr>
      </w:pPr>
      <w:r w:rsidRPr="009F12C4">
        <w:rPr>
          <w:rFonts w:asciiTheme="majorBidi" w:hAnsiTheme="majorBidi" w:cstheme="majorBidi"/>
          <w:color w:val="0D0D0D"/>
          <w:shd w:val="clear" w:color="auto" w:fill="FFFFFF"/>
        </w:rPr>
        <w:t>The willingness-to-pay score was determined by averaging the ratings of four items: data protection, reduced use of data for marketing, assistance in controlling prolonged usage, and mitigation of fake news and radicalization on social media. Each item was rated on a 5-point Likert scale. In the original work by</w:t>
      </w:r>
      <w:r w:rsidRPr="009F12C4">
        <w:rPr>
          <w:rFonts w:asciiTheme="majorBidi" w:hAnsiTheme="majorBidi" w:cstheme="majorBidi"/>
        </w:rPr>
        <w:t xml:space="preserve"> </w:t>
      </w:r>
      <w:sdt>
        <w:sdtPr>
          <w:rPr>
            <w:rFonts w:asciiTheme="majorBidi" w:hAnsiTheme="majorBidi" w:cstheme="majorBidi"/>
            <w:color w:val="000000"/>
          </w:rPr>
          <w:tag w:val="MENDELEY_CITATION_v3_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"/>
          <w:id w:val="-1861430405"/>
          <w:placeholder>
            <w:docPart w:val="DefaultPlaceholder_-1854013440"/>
          </w:placeholder>
        </w:sdtPr>
        <w:sdtContent>
          <w:r w:rsidR="009F12C4" w:rsidRPr="009F12C4">
            <w:rPr>
              <w:rFonts w:asciiTheme="majorBidi" w:hAnsiTheme="majorBidi" w:cstheme="majorBidi"/>
              <w:color w:val="000000"/>
            </w:rPr>
            <w:t>(Sindermann et al., 2020)</w:t>
          </w:r>
        </w:sdtContent>
      </w:sdt>
      <w:r w:rsidRPr="009F12C4">
        <w:rPr>
          <w:rFonts w:asciiTheme="majorBidi" w:hAnsiTheme="majorBidi" w:cstheme="majorBidi"/>
          <w:color w:val="000000"/>
        </w:rPr>
        <w:t xml:space="preserve"> </w:t>
      </w:r>
      <w:r w:rsidRPr="009F12C4">
        <w:rPr>
          <w:rFonts w:asciiTheme="majorBidi" w:hAnsiTheme="majorBidi" w:cstheme="majorBidi"/>
          <w:color w:val="0D0D0D"/>
          <w:shd w:val="clear" w:color="auto" w:fill="FFFFFF"/>
        </w:rPr>
        <w:t>participants were divided into three main categories based on their willingness-to-pay scores, as follows:</w:t>
      </w:r>
    </w:p>
    <w:p w14:paraId="63A676E1" w14:textId="0D6E8932" w:rsidR="00D0705B" w:rsidRPr="009F12C4" w:rsidRDefault="00D0705B" w:rsidP="00D0705B">
      <w:pPr>
        <w:pStyle w:val="ListParagraph"/>
        <w:numPr>
          <w:ilvl w:val="0"/>
          <w:numId w:val="1"/>
        </w:numPr>
        <w:jc w:val="both"/>
        <w:rPr>
          <w:rFonts w:asciiTheme="majorBidi" w:hAnsiTheme="majorBidi" w:cstheme="majorBidi"/>
          <w:sz w:val="22"/>
          <w:szCs w:val="22"/>
          <w:lang w:val="en-US"/>
        </w:rPr>
      </w:pPr>
      <w:r w:rsidRPr="009F12C4">
        <w:rPr>
          <w:rFonts w:asciiTheme="majorBidi" w:hAnsiTheme="majorBidi" w:cstheme="majorBidi"/>
          <w:sz w:val="22"/>
          <w:szCs w:val="22"/>
          <w:lang w:val="en-US"/>
        </w:rPr>
        <w:t xml:space="preserve">Not Willing to Pay (1.00 &lt;= </w:t>
      </w:r>
      <w:r w:rsidR="00F21138" w:rsidRPr="009F12C4">
        <w:rPr>
          <w:rFonts w:asciiTheme="majorBidi" w:hAnsiTheme="majorBidi" w:cstheme="majorBidi"/>
          <w:sz w:val="22"/>
          <w:szCs w:val="22"/>
          <w:lang w:val="en-US"/>
        </w:rPr>
        <w:t>W</w:t>
      </w:r>
      <w:r w:rsidR="00F21138">
        <w:rPr>
          <w:rFonts w:asciiTheme="majorBidi" w:hAnsiTheme="majorBidi" w:cstheme="majorBidi"/>
          <w:sz w:val="22"/>
          <w:szCs w:val="22"/>
          <w:lang w:val="en-US"/>
        </w:rPr>
        <w:t>T</w:t>
      </w:r>
      <w:r w:rsidR="00F21138" w:rsidRPr="009F12C4">
        <w:rPr>
          <w:rFonts w:asciiTheme="majorBidi" w:hAnsiTheme="majorBidi" w:cstheme="majorBidi"/>
          <w:sz w:val="22"/>
          <w:szCs w:val="22"/>
          <w:lang w:val="en-US"/>
        </w:rPr>
        <w:t xml:space="preserve">P </w:t>
      </w:r>
      <w:r w:rsidRPr="009F12C4">
        <w:rPr>
          <w:rFonts w:asciiTheme="majorBidi" w:hAnsiTheme="majorBidi" w:cstheme="majorBidi"/>
          <w:sz w:val="22"/>
          <w:szCs w:val="22"/>
          <w:lang w:val="en-US"/>
        </w:rPr>
        <w:t>score &lt;= 2.50); mathematical interval of [1, 2.5]</w:t>
      </w:r>
    </w:p>
    <w:p w14:paraId="042B8755" w14:textId="3B449F1B" w:rsidR="00D0705B" w:rsidRPr="009F12C4" w:rsidRDefault="00D0705B" w:rsidP="00D0705B">
      <w:pPr>
        <w:pStyle w:val="ListParagraph"/>
        <w:numPr>
          <w:ilvl w:val="0"/>
          <w:numId w:val="1"/>
        </w:numPr>
        <w:jc w:val="both"/>
        <w:rPr>
          <w:rFonts w:asciiTheme="majorBidi" w:hAnsiTheme="majorBidi" w:cstheme="majorBidi"/>
          <w:sz w:val="22"/>
          <w:szCs w:val="22"/>
          <w:lang w:val="en-US"/>
        </w:rPr>
      </w:pPr>
      <w:r w:rsidRPr="009F12C4">
        <w:rPr>
          <w:rFonts w:asciiTheme="majorBidi" w:hAnsiTheme="majorBidi" w:cstheme="majorBidi"/>
          <w:sz w:val="22"/>
          <w:szCs w:val="22"/>
          <w:lang w:val="en-US"/>
        </w:rPr>
        <w:t>Neutral (2.51 &lt;= W</w:t>
      </w:r>
      <w:r w:rsidR="0033208F">
        <w:rPr>
          <w:rFonts w:asciiTheme="majorBidi" w:hAnsiTheme="majorBidi" w:cstheme="majorBidi"/>
          <w:sz w:val="22"/>
          <w:szCs w:val="22"/>
          <w:lang w:val="en-US"/>
        </w:rPr>
        <w:t>T</w:t>
      </w:r>
      <w:r w:rsidRPr="009F12C4">
        <w:rPr>
          <w:rFonts w:asciiTheme="majorBidi" w:hAnsiTheme="majorBidi" w:cstheme="majorBidi"/>
          <w:sz w:val="22"/>
          <w:szCs w:val="22"/>
          <w:lang w:val="en-US"/>
        </w:rPr>
        <w:t>P score &lt;= 3.50); mathematical interval of [2.51, 3.5]</w:t>
      </w:r>
    </w:p>
    <w:p w14:paraId="14F38972" w14:textId="6CFE1DB5" w:rsidR="00D0705B" w:rsidRPr="009F12C4" w:rsidRDefault="00D0705B" w:rsidP="00D0705B">
      <w:pPr>
        <w:pStyle w:val="ListParagraph"/>
        <w:numPr>
          <w:ilvl w:val="0"/>
          <w:numId w:val="1"/>
        </w:numPr>
        <w:jc w:val="both"/>
        <w:rPr>
          <w:rFonts w:asciiTheme="majorBidi" w:hAnsiTheme="majorBidi" w:cstheme="majorBidi"/>
          <w:sz w:val="22"/>
          <w:szCs w:val="22"/>
          <w:lang w:val="en-US"/>
        </w:rPr>
      </w:pPr>
      <w:r w:rsidRPr="009F12C4">
        <w:rPr>
          <w:rFonts w:asciiTheme="majorBidi" w:hAnsiTheme="majorBidi" w:cstheme="majorBidi"/>
          <w:sz w:val="22"/>
          <w:szCs w:val="22"/>
          <w:lang w:val="en-US"/>
        </w:rPr>
        <w:t>Willing to Pay (3.51 &lt;= W</w:t>
      </w:r>
      <w:r w:rsidR="0033208F">
        <w:rPr>
          <w:rFonts w:asciiTheme="majorBidi" w:hAnsiTheme="majorBidi" w:cstheme="majorBidi"/>
          <w:sz w:val="22"/>
          <w:szCs w:val="22"/>
          <w:lang w:val="en-US"/>
        </w:rPr>
        <w:t>T</w:t>
      </w:r>
      <w:r w:rsidRPr="009F12C4">
        <w:rPr>
          <w:rFonts w:asciiTheme="majorBidi" w:hAnsiTheme="majorBidi" w:cstheme="majorBidi"/>
          <w:sz w:val="22"/>
          <w:szCs w:val="22"/>
          <w:lang w:val="en-US"/>
        </w:rPr>
        <w:t>P score &lt;= 5.00); mathematical interval of [3.51, 5.0]</w:t>
      </w:r>
    </w:p>
    <w:p w14:paraId="23A633BE" w14:textId="77777777" w:rsidR="00D0705B" w:rsidRPr="009F12C4" w:rsidRDefault="00D0705B" w:rsidP="00D0705B">
      <w:pPr>
        <w:pStyle w:val="ListParagraph"/>
        <w:jc w:val="both"/>
        <w:rPr>
          <w:rFonts w:asciiTheme="majorBidi" w:hAnsiTheme="majorBidi" w:cstheme="majorBidi"/>
          <w:sz w:val="22"/>
          <w:szCs w:val="22"/>
          <w:lang w:val="en-US"/>
        </w:rPr>
      </w:pPr>
    </w:p>
    <w:p w14:paraId="120C6CC3" w14:textId="649202ED" w:rsidR="009F12C4" w:rsidRPr="009F12C4" w:rsidRDefault="009F12C4" w:rsidP="009F12C4">
      <w:pPr>
        <w:jc w:val="both"/>
        <w:rPr>
          <w:rFonts w:asciiTheme="majorBidi" w:hAnsiTheme="majorBidi" w:cstheme="majorBidi"/>
        </w:rPr>
      </w:pPr>
      <w:r w:rsidRPr="009F12C4">
        <w:rPr>
          <w:rFonts w:asciiTheme="majorBidi" w:hAnsiTheme="majorBidi" w:cstheme="majorBidi"/>
          <w:color w:val="0D0D0D"/>
          <w:shd w:val="clear" w:color="auto" w:fill="FFFFFF"/>
        </w:rPr>
        <w:t xml:space="preserve">This approach was based on the premise that cases with scores of 2.50 or 3.50, which could be rounded to belong to either the lower or higher group, were assigned to the lower group. Individuals with scores of 2.50 were classified as not willing to pay (rather than neutral), while those with scores of 3.50 were considered neutral (rather than willing to pay). However, the </w:t>
      </w:r>
      <w:r w:rsidR="00F21138" w:rsidRPr="009F12C4">
        <w:rPr>
          <w:rFonts w:asciiTheme="majorBidi" w:hAnsiTheme="majorBidi" w:cstheme="majorBidi"/>
          <w:color w:val="0D0D0D"/>
          <w:shd w:val="clear" w:color="auto" w:fill="FFFFFF"/>
        </w:rPr>
        <w:t>W</w:t>
      </w:r>
      <w:r w:rsidR="00F21138">
        <w:rPr>
          <w:rFonts w:asciiTheme="majorBidi" w:hAnsiTheme="majorBidi" w:cstheme="majorBidi"/>
          <w:color w:val="0D0D0D"/>
          <w:shd w:val="clear" w:color="auto" w:fill="FFFFFF"/>
        </w:rPr>
        <w:t>T</w:t>
      </w:r>
      <w:r w:rsidR="00F21138" w:rsidRPr="009F12C4">
        <w:rPr>
          <w:rFonts w:asciiTheme="majorBidi" w:hAnsiTheme="majorBidi" w:cstheme="majorBidi"/>
          <w:color w:val="0D0D0D"/>
          <w:shd w:val="clear" w:color="auto" w:fill="FFFFFF"/>
        </w:rPr>
        <w:t xml:space="preserve">P </w:t>
      </w:r>
      <w:r w:rsidRPr="009F12C4">
        <w:rPr>
          <w:rFonts w:asciiTheme="majorBidi" w:hAnsiTheme="majorBidi" w:cstheme="majorBidi"/>
          <w:color w:val="0D0D0D"/>
          <w:shd w:val="clear" w:color="auto" w:fill="FFFFFF"/>
        </w:rPr>
        <w:t xml:space="preserve">score derived from four questions yields a multiple of 0.25 within the range of 1 to 5, therefore, the Willing to Pay group has one possible value less that counts for that group. </w:t>
      </w:r>
      <w:r w:rsidR="00F83084">
        <w:rPr>
          <w:rFonts w:asciiTheme="majorBidi" w:hAnsiTheme="majorBidi" w:cstheme="majorBidi"/>
          <w:color w:val="0D0D0D"/>
          <w:shd w:val="clear" w:color="auto" w:fill="FFFFFF"/>
        </w:rPr>
        <w:t xml:space="preserve">Hence, </w:t>
      </w:r>
      <w:r w:rsidR="00F83084" w:rsidRPr="00F83084">
        <w:rPr>
          <w:rFonts w:asciiTheme="majorBidi" w:hAnsiTheme="majorBidi" w:cstheme="majorBidi"/>
          <w:color w:val="0D0D0D"/>
          <w:shd w:val="clear" w:color="auto" w:fill="FFFFFF"/>
        </w:rPr>
        <w:t>including the value 3.5 in the Willing to Pay group helps balance the group sizes more effectively between those not willing to pay and those willing to pay.</w:t>
      </w:r>
      <w:r w:rsidR="00F83084">
        <w:rPr>
          <w:rFonts w:asciiTheme="majorBidi" w:hAnsiTheme="majorBidi" w:cstheme="majorBidi"/>
          <w:color w:val="0D0D0D"/>
          <w:shd w:val="clear" w:color="auto" w:fill="FFFFFF"/>
        </w:rPr>
        <w:t xml:space="preserve"> </w:t>
      </w:r>
      <w:r w:rsidRPr="009F12C4">
        <w:rPr>
          <w:rFonts w:asciiTheme="majorBidi" w:hAnsiTheme="majorBidi" w:cstheme="majorBidi"/>
          <w:color w:val="0D0D0D"/>
          <w:shd w:val="clear" w:color="auto" w:fill="FFFFFF"/>
        </w:rPr>
        <w:t>The mathematical description for this approach is outlined as follows:</w:t>
      </w:r>
    </w:p>
    <w:p w14:paraId="208085F1" w14:textId="77777777" w:rsidR="009F12C4" w:rsidRPr="009F12C4" w:rsidRDefault="009F12C4" w:rsidP="009F12C4">
      <w:pPr>
        <w:pStyle w:val="ListParagraph"/>
        <w:numPr>
          <w:ilvl w:val="0"/>
          <w:numId w:val="1"/>
        </w:numPr>
        <w:jc w:val="both"/>
        <w:rPr>
          <w:rFonts w:asciiTheme="majorBidi" w:hAnsiTheme="majorBidi" w:cstheme="majorBidi"/>
          <w:kern w:val="2"/>
          <w:sz w:val="22"/>
          <w:szCs w:val="22"/>
          <w:lang w:val="en-US"/>
          <w14:ligatures w14:val="standardContextual"/>
        </w:rPr>
      </w:pPr>
      <w:r w:rsidRPr="009F12C4">
        <w:rPr>
          <w:rFonts w:asciiTheme="majorBidi" w:hAnsiTheme="majorBidi" w:cstheme="majorBidi"/>
          <w:kern w:val="2"/>
          <w:sz w:val="22"/>
          <w:szCs w:val="22"/>
          <w:lang w:val="en-US"/>
          <w14:ligatures w14:val="standardContextual"/>
        </w:rPr>
        <w:t>Not Willing to Pay (1.00 &lt;= WTP &lt;= 2.50); mathematical interval of [1, 2.5]</w:t>
      </w:r>
    </w:p>
    <w:p w14:paraId="7D9F29D1" w14:textId="77777777" w:rsidR="009F12C4" w:rsidRPr="009F12C4" w:rsidRDefault="009F12C4" w:rsidP="009F12C4">
      <w:pPr>
        <w:pStyle w:val="ListParagraph"/>
        <w:numPr>
          <w:ilvl w:val="0"/>
          <w:numId w:val="1"/>
        </w:numPr>
        <w:jc w:val="both"/>
        <w:rPr>
          <w:rFonts w:asciiTheme="majorBidi" w:hAnsiTheme="majorBidi" w:cstheme="majorBidi"/>
          <w:kern w:val="2"/>
          <w:sz w:val="22"/>
          <w:szCs w:val="22"/>
          <w:lang w:val="en-US"/>
          <w14:ligatures w14:val="standardContextual"/>
        </w:rPr>
      </w:pPr>
      <w:r w:rsidRPr="009F12C4">
        <w:rPr>
          <w:rFonts w:asciiTheme="majorBidi" w:hAnsiTheme="majorBidi" w:cstheme="majorBidi"/>
          <w:kern w:val="2"/>
          <w:sz w:val="22"/>
          <w:szCs w:val="22"/>
          <w:lang w:val="en-US"/>
          <w14:ligatures w14:val="standardContextual"/>
        </w:rPr>
        <w:t>Neutral (2.50 &lt; WTP &lt; 3.50); mathematical interval of ]2.5, 3.5[</w:t>
      </w:r>
    </w:p>
    <w:p w14:paraId="5E142AC3" w14:textId="77777777" w:rsidR="009F12C4" w:rsidRPr="009F12C4" w:rsidRDefault="009F12C4" w:rsidP="009F12C4">
      <w:pPr>
        <w:pStyle w:val="ListParagraph"/>
        <w:numPr>
          <w:ilvl w:val="0"/>
          <w:numId w:val="1"/>
        </w:numPr>
        <w:jc w:val="both"/>
        <w:rPr>
          <w:rFonts w:asciiTheme="majorBidi" w:hAnsiTheme="majorBidi" w:cstheme="majorBidi"/>
          <w:kern w:val="2"/>
          <w:sz w:val="22"/>
          <w:szCs w:val="22"/>
          <w:lang w:val="en-US"/>
          <w14:ligatures w14:val="standardContextual"/>
        </w:rPr>
      </w:pPr>
      <w:r w:rsidRPr="009F12C4">
        <w:rPr>
          <w:rFonts w:asciiTheme="majorBidi" w:hAnsiTheme="majorBidi" w:cstheme="majorBidi"/>
          <w:kern w:val="2"/>
          <w:sz w:val="22"/>
          <w:szCs w:val="22"/>
          <w:lang w:val="en-US"/>
          <w14:ligatures w14:val="standardContextual"/>
        </w:rPr>
        <w:t>Willing to Pay (3.50 &lt;= WTP &lt;= 5.00); mathematical interval of [3.5, 5.0]</w:t>
      </w:r>
    </w:p>
    <w:p w14:paraId="6829C13F" w14:textId="46B97426" w:rsidR="00D0705B" w:rsidRPr="00F83084" w:rsidRDefault="00D0705B">
      <w:pPr>
        <w:rPr>
          <w:rFonts w:asciiTheme="majorBidi" w:hAnsiTheme="majorBidi" w:cstheme="majorBidi"/>
          <w:color w:val="0D0D0D"/>
          <w:shd w:val="clear" w:color="auto" w:fill="FFFFFF"/>
        </w:rPr>
      </w:pPr>
    </w:p>
    <w:p w14:paraId="73A16BD0" w14:textId="26761915" w:rsidR="00F83084" w:rsidRPr="00F83084" w:rsidRDefault="00F83084" w:rsidP="00F83084">
      <w:pPr>
        <w:pStyle w:val="Paragraph"/>
        <w:spacing w:before="0" w:line="240" w:lineRule="auto"/>
        <w:rPr>
          <w:rFonts w:asciiTheme="majorBidi" w:eastAsiaTheme="minorHAnsi" w:hAnsiTheme="majorBidi" w:cstheme="majorBidi"/>
          <w:color w:val="0D0D0D"/>
          <w:kern w:val="2"/>
          <w:sz w:val="22"/>
          <w:szCs w:val="22"/>
          <w:shd w:val="clear" w:color="auto" w:fill="FFFFFF"/>
          <w:lang w:val="en-US" w:eastAsia="en-US"/>
          <w14:ligatures w14:val="standardContextual"/>
        </w:rPr>
      </w:pPr>
      <w:r w:rsidRPr="00F83084">
        <w:rPr>
          <w:rFonts w:asciiTheme="majorBidi" w:eastAsiaTheme="minorHAnsi" w:hAnsiTheme="majorBidi" w:cstheme="majorBidi"/>
          <w:color w:val="0D0D0D"/>
          <w:kern w:val="2"/>
          <w:sz w:val="22"/>
          <w:szCs w:val="22"/>
          <w:shd w:val="clear" w:color="auto" w:fill="FFFFFF"/>
          <w:lang w:val="en-US" w:eastAsia="en-US"/>
          <w14:ligatures w14:val="standardContextual"/>
        </w:rPr>
        <w:t>Figure S1 shows the</w:t>
      </w:r>
      <w:r>
        <w:rPr>
          <w:rFonts w:asciiTheme="majorBidi" w:eastAsiaTheme="minorHAnsi" w:hAnsiTheme="majorBidi" w:cstheme="majorBidi"/>
          <w:color w:val="0D0D0D"/>
          <w:kern w:val="2"/>
          <w:sz w:val="22"/>
          <w:szCs w:val="22"/>
          <w:shd w:val="clear" w:color="auto" w:fill="FFFFFF"/>
          <w:lang w:val="en-US" w:eastAsia="en-US"/>
          <w14:ligatures w14:val="standardContextual"/>
        </w:rPr>
        <w:t xml:space="preserve"> alternative representation of the</w:t>
      </w:r>
      <w:r w:rsidRPr="00F83084">
        <w:rPr>
          <w:rFonts w:asciiTheme="majorBidi" w:eastAsiaTheme="minorHAnsi" w:hAnsiTheme="majorBidi" w:cstheme="majorBidi"/>
          <w:color w:val="0D0D0D"/>
          <w:kern w:val="2"/>
          <w:sz w:val="22"/>
          <w:szCs w:val="22"/>
          <w:shd w:val="clear" w:color="auto" w:fill="FFFFFF"/>
          <w:lang w:val="en-US" w:eastAsia="en-US"/>
          <w14:ligatures w14:val="standardContextual"/>
        </w:rPr>
        <w:t xml:space="preserve"> </w:t>
      </w:r>
      <w:r>
        <w:rPr>
          <w:rFonts w:asciiTheme="majorBidi" w:eastAsiaTheme="minorHAnsi" w:hAnsiTheme="majorBidi" w:cstheme="majorBidi"/>
          <w:color w:val="0D0D0D"/>
          <w:kern w:val="2"/>
          <w:sz w:val="22"/>
          <w:szCs w:val="22"/>
          <w:shd w:val="clear" w:color="auto" w:fill="FFFFFF"/>
          <w:lang w:val="en-US" w:eastAsia="en-US"/>
          <w14:ligatures w14:val="standardContextual"/>
        </w:rPr>
        <w:t>p</w:t>
      </w:r>
      <w:r w:rsidRPr="00F83084">
        <w:rPr>
          <w:rFonts w:asciiTheme="majorBidi" w:eastAsiaTheme="minorHAnsi" w:hAnsiTheme="majorBidi" w:cstheme="majorBidi"/>
          <w:color w:val="0D0D0D"/>
          <w:kern w:val="2"/>
          <w:sz w:val="22"/>
          <w:szCs w:val="22"/>
          <w:shd w:val="clear" w:color="auto" w:fill="FFFFFF"/>
          <w:lang w:val="en-US" w:eastAsia="en-US"/>
          <w14:ligatures w14:val="standardContextual"/>
        </w:rPr>
        <w:t>roportions of participants indicating willingness to pay for social media digital wellbeing services</w:t>
      </w:r>
      <w:r w:rsidR="007F3F79">
        <w:rPr>
          <w:rFonts w:asciiTheme="majorBidi" w:eastAsiaTheme="minorHAnsi" w:hAnsiTheme="majorBidi" w:cstheme="majorBidi"/>
          <w:color w:val="0D0D0D"/>
          <w:kern w:val="2"/>
          <w:sz w:val="22"/>
          <w:szCs w:val="22"/>
          <w:shd w:val="clear" w:color="auto" w:fill="FFFFFF"/>
          <w:lang w:val="en-US" w:eastAsia="en-US"/>
          <w14:ligatures w14:val="standardContextual"/>
        </w:rPr>
        <w:t xml:space="preserve"> </w:t>
      </w:r>
      <w:r w:rsidR="007F3F79" w:rsidRPr="007F3F79">
        <w:rPr>
          <w:rFonts w:asciiTheme="majorBidi" w:eastAsiaTheme="minorHAnsi" w:hAnsiTheme="majorBidi" w:cstheme="majorBidi"/>
          <w:color w:val="0D0D0D"/>
          <w:kern w:val="2"/>
          <w:sz w:val="22"/>
          <w:szCs w:val="22"/>
          <w:shd w:val="clear" w:color="auto" w:fill="FFFFFF"/>
          <w:lang w:val="en-US" w:eastAsia="en-US"/>
          <w14:ligatures w14:val="standardContextual"/>
        </w:rPr>
        <w:t xml:space="preserve">which more clearly illustrates the higher </w:t>
      </w:r>
      <w:r w:rsidR="007F3F79">
        <w:rPr>
          <w:rFonts w:asciiTheme="majorBidi" w:eastAsiaTheme="minorHAnsi" w:hAnsiTheme="majorBidi" w:cstheme="majorBidi"/>
          <w:color w:val="0D0D0D"/>
          <w:kern w:val="2"/>
          <w:sz w:val="22"/>
          <w:szCs w:val="22"/>
          <w:shd w:val="clear" w:color="auto" w:fill="FFFFFF"/>
          <w:lang w:val="en-US" w:eastAsia="en-US"/>
          <w14:ligatures w14:val="standardContextual"/>
        </w:rPr>
        <w:t>percentage</w:t>
      </w:r>
      <w:r w:rsidR="007F3F79" w:rsidRPr="007F3F79">
        <w:rPr>
          <w:rFonts w:asciiTheme="majorBidi" w:eastAsiaTheme="minorHAnsi" w:hAnsiTheme="majorBidi" w:cstheme="majorBidi"/>
          <w:color w:val="0D0D0D"/>
          <w:kern w:val="2"/>
          <w:sz w:val="22"/>
          <w:szCs w:val="22"/>
          <w:shd w:val="clear" w:color="auto" w:fill="FFFFFF"/>
          <w:lang w:val="en-US" w:eastAsia="en-US"/>
          <w14:ligatures w14:val="standardContextual"/>
        </w:rPr>
        <w:t xml:space="preserve"> in willingness to pay in the second dataset compared to the first dataset</w:t>
      </w:r>
      <w:r>
        <w:rPr>
          <w:rFonts w:asciiTheme="majorBidi" w:eastAsiaTheme="minorHAnsi" w:hAnsiTheme="majorBidi" w:cstheme="majorBidi"/>
          <w:color w:val="0D0D0D"/>
          <w:kern w:val="2"/>
          <w:sz w:val="22"/>
          <w:szCs w:val="22"/>
          <w:shd w:val="clear" w:color="auto" w:fill="FFFFFF"/>
          <w:lang w:val="en-US" w:eastAsia="en-US"/>
          <w14:ligatures w14:val="standardContextual"/>
        </w:rPr>
        <w:t>.</w:t>
      </w:r>
    </w:p>
    <w:p w14:paraId="21462DBE" w14:textId="256372B3" w:rsidR="00D0705B" w:rsidRPr="007F3F79" w:rsidRDefault="00405C8A">
      <w:pPr>
        <w:rPr>
          <w:rFonts w:asciiTheme="majorBidi" w:hAnsiTheme="majorBidi" w:cstheme="majorBidi"/>
          <w:b/>
          <w:bCs/>
          <w:sz w:val="24"/>
          <w:szCs w:val="24"/>
        </w:rPr>
      </w:pPr>
      <w:r>
        <w:rPr>
          <w:noProof/>
        </w:rPr>
        <w:drawing>
          <wp:anchor distT="0" distB="0" distL="114300" distR="114300" simplePos="0" relativeHeight="251664384" behindDoc="1" locked="0" layoutInCell="1" allowOverlap="1" wp14:anchorId="7D1E78CC" wp14:editId="4322A22B">
            <wp:simplePos x="0" y="0"/>
            <wp:positionH relativeFrom="column">
              <wp:posOffset>904875</wp:posOffset>
            </wp:positionH>
            <wp:positionV relativeFrom="paragraph">
              <wp:posOffset>211455</wp:posOffset>
            </wp:positionV>
            <wp:extent cx="3819525" cy="2486025"/>
            <wp:effectExtent l="0" t="0" r="9525" b="9525"/>
            <wp:wrapTight wrapText="bothSides">
              <wp:wrapPolygon edited="0">
                <wp:start x="0" y="0"/>
                <wp:lineTo x="0" y="21517"/>
                <wp:lineTo x="21546" y="21517"/>
                <wp:lineTo x="215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t="10456" b="4249"/>
                    <a:stretch/>
                  </pic:blipFill>
                  <pic:spPr bwMode="auto">
                    <a:xfrm>
                      <a:off x="0" y="0"/>
                      <a:ext cx="3819525" cy="248602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409EB2C2" w14:textId="65BD2C90" w:rsidR="00A04F7B" w:rsidRPr="00A04F7B" w:rsidRDefault="00A04F7B" w:rsidP="00A04F7B">
      <w:pPr>
        <w:rPr>
          <w:rFonts w:asciiTheme="majorBidi" w:hAnsiTheme="majorBidi" w:cstheme="majorBidi"/>
          <w:sz w:val="24"/>
          <w:szCs w:val="24"/>
          <w:lang w:val="en-GB"/>
        </w:rPr>
      </w:pPr>
    </w:p>
    <w:p w14:paraId="65262131" w14:textId="77777777" w:rsidR="00A04F7B" w:rsidRPr="00A04F7B" w:rsidRDefault="00A04F7B" w:rsidP="00A04F7B">
      <w:pPr>
        <w:rPr>
          <w:rFonts w:asciiTheme="majorBidi" w:hAnsiTheme="majorBidi" w:cstheme="majorBidi"/>
          <w:sz w:val="24"/>
          <w:szCs w:val="24"/>
          <w:lang w:val="en-GB"/>
        </w:rPr>
      </w:pPr>
    </w:p>
    <w:p w14:paraId="25104D15" w14:textId="77777777" w:rsidR="00A04F7B" w:rsidRPr="00A04F7B" w:rsidRDefault="00A04F7B" w:rsidP="00A04F7B">
      <w:pPr>
        <w:rPr>
          <w:rFonts w:asciiTheme="majorBidi" w:hAnsiTheme="majorBidi" w:cstheme="majorBidi"/>
          <w:sz w:val="24"/>
          <w:szCs w:val="24"/>
          <w:lang w:val="en-GB"/>
        </w:rPr>
      </w:pPr>
    </w:p>
    <w:p w14:paraId="635A3431" w14:textId="77777777" w:rsidR="00A04F7B" w:rsidRPr="00A04F7B" w:rsidRDefault="00A04F7B" w:rsidP="00A04F7B">
      <w:pPr>
        <w:rPr>
          <w:rFonts w:asciiTheme="majorBidi" w:hAnsiTheme="majorBidi" w:cstheme="majorBidi"/>
          <w:sz w:val="24"/>
          <w:szCs w:val="24"/>
          <w:lang w:val="en-GB"/>
        </w:rPr>
      </w:pPr>
    </w:p>
    <w:p w14:paraId="5A8FDCDD" w14:textId="77777777" w:rsidR="00A04F7B" w:rsidRPr="00A04F7B" w:rsidRDefault="00A04F7B" w:rsidP="00A04F7B">
      <w:pPr>
        <w:rPr>
          <w:rFonts w:asciiTheme="majorBidi" w:hAnsiTheme="majorBidi" w:cstheme="majorBidi"/>
          <w:sz w:val="24"/>
          <w:szCs w:val="24"/>
          <w:lang w:val="en-GB"/>
        </w:rPr>
      </w:pPr>
    </w:p>
    <w:p w14:paraId="457B08B0" w14:textId="77777777" w:rsidR="00A04F7B" w:rsidRPr="00A04F7B" w:rsidRDefault="00A04F7B" w:rsidP="00A04F7B">
      <w:pPr>
        <w:rPr>
          <w:rFonts w:asciiTheme="majorBidi" w:hAnsiTheme="majorBidi" w:cstheme="majorBidi"/>
          <w:sz w:val="24"/>
          <w:szCs w:val="24"/>
          <w:lang w:val="en-GB"/>
        </w:rPr>
      </w:pPr>
    </w:p>
    <w:p w14:paraId="26DD0FE5" w14:textId="77777777" w:rsidR="00A04F7B" w:rsidRDefault="00A04F7B" w:rsidP="00A04F7B">
      <w:pPr>
        <w:rPr>
          <w:rFonts w:asciiTheme="majorBidi" w:hAnsiTheme="majorBidi" w:cstheme="majorBidi"/>
          <w:sz w:val="24"/>
          <w:szCs w:val="24"/>
          <w:lang w:val="en-GB"/>
        </w:rPr>
      </w:pPr>
    </w:p>
    <w:p w14:paraId="04A7CFAF" w14:textId="77777777" w:rsidR="00A04F7B" w:rsidRPr="00A04F7B" w:rsidRDefault="00A04F7B" w:rsidP="00A04F7B">
      <w:pPr>
        <w:rPr>
          <w:rFonts w:asciiTheme="majorBidi" w:hAnsiTheme="majorBidi" w:cstheme="majorBidi"/>
          <w:sz w:val="24"/>
          <w:szCs w:val="24"/>
          <w:lang w:val="en-GB"/>
        </w:rPr>
      </w:pPr>
    </w:p>
    <w:p w14:paraId="631CB740" w14:textId="77777777" w:rsidR="00A04F7B" w:rsidRDefault="00A04F7B" w:rsidP="00A04F7B">
      <w:pPr>
        <w:rPr>
          <w:rFonts w:asciiTheme="majorBidi" w:hAnsiTheme="majorBidi" w:cstheme="majorBidi"/>
          <w:b/>
          <w:bCs/>
          <w:sz w:val="24"/>
          <w:szCs w:val="24"/>
          <w:lang w:val="en-GB"/>
        </w:rPr>
      </w:pPr>
    </w:p>
    <w:p w14:paraId="794C6467" w14:textId="3F00AE53" w:rsidR="00405C8A" w:rsidRPr="00D013D0" w:rsidRDefault="00A04F7B" w:rsidP="00D013D0">
      <w:pPr>
        <w:pStyle w:val="Paragraph"/>
        <w:spacing w:before="0" w:line="240" w:lineRule="auto"/>
        <w:rPr>
          <w:sz w:val="22"/>
          <w:szCs w:val="22"/>
        </w:rPr>
      </w:pPr>
      <w:r w:rsidRPr="00D447F2">
        <w:rPr>
          <w:sz w:val="22"/>
          <w:szCs w:val="22"/>
        </w:rPr>
        <w:t xml:space="preserve">Figure </w:t>
      </w:r>
      <w:r>
        <w:rPr>
          <w:sz w:val="22"/>
          <w:szCs w:val="22"/>
        </w:rPr>
        <w:t>S</w:t>
      </w:r>
      <w:r w:rsidRPr="00D447F2">
        <w:rPr>
          <w:sz w:val="22"/>
          <w:szCs w:val="22"/>
        </w:rPr>
        <w:t xml:space="preserve">1. </w:t>
      </w:r>
      <w:bookmarkStart w:id="0" w:name="_Hlk161232318"/>
      <w:r w:rsidRPr="00D447F2">
        <w:rPr>
          <w:sz w:val="22"/>
          <w:szCs w:val="22"/>
        </w:rPr>
        <w:t xml:space="preserve">Proportions of participants indicating willingness to pay based on </w:t>
      </w:r>
      <w:r>
        <w:rPr>
          <w:sz w:val="22"/>
          <w:szCs w:val="22"/>
        </w:rPr>
        <w:t>the new approach.</w:t>
      </w:r>
      <w:bookmarkEnd w:id="0"/>
    </w:p>
    <w:p w14:paraId="69B6540B" w14:textId="0EBD7F99" w:rsidR="00405C8A" w:rsidRPr="00405C8A" w:rsidRDefault="00405C8A" w:rsidP="00405C8A">
      <w:pPr>
        <w:rPr>
          <w:lang w:val="en-GB" w:eastAsia="en-GB"/>
        </w:rPr>
      </w:pPr>
    </w:p>
    <w:sectPr w:rsidR="00405C8A" w:rsidRPr="00405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D02F2"/>
    <w:multiLevelType w:val="hybridMultilevel"/>
    <w:tmpl w:val="7D6052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47543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089"/>
    <w:rsid w:val="002154FC"/>
    <w:rsid w:val="00310089"/>
    <w:rsid w:val="0033208F"/>
    <w:rsid w:val="003A467A"/>
    <w:rsid w:val="00405C8A"/>
    <w:rsid w:val="007F3F79"/>
    <w:rsid w:val="009F12C4"/>
    <w:rsid w:val="00A04F7B"/>
    <w:rsid w:val="00B74FAF"/>
    <w:rsid w:val="00CB2B98"/>
    <w:rsid w:val="00D013D0"/>
    <w:rsid w:val="00D0705B"/>
    <w:rsid w:val="00F21138"/>
    <w:rsid w:val="00F830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F852"/>
  <w15:chartTrackingRefBased/>
  <w15:docId w15:val="{8A1F9D00-2E77-415E-9C7A-CCED1B08A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705B"/>
    <w:pPr>
      <w:spacing w:after="0" w:line="240" w:lineRule="auto"/>
      <w:ind w:left="720"/>
      <w:contextualSpacing/>
    </w:pPr>
    <w:rPr>
      <w:kern w:val="0"/>
      <w:sz w:val="24"/>
      <w:szCs w:val="24"/>
      <w:lang w:val="de-DE"/>
      <w14:ligatures w14:val="none"/>
    </w:rPr>
  </w:style>
  <w:style w:type="character" w:styleId="PlaceholderText">
    <w:name w:val="Placeholder Text"/>
    <w:basedOn w:val="DefaultParagraphFont"/>
    <w:uiPriority w:val="99"/>
    <w:semiHidden/>
    <w:rsid w:val="00D0705B"/>
    <w:rPr>
      <w:color w:val="808080"/>
    </w:rPr>
  </w:style>
  <w:style w:type="character" w:styleId="CommentReference">
    <w:name w:val="annotation reference"/>
    <w:basedOn w:val="DefaultParagraphFont"/>
    <w:uiPriority w:val="99"/>
    <w:semiHidden/>
    <w:unhideWhenUsed/>
    <w:rsid w:val="009F12C4"/>
    <w:rPr>
      <w:sz w:val="16"/>
      <w:szCs w:val="16"/>
    </w:rPr>
  </w:style>
  <w:style w:type="paragraph" w:customStyle="1" w:styleId="Paragraph">
    <w:name w:val="Paragraph"/>
    <w:basedOn w:val="Normal"/>
    <w:next w:val="Normal"/>
    <w:qFormat/>
    <w:rsid w:val="00F83084"/>
    <w:pPr>
      <w:widowControl w:val="0"/>
      <w:spacing w:before="240" w:after="0" w:line="480" w:lineRule="auto"/>
    </w:pPr>
    <w:rPr>
      <w:rFonts w:ascii="Times New Roman" w:eastAsia="Times New Roman" w:hAnsi="Times New Roman" w:cs="Times New Roman"/>
      <w:kern w:val="0"/>
      <w:sz w:val="24"/>
      <w:szCs w:val="24"/>
      <w:lang w:val="en-GB" w:eastAsia="en-GB"/>
      <w14:ligatures w14:val="none"/>
    </w:rPr>
  </w:style>
  <w:style w:type="paragraph" w:styleId="Revision">
    <w:name w:val="Revision"/>
    <w:hidden/>
    <w:uiPriority w:val="99"/>
    <w:semiHidden/>
    <w:rsid w:val="00F21138"/>
    <w:pPr>
      <w:spacing w:after="0" w:line="240" w:lineRule="auto"/>
    </w:pPr>
  </w:style>
  <w:style w:type="paragraph" w:styleId="CommentText">
    <w:name w:val="annotation text"/>
    <w:basedOn w:val="Normal"/>
    <w:link w:val="CommentTextChar"/>
    <w:uiPriority w:val="99"/>
    <w:unhideWhenUsed/>
    <w:rsid w:val="00CB2B98"/>
    <w:pPr>
      <w:spacing w:line="240" w:lineRule="auto"/>
    </w:pPr>
    <w:rPr>
      <w:sz w:val="20"/>
      <w:szCs w:val="20"/>
    </w:rPr>
  </w:style>
  <w:style w:type="character" w:customStyle="1" w:styleId="CommentTextChar">
    <w:name w:val="Comment Text Char"/>
    <w:basedOn w:val="DefaultParagraphFont"/>
    <w:link w:val="CommentText"/>
    <w:uiPriority w:val="99"/>
    <w:rsid w:val="00CB2B98"/>
    <w:rPr>
      <w:sz w:val="20"/>
      <w:szCs w:val="20"/>
    </w:rPr>
  </w:style>
  <w:style w:type="paragraph" w:styleId="CommentSubject">
    <w:name w:val="annotation subject"/>
    <w:basedOn w:val="CommentText"/>
    <w:next w:val="CommentText"/>
    <w:link w:val="CommentSubjectChar"/>
    <w:uiPriority w:val="99"/>
    <w:semiHidden/>
    <w:unhideWhenUsed/>
    <w:rsid w:val="00CB2B98"/>
    <w:rPr>
      <w:b/>
      <w:bCs/>
    </w:rPr>
  </w:style>
  <w:style w:type="character" w:customStyle="1" w:styleId="CommentSubjectChar">
    <w:name w:val="Comment Subject Char"/>
    <w:basedOn w:val="CommentTextChar"/>
    <w:link w:val="CommentSubject"/>
    <w:uiPriority w:val="99"/>
    <w:semiHidden/>
    <w:rsid w:val="00CB2B9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321647">
      <w:bodyDiv w:val="1"/>
      <w:marLeft w:val="0"/>
      <w:marRight w:val="0"/>
      <w:marTop w:val="0"/>
      <w:marBottom w:val="0"/>
      <w:divBdr>
        <w:top w:val="none" w:sz="0" w:space="0" w:color="auto"/>
        <w:left w:val="none" w:sz="0" w:space="0" w:color="auto"/>
        <w:bottom w:val="none" w:sz="0" w:space="0" w:color="auto"/>
        <w:right w:val="none" w:sz="0" w:space="0" w:color="auto"/>
      </w:divBdr>
    </w:div>
    <w:div w:id="135391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6C69DC2-46E6-4788-BC23-291DE2777D9C}"/>
      </w:docPartPr>
      <w:docPartBody>
        <w:p w:rsidR="004D45D2" w:rsidRDefault="006D1939">
          <w:r w:rsidRPr="00656DE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39"/>
    <w:rsid w:val="00130750"/>
    <w:rsid w:val="0027225D"/>
    <w:rsid w:val="003A467A"/>
    <w:rsid w:val="004438F8"/>
    <w:rsid w:val="004D45D2"/>
    <w:rsid w:val="006D1939"/>
    <w:rsid w:val="00911A6F"/>
    <w:rsid w:val="00A44D8A"/>
    <w:rsid w:val="00BB75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193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63FDF5-EB54-4077-886A-2B3764042430}">
  <we:reference id="f78a3046-9e99-4300-aa2b-5814002b01a2" version="1.55.1.0" store="EXCatalog" storeType="EXCatalog"/>
  <we:alternateReferences>
    <we:reference id="WA104382081" version="1.55.1.0" store="en-US" storeType="OMEX"/>
  </we:alternateReferences>
  <we:properties>
    <we:property name="MENDELEY_CITATIONS" value="[{&quot;citationID&quot;:&quot;MENDELEY_CITATION_492d219d-7d52-49c4-a7ac-75400f12b8a5&quot;,&quot;properties&quot;:{&quot;noteIndex&quot;:0},&quot;isEdited&quot;:false,&quot;manualOverride&quot;:{&quot;isManuallyOverridden&quot;:false,&quot;citeprocText&quot;:&quot;(Sindermann et al., 2020)&quot;,&quot;manualOverrideText&quot;:&quot;&quot;},&quot;citationItems&quot;:[{&quot;id&quot;:&quot;055b1921-59de-3a42-8d20-fb362d1a4b05&quot;,&quot;itemData&quot;:{&quot;type&quot;:&quot;article-journal&quot;,&quot;id&quot;:&quot;055b1921-59de-3a42-8d20-fb362d1a4b05&quot;,&quot;title&quot;:&quot;Should We Pay for Our Social Media/Messenger Applications? Preliminary Data on the Acceptance of an Alternative to the Current Prevailing Data Business Model&quot;,&quot;author&quot;:[{&quot;family&quot;:&quot;Sindermann&quot;,&quot;given&quot;:&quot;Cornelia&quot;,&quot;parse-names&quot;:false,&quot;dropping-particle&quot;:&quot;&quot;,&quot;non-dropping-particle&quot;:&quot;&quot;},{&quot;family&quot;:&quot;Kuss&quot;,&quot;given&quot;:&quot;Daria J.&quot;,&quot;parse-names&quot;:false,&quot;dropping-particle&quot;:&quot;&quot;,&quot;non-dropping-particle&quot;:&quot;&quot;},{&quot;family&quot;:&quot;Throuvala&quot;,&quot;given&quot;:&quot;Melina A.&quot;,&quot;parse-names&quot;:false,&quot;dropping-particle&quot;:&quot;&quot;,&quot;non-dropping-particle&quot;:&quot;&quot;},{&quot;family&quot;:&quot;Griffiths&quot;,&quot;given&quot;:&quot;Mark D.&quot;,&quot;parse-names&quot;:false,&quot;dropping-particle&quot;:&quot;&quot;,&quot;non-dropping-particle&quot;:&quot;&quot;},{&quot;family&quot;:&quot;Montag&quot;,&quot;given&quot;:&quot;Christian&quot;,&quot;parse-names&quot;:false,&quot;dropping-particle&quot;:&quot;&quot;,&quot;non-dropping-particle&quot;:&quot;&quot;}],&quot;container-title&quot;:&quot;Frontiers in Psychology&quot;,&quot;container-title-short&quot;:&quot;Front Psychol&quot;,&quot;accessed&quot;:{&quot;date-parts&quot;:[[2023,6,6]]},&quot;DOI&quot;:&quot;10.3389/fpsyg.2020.01415&quot;,&quot;ISSN&quot;:&quot;1664-1078&quot;,&quot;URL&quot;:&quot;https://www.frontiersin.org/articles/10.3389/fpsyg.2020.01415&quot;,&quot;issued&quot;:{&quot;date-parts&quot;:[[2020,7,14]]},&quot;page&quot;:&quot;1415&quot;,&quot;abstract&quot;:&quot;In the age of surveillance capitalism, the prevailing business model underlying the use of social media applications (“apps”) foresees the exchange of personal data for the allowance to use an online service. Such a data business model comes with many potential negative side effects ranging from violation of privacy issues to election manipulation. Therefore, it is of utmost importance to think of alternatives to the current data business model. The present study investigated how strong the support would be for a monetary payment model among a sample of 210 participants. Participants were asked about their willingness to pay for social media, if in turn their data would be private and other problems concerning social media use would be tackled. Only one-fifth of participants (21.43%) supported such a model. From the Big Five personality traits, Agreeableness was positively associated with support of such a model. Finally, data are also provided on how much participants would be willing to pay for social media on a monthly basis. The present study’s findings are of a preliminary nature and will contribute to the start of an important discussion.&quot;,&quot;publisher&quot;:&quot;Frontiers Media S.A.&quot;,&quot;volume&quot;:&quot;11&quot;},&quot;isTemporary&quot;:false}],&quot;citationTag&quot;:&quot;MENDELEY_CITATION_v3_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&quot;}]"/>
    <we:property name="MENDELEY_CITATIONS_LOCALE_CODE" value="&quot;en-US&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557C6-57A8-4BEF-95E2-CC7411BA4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Hamad Bin Khalifa University</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Areej B. Babiker</dc:creator>
  <cp:keywords/>
  <dc:description/>
  <cp:lastModifiedBy>Areej B. Babiker</cp:lastModifiedBy>
  <cp:revision>3</cp:revision>
  <dcterms:created xsi:type="dcterms:W3CDTF">2024-06-02T08:52:00Z</dcterms:created>
  <dcterms:modified xsi:type="dcterms:W3CDTF">2024-06-02T08:52:00Z</dcterms:modified>
</cp:coreProperties>
</file>