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9199C" w14:textId="35791DCE" w:rsidR="0083614B" w:rsidRPr="00917D6F" w:rsidRDefault="0083614B" w:rsidP="0083614B">
      <w:pPr>
        <w:jc w:val="center"/>
        <w:rPr>
          <w:rFonts w:ascii="Times New Roman" w:hAnsi="Times New Roman" w:cs="Times New Roman"/>
          <w:sz w:val="28"/>
          <w:szCs w:val="28"/>
        </w:rPr>
      </w:pPr>
      <w:r w:rsidRPr="00917D6F">
        <w:rPr>
          <w:rFonts w:ascii="Times New Roman" w:hAnsi="Times New Roman" w:cs="Times New Roman"/>
          <w:sz w:val="28"/>
          <w:szCs w:val="28"/>
        </w:rPr>
        <w:t>Supplementary File: Bloodstream Infections and Antimicrobial Susceptibility Profile Evaluations Among Febrile Neutropenic Patients with Hematological Malignancies: A Single Center Retrospective Observational Study (2009-2019)</w:t>
      </w:r>
    </w:p>
    <w:p w14:paraId="610D9205" w14:textId="77777777" w:rsidR="00917D6F" w:rsidRPr="00917D6F" w:rsidRDefault="00917D6F">
      <w:pPr>
        <w:rPr>
          <w:rFonts w:asciiTheme="majorBidi" w:hAnsiTheme="majorBidi" w:cstheme="majorBidi"/>
        </w:rPr>
      </w:pPr>
    </w:p>
    <w:p w14:paraId="4AE6369A" w14:textId="57C0B48F" w:rsidR="00992C4F" w:rsidRPr="00917D6F" w:rsidRDefault="00917D6F">
      <w:pPr>
        <w:rPr>
          <w:rFonts w:asciiTheme="majorBidi" w:hAnsiTheme="majorBidi" w:cstheme="majorBidi"/>
          <w:b/>
          <w:bCs/>
        </w:rPr>
      </w:pPr>
      <w:r w:rsidRPr="00917D6F">
        <w:rPr>
          <w:rFonts w:asciiTheme="majorBidi" w:hAnsiTheme="majorBidi" w:cstheme="majorBidi"/>
          <w:b/>
          <w:bCs/>
        </w:rPr>
        <w:t xml:space="preserve">Table ST1: Definitions of clinical terms used in the </w:t>
      </w:r>
      <w:proofErr w:type="gramStart"/>
      <w:r w:rsidRPr="00917D6F">
        <w:rPr>
          <w:rFonts w:asciiTheme="majorBidi" w:hAnsiTheme="majorBidi" w:cstheme="majorBidi"/>
          <w:b/>
          <w:bCs/>
        </w:rPr>
        <w:t>manuscript</w:t>
      </w:r>
      <w:proofErr w:type="gramEnd"/>
    </w:p>
    <w:tbl>
      <w:tblPr>
        <w:tblStyle w:val="PlainTable2"/>
        <w:tblW w:w="9363" w:type="dxa"/>
        <w:tblLayout w:type="fixed"/>
        <w:tblLook w:val="04A0" w:firstRow="1" w:lastRow="0" w:firstColumn="1" w:lastColumn="0" w:noHBand="0" w:noVBand="1"/>
      </w:tblPr>
      <w:tblGrid>
        <w:gridCol w:w="1525"/>
        <w:gridCol w:w="5585"/>
        <w:gridCol w:w="2253"/>
      </w:tblGrid>
      <w:tr w:rsidR="00917D6F" w:rsidRPr="00917D6F" w14:paraId="2A6F7811" w14:textId="77777777" w:rsidTr="00D57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7AAF31D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bookmarkStart w:id="0" w:name="_Hlk146031553"/>
            <w:r w:rsidRPr="00917D6F">
              <w:rPr>
                <w:rFonts w:asciiTheme="majorBidi" w:hAnsiTheme="majorBidi" w:cstheme="majorBidi"/>
                <w:sz w:val="20"/>
                <w:szCs w:val="20"/>
              </w:rPr>
              <w:t>Clinical situation</w:t>
            </w:r>
          </w:p>
        </w:tc>
        <w:tc>
          <w:tcPr>
            <w:tcW w:w="5585" w:type="dxa"/>
          </w:tcPr>
          <w:p w14:paraId="043D7FAC" w14:textId="77777777" w:rsidR="0083614B" w:rsidRPr="00917D6F" w:rsidRDefault="0083614B" w:rsidP="00652AAF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Definition</w:t>
            </w:r>
          </w:p>
        </w:tc>
        <w:tc>
          <w:tcPr>
            <w:tcW w:w="2253" w:type="dxa"/>
          </w:tcPr>
          <w:p w14:paraId="46579EAF" w14:textId="77777777" w:rsidR="0083614B" w:rsidRPr="00917D6F" w:rsidRDefault="0083614B" w:rsidP="00652AAF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Reference</w:t>
            </w:r>
          </w:p>
        </w:tc>
      </w:tr>
      <w:tr w:rsidR="00917D6F" w:rsidRPr="00917D6F" w14:paraId="5C947FD2" w14:textId="77777777" w:rsidTr="00D57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115DEB83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Fever</w:t>
            </w:r>
          </w:p>
        </w:tc>
        <w:tc>
          <w:tcPr>
            <w:tcW w:w="5585" w:type="dxa"/>
          </w:tcPr>
          <w:p w14:paraId="5B20B111" w14:textId="77777777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A single oral or tympanic temperature exceeding 38.3 degrees Celsius (101 degrees Fahrenheit) or consistently above 38.0 degrees Celsius (100.4 degrees Fahrenheit) for at least one hour.</w:t>
            </w:r>
          </w:p>
        </w:tc>
        <w:tc>
          <w:tcPr>
            <w:tcW w:w="2253" w:type="dxa"/>
          </w:tcPr>
          <w:p w14:paraId="1035C706" w14:textId="186A9D35" w:rsidR="0083614B" w:rsidRPr="00917D6F" w:rsidRDefault="0083614B" w:rsidP="00652AAF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Klastersky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2016)</w:t>
            </w:r>
            <w:proofErr w:type="gram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  </w:t>
            </w:r>
            <w:r w:rsidR="0020709D"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[</w:t>
            </w:r>
            <w:proofErr w:type="gramEnd"/>
            <w:r w:rsidR="0020709D"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S1]</w:t>
            </w: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                                                                </w:t>
            </w:r>
          </w:p>
          <w:p w14:paraId="7A20EF97" w14:textId="77777777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723D2CE0" w14:textId="77777777" w:rsidTr="00D577BC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7F880D1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Septecemia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or sepsis</w:t>
            </w:r>
          </w:p>
        </w:tc>
        <w:tc>
          <w:tcPr>
            <w:tcW w:w="5585" w:type="dxa"/>
          </w:tcPr>
          <w:p w14:paraId="2372B07D" w14:textId="17C00446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is a severe medical condition where pathogenic microorganisms or their toxins are in the bloodstream, leading to a systemic inflammatory response. </w:t>
            </w:r>
          </w:p>
        </w:tc>
        <w:tc>
          <w:tcPr>
            <w:tcW w:w="2253" w:type="dxa"/>
          </w:tcPr>
          <w:p w14:paraId="58B10567" w14:textId="62BB1163" w:rsidR="0020709D" w:rsidRPr="00917D6F" w:rsidRDefault="0020709D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Gustinetti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 [S2]</w:t>
            </w:r>
          </w:p>
          <w:p w14:paraId="01E967BB" w14:textId="5FDDCC41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113E219C" w14:textId="77777777" w:rsidTr="00D57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FEF7335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Neutropenia</w:t>
            </w:r>
          </w:p>
        </w:tc>
        <w:tc>
          <w:tcPr>
            <w:tcW w:w="5585" w:type="dxa"/>
          </w:tcPr>
          <w:p w14:paraId="10237CF7" w14:textId="77777777" w:rsidR="0083614B" w:rsidRPr="00917D6F" w:rsidRDefault="0083614B" w:rsidP="00652AAF">
            <w:pPr>
              <w:autoSpaceDE w:val="0"/>
              <w:autoSpaceDN w:val="0"/>
              <w:adjustRightIn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A granulocyte count &lt; 500 cells/mL or &lt; 1000 cells/mL with an expected decline greater than or equal to 500 cells/mL over the next 48 hours</w:t>
            </w:r>
          </w:p>
          <w:p w14:paraId="3C7DD8DC" w14:textId="77777777" w:rsidR="0083614B" w:rsidRPr="00917D6F" w:rsidRDefault="0083614B" w:rsidP="00652AAF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Prolonged neutropenia defined by ANC 500 cells /mm</w:t>
            </w: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  <w:vertAlign w:val="superscript"/>
              </w:rPr>
              <w:t>3</w:t>
            </w: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for more than 7 days. </w:t>
            </w:r>
          </w:p>
          <w:p w14:paraId="42F5548D" w14:textId="77777777" w:rsidR="0083614B" w:rsidRPr="00917D6F" w:rsidRDefault="0083614B" w:rsidP="00652AAF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  <w:vertAlign w:val="superscript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Profound neutropenia is defined by ANC ≤100 cells/</w:t>
            </w:r>
            <w:proofErr w:type="gram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mm</w:t>
            </w: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  <w:vertAlign w:val="superscript"/>
              </w:rPr>
              <w:t>3</w:t>
            </w:r>
            <w:proofErr w:type="gramEnd"/>
          </w:p>
          <w:p w14:paraId="58B97CE3" w14:textId="77777777" w:rsidR="0083614B" w:rsidRPr="00917D6F" w:rsidRDefault="0083614B" w:rsidP="00652AAF">
            <w:pPr>
              <w:autoSpaceDE w:val="0"/>
              <w:autoSpaceDN w:val="0"/>
              <w:adjustRightIn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53" w:type="dxa"/>
          </w:tcPr>
          <w:p w14:paraId="2F12C675" w14:textId="77777777" w:rsidR="0020709D" w:rsidRPr="00917D6F" w:rsidRDefault="0020709D" w:rsidP="0020709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Gustinetti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 [S2]</w:t>
            </w:r>
          </w:p>
          <w:p w14:paraId="5EF8FE3C" w14:textId="5D52083C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7696F2F2" w14:textId="77777777" w:rsidTr="00D577BC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179C2109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High risk neutropenia </w:t>
            </w:r>
          </w:p>
        </w:tc>
        <w:tc>
          <w:tcPr>
            <w:tcW w:w="5585" w:type="dxa"/>
          </w:tcPr>
          <w:p w14:paraId="5BAC150F" w14:textId="77777777" w:rsidR="0083614B" w:rsidRPr="00917D6F" w:rsidRDefault="0083614B" w:rsidP="00652AAF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High risk neutropenia patients are those who have sustained prolonged and profound neutropenia exceeding 7 days.</w:t>
            </w:r>
          </w:p>
          <w:p w14:paraId="73B0C287" w14:textId="77777777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53" w:type="dxa"/>
          </w:tcPr>
          <w:p w14:paraId="7FACFEE7" w14:textId="77777777" w:rsidR="0020709D" w:rsidRPr="00917D6F" w:rsidRDefault="0020709D" w:rsidP="0020709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Gustinetti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 [S2]</w:t>
            </w:r>
          </w:p>
          <w:p w14:paraId="5F23AC54" w14:textId="7E54361D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0F5ABE3F" w14:textId="77777777" w:rsidTr="00D57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17F3255A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Colonization</w:t>
            </w:r>
          </w:p>
        </w:tc>
        <w:tc>
          <w:tcPr>
            <w:tcW w:w="5585" w:type="dxa"/>
          </w:tcPr>
          <w:p w14:paraId="65ECB5D9" w14:textId="77777777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Presence of microorganism on/in a host with growth and multiplication of the organism but without interaction between host and organism.</w:t>
            </w:r>
          </w:p>
        </w:tc>
        <w:tc>
          <w:tcPr>
            <w:tcW w:w="2253" w:type="dxa"/>
          </w:tcPr>
          <w:p w14:paraId="23DD2FA8" w14:textId="77777777" w:rsidR="0020709D" w:rsidRPr="00917D6F" w:rsidRDefault="0020709D" w:rsidP="0020709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Gustinetti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 [S2]</w:t>
            </w:r>
          </w:p>
          <w:p w14:paraId="450942F6" w14:textId="53489DDE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611DB02C" w14:textId="77777777" w:rsidTr="00D577BC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741396D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Blood stream infection </w:t>
            </w:r>
          </w:p>
        </w:tc>
        <w:tc>
          <w:tcPr>
            <w:tcW w:w="5585" w:type="dxa"/>
          </w:tcPr>
          <w:p w14:paraId="0C44C977" w14:textId="77777777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Blood stream infection or blood culture is considered positive if one or more sample yielded an organism </w:t>
            </w:r>
            <w:proofErr w:type="gram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with the exception of</w:t>
            </w:r>
            <w:proofErr w:type="gram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coagulase negative </w:t>
            </w:r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staphylococci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Corynebacterium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species other than </w:t>
            </w:r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C. </w:t>
            </w:r>
            <w:proofErr w:type="spellStart"/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diphterie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Bacillus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species </w:t>
            </w:r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B. anthracis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Micrococcus spp., 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etc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>…</w:t>
            </w:r>
            <w:r w:rsidRPr="00917D6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>at least 2 consecutive positive blood cultures, drawn in different occasions are needed</w:t>
            </w:r>
          </w:p>
        </w:tc>
        <w:tc>
          <w:tcPr>
            <w:tcW w:w="2253" w:type="dxa"/>
          </w:tcPr>
          <w:p w14:paraId="1FDDED1A" w14:textId="77777777" w:rsidR="0020709D" w:rsidRPr="00917D6F" w:rsidRDefault="0020709D" w:rsidP="0020709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Gustinetti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 [S2]</w:t>
            </w:r>
          </w:p>
          <w:p w14:paraId="45F19CEB" w14:textId="777A09FB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380A4E47" w14:textId="77777777" w:rsidTr="00D57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AFC68CB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Catheter-related bloodstream infection (CLABSI),</w:t>
            </w:r>
          </w:p>
        </w:tc>
        <w:tc>
          <w:tcPr>
            <w:tcW w:w="5585" w:type="dxa"/>
          </w:tcPr>
          <w:p w14:paraId="35379A60" w14:textId="6DD4CCC1" w:rsidR="0083614B" w:rsidRPr="00917D6F" w:rsidRDefault="0083614B" w:rsidP="0020709D">
            <w:pPr>
              <w:autoSpaceDE w:val="0"/>
              <w:autoSpaceDN w:val="0"/>
              <w:adjustRightIn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BSI and clinical manifestations of infection in presence of an intravascular device with &gt; 1 positive blood culture from a peripheral vein and no other reliable sources of infection. One of the following should also be present: a positive semiquantitative or quantitative catheter culture; blood culture obtained through catheter positive at least 2 hours earlier</w:t>
            </w:r>
            <w:r w:rsidR="0020709D"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than the blood culture drawn peripherally at the same time; quantitative cultures of blood with a ratio of 3:1 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cfu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>/mL of blood (catheter vs. peripheral blood)</w:t>
            </w:r>
          </w:p>
        </w:tc>
        <w:tc>
          <w:tcPr>
            <w:tcW w:w="2253" w:type="dxa"/>
          </w:tcPr>
          <w:p w14:paraId="1B6649B7" w14:textId="77777777" w:rsidR="0020709D" w:rsidRPr="00917D6F" w:rsidRDefault="0020709D" w:rsidP="0020709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Gustinetti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 [S2]</w:t>
            </w:r>
          </w:p>
          <w:p w14:paraId="312A1F94" w14:textId="1FDDCF4C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726E8D0F" w14:textId="77777777" w:rsidTr="00D577BC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E69C7A4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Empiric antibiotic</w:t>
            </w:r>
          </w:p>
        </w:tc>
        <w:tc>
          <w:tcPr>
            <w:tcW w:w="5585" w:type="dxa"/>
          </w:tcPr>
          <w:p w14:paraId="3B1CD437" w14:textId="77777777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Treatment given based on experience without precise knowledge of the cause or nature of the microorganism.</w:t>
            </w:r>
          </w:p>
        </w:tc>
        <w:tc>
          <w:tcPr>
            <w:tcW w:w="2253" w:type="dxa"/>
          </w:tcPr>
          <w:p w14:paraId="6AE0E4B1" w14:textId="28057AFA" w:rsidR="0020709D" w:rsidRPr="00917D6F" w:rsidRDefault="0020709D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Mettler et al., 2007 [S3]</w:t>
            </w:r>
          </w:p>
          <w:p w14:paraId="63416FE3" w14:textId="77777777" w:rsidR="0020709D" w:rsidRPr="00917D6F" w:rsidRDefault="0020709D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C0622B6" w14:textId="4BB466A1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393463B4" w14:textId="77777777" w:rsidTr="00D57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16267CB3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Antibiotic prophylaxis</w:t>
            </w:r>
          </w:p>
        </w:tc>
        <w:tc>
          <w:tcPr>
            <w:tcW w:w="5585" w:type="dxa"/>
          </w:tcPr>
          <w:p w14:paraId="5D8AA96E" w14:textId="77777777" w:rsidR="0083614B" w:rsidRPr="00917D6F" w:rsidRDefault="0083614B" w:rsidP="00652AAF">
            <w:pPr>
              <w:autoSpaceDE w:val="0"/>
              <w:autoSpaceDN w:val="0"/>
              <w:adjustRightInd w:val="0"/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Administration of antibiotics to patients without any signs or symptoms of infection with the aim of preventing infectious complications</w:t>
            </w:r>
          </w:p>
        </w:tc>
        <w:tc>
          <w:tcPr>
            <w:tcW w:w="2253" w:type="dxa"/>
          </w:tcPr>
          <w:p w14:paraId="31ED00D5" w14:textId="77777777" w:rsidR="0020709D" w:rsidRPr="00917D6F" w:rsidRDefault="0020709D" w:rsidP="0020709D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Gustinetti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et al., 2016 [S2]</w:t>
            </w:r>
          </w:p>
          <w:p w14:paraId="2B92C8F7" w14:textId="67C5FFA3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17D6F" w:rsidRPr="00917D6F" w14:paraId="5AB16DD6" w14:textId="77777777" w:rsidTr="00D577BC">
        <w:trPr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9E1BE2B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Multidrug resistance</w:t>
            </w:r>
          </w:p>
        </w:tc>
        <w:tc>
          <w:tcPr>
            <w:tcW w:w="5585" w:type="dxa"/>
          </w:tcPr>
          <w:p w14:paraId="54493FED" w14:textId="77777777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Multi-drug resistant Gram-negative bacilli (GNB) infections arise from various types of bacteria, including those producing extended-spectrum β-lactamases (ESBL-E) and 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AmpC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β-lactamases (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AmpC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-E), as well as carbapenem-resistant strains (CRE) of 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Enterobacterales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. Additionally, Pseudomonas aeruginosa with challenging-to-treat resistance (DTR-P. aeruginosa), carbapenem-resistant species of Acinetobacter 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baumannii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(CRAB), and Stenotrophomonas </w:t>
            </w:r>
            <w:proofErr w:type="spellStart"/>
            <w:r w:rsidRPr="00917D6F">
              <w:rPr>
                <w:rFonts w:asciiTheme="majorBidi" w:hAnsiTheme="majorBidi" w:cstheme="majorBidi"/>
                <w:sz w:val="20"/>
                <w:szCs w:val="20"/>
              </w:rPr>
              <w:t>maltophilia</w:t>
            </w:r>
            <w:proofErr w:type="spellEnd"/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are implicated. It's worth noting that a number of these pathogens have been classified as urgent or serious threats by the Centers for Disease Control and Prevention (CDC).</w:t>
            </w:r>
          </w:p>
          <w:p w14:paraId="19264BCE" w14:textId="77777777" w:rsidR="0083614B" w:rsidRPr="00917D6F" w:rsidRDefault="0083614B" w:rsidP="00652AAF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53" w:type="dxa"/>
          </w:tcPr>
          <w:p w14:paraId="6BC0B375" w14:textId="53AD4A41" w:rsidR="0083614B" w:rsidRPr="00917D6F" w:rsidRDefault="001D5291" w:rsidP="0020709D">
            <w:pPr>
              <w:spacing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</w:rPr>
              <w:t>Tamma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et al., 2023</w:t>
            </w:r>
            <w:r w:rsidR="002657B0"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20709D" w:rsidRPr="00917D6F">
              <w:rPr>
                <w:rFonts w:asciiTheme="majorBidi" w:hAnsiTheme="majorBidi" w:cstheme="majorBidi"/>
                <w:sz w:val="20"/>
                <w:szCs w:val="20"/>
              </w:rPr>
              <w:t>[S4]</w:t>
            </w:r>
          </w:p>
        </w:tc>
      </w:tr>
      <w:tr w:rsidR="00917D6F" w:rsidRPr="00917D6F" w14:paraId="0D5FA13B" w14:textId="77777777" w:rsidTr="00D577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3CF9EF4" w14:textId="77777777" w:rsidR="0083614B" w:rsidRPr="00917D6F" w:rsidRDefault="0083614B" w:rsidP="00652AAF">
            <w:pPr>
              <w:spacing w:after="120"/>
              <w:jc w:val="both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Polymicrobial BSI</w:t>
            </w:r>
          </w:p>
        </w:tc>
        <w:tc>
          <w:tcPr>
            <w:tcW w:w="5585" w:type="dxa"/>
          </w:tcPr>
          <w:p w14:paraId="2BA7D1D2" w14:textId="5807C88C" w:rsidR="0020709D" w:rsidRPr="00917D6F" w:rsidRDefault="00D577BC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M</w:t>
            </w:r>
            <w:r w:rsidR="0083614B"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ore than 1 bacterial or fungal species</w:t>
            </w:r>
            <w:r w:rsidR="0020709D"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20709D"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positive</w:t>
            </w: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-culture</w:t>
            </w:r>
            <w:proofErr w:type="gramEnd"/>
            <w:r w:rsidR="0020709D"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in the same blood</w:t>
            </w:r>
            <w:r w:rsidR="0083614B"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 xml:space="preserve"> </w:t>
            </w:r>
            <w:r w:rsidRPr="00917D6F">
              <w:rPr>
                <w:rFonts w:asciiTheme="majorBidi" w:hAnsiTheme="majorBidi" w:cstheme="majorBidi"/>
                <w:sz w:val="20"/>
                <w:szCs w:val="20"/>
                <w:shd w:val="clear" w:color="auto" w:fill="FFFFFF"/>
              </w:rPr>
              <w:t>isolate</w:t>
            </w:r>
          </w:p>
          <w:p w14:paraId="5DA24060" w14:textId="2F8E5F27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53" w:type="dxa"/>
          </w:tcPr>
          <w:p w14:paraId="348C81E3" w14:textId="68AA569E" w:rsidR="0083614B" w:rsidRPr="00917D6F" w:rsidRDefault="0083614B" w:rsidP="00652AAF">
            <w:pPr>
              <w:spacing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917D6F">
              <w:rPr>
                <w:rFonts w:asciiTheme="majorBidi" w:hAnsiTheme="majorBidi" w:cstheme="majorBidi"/>
                <w:sz w:val="20"/>
                <w:szCs w:val="20"/>
              </w:rPr>
              <w:t>Rolston et al., 2007</w:t>
            </w:r>
            <w:r w:rsidR="002657B0"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[</w:t>
            </w:r>
            <w:r w:rsidR="0020709D" w:rsidRPr="00917D6F">
              <w:rPr>
                <w:rFonts w:asciiTheme="majorBidi" w:hAnsiTheme="majorBidi" w:cstheme="majorBidi"/>
                <w:sz w:val="20"/>
                <w:szCs w:val="20"/>
              </w:rPr>
              <w:t>S5</w:t>
            </w:r>
            <w:r w:rsidR="002657B0" w:rsidRPr="00917D6F">
              <w:rPr>
                <w:rFonts w:asciiTheme="majorBidi" w:hAnsiTheme="majorBidi" w:cstheme="majorBidi"/>
                <w:sz w:val="20"/>
                <w:szCs w:val="20"/>
              </w:rPr>
              <w:t>]</w:t>
            </w:r>
            <w:r w:rsidRPr="00917D6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bookmarkEnd w:id="0"/>
    </w:tbl>
    <w:p w14:paraId="4676EADC" w14:textId="77777777" w:rsidR="0083614B" w:rsidRPr="00917D6F" w:rsidRDefault="0083614B"/>
    <w:p w14:paraId="773C6F7C" w14:textId="407E2945" w:rsidR="0020709D" w:rsidRPr="00917D6F" w:rsidRDefault="0020320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17D6F">
        <w:rPr>
          <w:rFonts w:asciiTheme="majorBidi" w:hAnsiTheme="majorBidi" w:cstheme="majorBidi"/>
          <w:b/>
          <w:bCs/>
          <w:sz w:val="24"/>
          <w:szCs w:val="24"/>
        </w:rPr>
        <w:t>References</w:t>
      </w:r>
    </w:p>
    <w:p w14:paraId="0957B6DB" w14:textId="43B839F4" w:rsidR="0020709D" w:rsidRPr="00917D6F" w:rsidRDefault="0020709D">
      <w:pPr>
        <w:rPr>
          <w:rFonts w:asciiTheme="majorBidi" w:hAnsiTheme="majorBidi" w:cstheme="majorBidi"/>
        </w:rPr>
      </w:pPr>
      <w:r w:rsidRPr="00917D6F">
        <w:rPr>
          <w:rFonts w:asciiTheme="majorBidi" w:hAnsiTheme="majorBidi" w:cstheme="majorBidi"/>
        </w:rPr>
        <w:t>[S1</w:t>
      </w:r>
      <w:proofErr w:type="gramStart"/>
      <w:r w:rsidRPr="00917D6F">
        <w:rPr>
          <w:rFonts w:asciiTheme="majorBidi" w:hAnsiTheme="majorBidi" w:cstheme="majorBidi"/>
        </w:rPr>
        <w:t xml:space="preserve">]  </w:t>
      </w:r>
      <w:proofErr w:type="spellStart"/>
      <w:r w:rsidRPr="00917D6F">
        <w:rPr>
          <w:rFonts w:asciiTheme="majorBidi" w:hAnsiTheme="majorBidi" w:cstheme="majorBidi"/>
        </w:rPr>
        <w:t>Klastersky</w:t>
      </w:r>
      <w:proofErr w:type="spellEnd"/>
      <w:proofErr w:type="gramEnd"/>
      <w:r w:rsidRPr="00917D6F">
        <w:rPr>
          <w:rFonts w:asciiTheme="majorBidi" w:hAnsiTheme="majorBidi" w:cstheme="majorBidi"/>
        </w:rPr>
        <w:t xml:space="preserve"> J, de </w:t>
      </w:r>
      <w:proofErr w:type="spellStart"/>
      <w:r w:rsidRPr="00917D6F">
        <w:rPr>
          <w:rFonts w:asciiTheme="majorBidi" w:hAnsiTheme="majorBidi" w:cstheme="majorBidi"/>
        </w:rPr>
        <w:t>Naurois</w:t>
      </w:r>
      <w:proofErr w:type="spellEnd"/>
      <w:r w:rsidRPr="00917D6F">
        <w:rPr>
          <w:rFonts w:asciiTheme="majorBidi" w:hAnsiTheme="majorBidi" w:cstheme="majorBidi"/>
        </w:rPr>
        <w:t xml:space="preserve"> J, Rolston K, Rapoport B, Maschmeyer G, Aapro M, Herrstedt J; ESMO Guidelines Committee. Management of febrile </w:t>
      </w:r>
      <w:proofErr w:type="spellStart"/>
      <w:r w:rsidRPr="00917D6F">
        <w:rPr>
          <w:rFonts w:asciiTheme="majorBidi" w:hAnsiTheme="majorBidi" w:cstheme="majorBidi"/>
        </w:rPr>
        <w:t>neutropaenia</w:t>
      </w:r>
      <w:proofErr w:type="spellEnd"/>
      <w:r w:rsidRPr="00917D6F">
        <w:rPr>
          <w:rFonts w:asciiTheme="majorBidi" w:hAnsiTheme="majorBidi" w:cstheme="majorBidi"/>
        </w:rPr>
        <w:t>: ESMO Clinical Practice Guidelines. Ann Oncol. 2016 Sep;27(suppl 5</w:t>
      </w:r>
      <w:proofErr w:type="gramStart"/>
      <w:r w:rsidRPr="00917D6F">
        <w:rPr>
          <w:rFonts w:asciiTheme="majorBidi" w:hAnsiTheme="majorBidi" w:cstheme="majorBidi"/>
        </w:rPr>
        <w:t>):v</w:t>
      </w:r>
      <w:proofErr w:type="gramEnd"/>
      <w:r w:rsidRPr="00917D6F">
        <w:rPr>
          <w:rFonts w:asciiTheme="majorBidi" w:hAnsiTheme="majorBidi" w:cstheme="majorBidi"/>
        </w:rPr>
        <w:t xml:space="preserve">111-v118. </w:t>
      </w:r>
      <w:proofErr w:type="spellStart"/>
      <w:r w:rsidRPr="00917D6F">
        <w:rPr>
          <w:rFonts w:asciiTheme="majorBidi" w:hAnsiTheme="majorBidi" w:cstheme="majorBidi"/>
        </w:rPr>
        <w:t>doi</w:t>
      </w:r>
      <w:proofErr w:type="spellEnd"/>
      <w:r w:rsidRPr="00917D6F">
        <w:rPr>
          <w:rFonts w:asciiTheme="majorBidi" w:hAnsiTheme="majorBidi" w:cstheme="majorBidi"/>
        </w:rPr>
        <w:t>: 10.1093/</w:t>
      </w:r>
      <w:proofErr w:type="spellStart"/>
      <w:r w:rsidRPr="00917D6F">
        <w:rPr>
          <w:rFonts w:asciiTheme="majorBidi" w:hAnsiTheme="majorBidi" w:cstheme="majorBidi"/>
        </w:rPr>
        <w:t>annonc</w:t>
      </w:r>
      <w:proofErr w:type="spellEnd"/>
      <w:r w:rsidRPr="00917D6F">
        <w:rPr>
          <w:rFonts w:asciiTheme="majorBidi" w:hAnsiTheme="majorBidi" w:cstheme="majorBidi"/>
        </w:rPr>
        <w:t>/mdw325. PMID: 27664247.</w:t>
      </w:r>
    </w:p>
    <w:p w14:paraId="08A8D659" w14:textId="6B7C6866" w:rsidR="0020709D" w:rsidRPr="00917D6F" w:rsidRDefault="0020709D">
      <w:pPr>
        <w:rPr>
          <w:rFonts w:asciiTheme="majorBidi" w:hAnsiTheme="majorBidi" w:cstheme="majorBidi"/>
        </w:rPr>
      </w:pPr>
      <w:r w:rsidRPr="00917D6F">
        <w:rPr>
          <w:rFonts w:asciiTheme="majorBidi" w:hAnsiTheme="majorBidi" w:cstheme="majorBidi"/>
        </w:rPr>
        <w:t xml:space="preserve">[S2] </w:t>
      </w:r>
      <w:proofErr w:type="spellStart"/>
      <w:r w:rsidRPr="00917D6F">
        <w:rPr>
          <w:rFonts w:asciiTheme="majorBidi" w:hAnsiTheme="majorBidi" w:cstheme="majorBidi"/>
        </w:rPr>
        <w:t>Gustinetti</w:t>
      </w:r>
      <w:proofErr w:type="spellEnd"/>
      <w:r w:rsidRPr="00917D6F">
        <w:rPr>
          <w:rFonts w:asciiTheme="majorBidi" w:hAnsiTheme="majorBidi" w:cstheme="majorBidi"/>
        </w:rPr>
        <w:t xml:space="preserve">, G., &amp; Mikulska, M. (2016). Bloodstream infections in neutropenic cancer patients: A practical update. Virulence, 7(3), 280–297. </w:t>
      </w:r>
      <w:hyperlink r:id="rId4" w:history="1">
        <w:r w:rsidRPr="00917D6F">
          <w:rPr>
            <w:rStyle w:val="Hyperlink"/>
            <w:rFonts w:asciiTheme="majorBidi" w:hAnsiTheme="majorBidi" w:cstheme="majorBidi"/>
            <w:color w:val="auto"/>
          </w:rPr>
          <w:t>https://doi.org/10.1080/21505594.2016.1156821</w:t>
        </w:r>
      </w:hyperlink>
      <w:r w:rsidRPr="00917D6F">
        <w:rPr>
          <w:rFonts w:asciiTheme="majorBidi" w:hAnsiTheme="majorBidi" w:cstheme="majorBidi"/>
        </w:rPr>
        <w:t>.</w:t>
      </w:r>
    </w:p>
    <w:p w14:paraId="1CCCC96B" w14:textId="439C2101" w:rsidR="0020709D" w:rsidRPr="00917D6F" w:rsidRDefault="0020709D">
      <w:pPr>
        <w:rPr>
          <w:rFonts w:asciiTheme="majorBidi" w:hAnsiTheme="majorBidi" w:cstheme="majorBidi"/>
        </w:rPr>
      </w:pPr>
      <w:r w:rsidRPr="00917D6F">
        <w:rPr>
          <w:rFonts w:asciiTheme="majorBidi" w:hAnsiTheme="majorBidi" w:cstheme="majorBidi"/>
        </w:rPr>
        <w:t xml:space="preserve">[S3] Mettler, J., Simcock, M., Sendi, P., Widmer, A. F., </w:t>
      </w:r>
      <w:proofErr w:type="spellStart"/>
      <w:r w:rsidRPr="00917D6F">
        <w:rPr>
          <w:rFonts w:asciiTheme="majorBidi" w:hAnsiTheme="majorBidi" w:cstheme="majorBidi"/>
        </w:rPr>
        <w:t>Bingisser</w:t>
      </w:r>
      <w:proofErr w:type="spellEnd"/>
      <w:r w:rsidRPr="00917D6F">
        <w:rPr>
          <w:rFonts w:asciiTheme="majorBidi" w:hAnsiTheme="majorBidi" w:cstheme="majorBidi"/>
        </w:rPr>
        <w:t xml:space="preserve">, R., Battegay, M., Fluckiger, U., &amp; Bassetti, S. (2007). Empirical use of antibiotics and adjustment of empirical antibiotic therapies in a university hospital: a prospective observational study. BMC infectious diseases, 7, 21. </w:t>
      </w:r>
      <w:hyperlink r:id="rId5" w:history="1">
        <w:r w:rsidRPr="00917D6F">
          <w:rPr>
            <w:rStyle w:val="Hyperlink"/>
            <w:rFonts w:asciiTheme="majorBidi" w:hAnsiTheme="majorBidi" w:cstheme="majorBidi"/>
            <w:color w:val="auto"/>
          </w:rPr>
          <w:t>https://doi.org/10.1186/1471-2334-7-21</w:t>
        </w:r>
      </w:hyperlink>
    </w:p>
    <w:p w14:paraId="4893E267" w14:textId="7F0E01E7" w:rsidR="0020709D" w:rsidRPr="00917D6F" w:rsidRDefault="0020709D" w:rsidP="001D5291">
      <w:pPr>
        <w:rPr>
          <w:rFonts w:asciiTheme="majorBidi" w:hAnsiTheme="majorBidi" w:cstheme="majorBidi"/>
        </w:rPr>
      </w:pPr>
      <w:r w:rsidRPr="00917D6F">
        <w:rPr>
          <w:rFonts w:asciiTheme="majorBidi" w:hAnsiTheme="majorBidi" w:cstheme="majorBidi"/>
        </w:rPr>
        <w:t xml:space="preserve">[S4] </w:t>
      </w:r>
      <w:r w:rsidR="001D5291" w:rsidRPr="00917D6F">
        <w:rPr>
          <w:rFonts w:asciiTheme="majorBidi" w:hAnsiTheme="majorBidi" w:cstheme="majorBidi"/>
        </w:rPr>
        <w:t xml:space="preserve">Tamma, P.D., Aitken, S.L., Bonomo, R.A., Mathers, A.J., van Duin, D. and Clancy, C.J., 2023. Infectious diseases society of America 2023 guidance on the treatment of antimicrobial resistant gram-negative infections. Clinical Infectious Diseases, </w:t>
      </w:r>
      <w:proofErr w:type="gramStart"/>
      <w:r w:rsidR="001D5291" w:rsidRPr="00917D6F">
        <w:rPr>
          <w:rFonts w:asciiTheme="majorBidi" w:hAnsiTheme="majorBidi" w:cstheme="majorBidi"/>
        </w:rPr>
        <w:t>p.ciad</w:t>
      </w:r>
      <w:proofErr w:type="gramEnd"/>
      <w:r w:rsidR="001D5291" w:rsidRPr="00917D6F">
        <w:rPr>
          <w:rFonts w:asciiTheme="majorBidi" w:hAnsiTheme="majorBidi" w:cstheme="majorBidi"/>
        </w:rPr>
        <w:t xml:space="preserve">428. </w:t>
      </w:r>
      <w:hyperlink r:id="rId6" w:history="1">
        <w:r w:rsidR="001D5291" w:rsidRPr="00917D6F">
          <w:rPr>
            <w:rStyle w:val="Hyperlink"/>
            <w:rFonts w:asciiTheme="majorBidi" w:hAnsiTheme="majorBidi" w:cstheme="majorBidi"/>
            <w:color w:val="auto"/>
          </w:rPr>
          <w:t>www.idsociety.org/practice-guideline/amr-guidance/</w:t>
        </w:r>
      </w:hyperlink>
    </w:p>
    <w:p w14:paraId="39972334" w14:textId="1624D9F1" w:rsidR="0020709D" w:rsidRPr="00917D6F" w:rsidRDefault="0020709D">
      <w:pPr>
        <w:rPr>
          <w:rFonts w:asciiTheme="majorBidi" w:hAnsiTheme="majorBidi" w:cstheme="majorBidi"/>
        </w:rPr>
      </w:pPr>
      <w:r w:rsidRPr="00917D6F">
        <w:rPr>
          <w:rFonts w:asciiTheme="majorBidi" w:hAnsiTheme="majorBidi" w:cstheme="majorBidi"/>
        </w:rPr>
        <w:t xml:space="preserve">[S5] Rolston KV, Bodey GP, Safdar A. Polymicrobial infection in patients with cancer: an underappreciated and underreported entity. Clin Infect Dis. 2007 Jul 15;45(2):228-33. </w:t>
      </w:r>
      <w:proofErr w:type="spellStart"/>
      <w:r w:rsidRPr="00917D6F">
        <w:rPr>
          <w:rFonts w:asciiTheme="majorBidi" w:hAnsiTheme="majorBidi" w:cstheme="majorBidi"/>
        </w:rPr>
        <w:t>doi</w:t>
      </w:r>
      <w:proofErr w:type="spellEnd"/>
      <w:r w:rsidRPr="00917D6F">
        <w:rPr>
          <w:rFonts w:asciiTheme="majorBidi" w:hAnsiTheme="majorBidi" w:cstheme="majorBidi"/>
        </w:rPr>
        <w:t xml:space="preserve">: 10.1086/518873. </w:t>
      </w:r>
      <w:proofErr w:type="spellStart"/>
      <w:r w:rsidRPr="00917D6F">
        <w:rPr>
          <w:rFonts w:asciiTheme="majorBidi" w:hAnsiTheme="majorBidi" w:cstheme="majorBidi"/>
        </w:rPr>
        <w:t>Epub</w:t>
      </w:r>
      <w:proofErr w:type="spellEnd"/>
      <w:r w:rsidRPr="00917D6F">
        <w:rPr>
          <w:rFonts w:asciiTheme="majorBidi" w:hAnsiTheme="majorBidi" w:cstheme="majorBidi"/>
        </w:rPr>
        <w:t xml:space="preserve"> 2007 Jun 4. PMID: 17578784.</w:t>
      </w:r>
    </w:p>
    <w:p w14:paraId="649414BF" w14:textId="77777777" w:rsidR="0020709D" w:rsidRPr="00917D6F" w:rsidRDefault="0020709D"/>
    <w:sectPr w:rsidR="0020709D" w:rsidRPr="0091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06"/>
    <w:rsid w:val="001D5291"/>
    <w:rsid w:val="00203207"/>
    <w:rsid w:val="0020709D"/>
    <w:rsid w:val="002657B0"/>
    <w:rsid w:val="00827DA1"/>
    <w:rsid w:val="0083614B"/>
    <w:rsid w:val="00917D6F"/>
    <w:rsid w:val="00992C4F"/>
    <w:rsid w:val="00C85B06"/>
    <w:rsid w:val="00D5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7D961"/>
  <w15:chartTrackingRefBased/>
  <w15:docId w15:val="{34126D69-F975-4EE7-9BE6-5082B4CA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14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614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3614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20709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070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52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dsociety.org/practice-guideline/amr-guidance/" TargetMode="External"/><Relationship Id="rId5" Type="http://schemas.openxmlformats.org/officeDocument/2006/relationships/hyperlink" Target="https://doi.org/10.1186/1471-2334-7-21" TargetMode="External"/><Relationship Id="rId4" Type="http://schemas.openxmlformats.org/officeDocument/2006/relationships/hyperlink" Target="https://doi.org/10.1080/21505594.2016.11568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Regina Padmanabhan</dc:creator>
  <cp:keywords/>
  <dc:description/>
  <cp:lastModifiedBy>Dr. Regina Padmanabhan</cp:lastModifiedBy>
  <cp:revision>7</cp:revision>
  <dcterms:created xsi:type="dcterms:W3CDTF">2023-09-19T18:52:00Z</dcterms:created>
  <dcterms:modified xsi:type="dcterms:W3CDTF">2023-09-20T08:39:00Z</dcterms:modified>
</cp:coreProperties>
</file>