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4C589A" w14:textId="2AC1C5D7" w:rsidR="00B151D6" w:rsidRPr="00051E8F" w:rsidRDefault="003850CD" w:rsidP="00C810DD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619834" wp14:editId="175CE93C">
                <wp:simplePos x="0" y="0"/>
                <wp:positionH relativeFrom="column">
                  <wp:posOffset>-257175</wp:posOffset>
                </wp:positionH>
                <wp:positionV relativeFrom="paragraph">
                  <wp:posOffset>5523321</wp:posOffset>
                </wp:positionV>
                <wp:extent cx="262890" cy="256540"/>
                <wp:effectExtent l="0" t="0" r="0" b="0"/>
                <wp:wrapNone/>
                <wp:docPr id="536081113" name="Text Box 53608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" cy="256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42A72E" w14:textId="77777777" w:rsidR="003850CD" w:rsidRPr="009D4A12" w:rsidRDefault="003850CD" w:rsidP="003850CD">
                            <w:pPr>
                              <w:ind w:left="-725" w:right="-725" w:firstLine="725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9D4A12">
                              <w:rPr>
                                <w:b/>
                                <w:bCs/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19834" id="_x0000_t202" coordsize="21600,21600" o:spt="202" path="m,l,21600r21600,l21600,xe">
                <v:stroke joinstyle="miter"/>
                <v:path gradientshapeok="t" o:connecttype="rect"/>
              </v:shapetype>
              <v:shape id="Text Box 536081113" o:spid="_x0000_s1026" type="#_x0000_t202" style="position:absolute;left:0;text-align:left;margin-left:-20.25pt;margin-top:434.9pt;width:20.7pt;height:20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B4VFgIAACsEAAAOAAAAZHJzL2Uyb0RvYy54bWysU01vGyEQvVfqf0Dc67W3tpusvI7cRK4q&#10;RUkkp8oZs+BdCRgK2Lvur+/Arj+U9lT1AgNvmI/3hsVdpxU5COcbMCWdjMaUCMOhasyupD9e159u&#10;KPGBmYopMKKkR+Hp3fLjh0VrC5FDDaoSjmAQ44vWlrQOwRZZ5nktNPMjsMIgKMFpFvDodlnlWIvR&#10;tcry8XieteAq64AL7/H2oQfpMsWXUvDwLKUXgaiSYm0hrS6t27hmywUrdo7ZuuFDGewfqtCsMZj0&#10;HOqBBUb2rvkjlG64Aw8yjDjoDKRsuEg9YDeT8btuNjWzIvWC5Hh7psn/v7D86bCxL46E7it0KGAk&#10;pLW+8HgZ++mk03HHSgniSOHxTJvoAuF4mc/zm1tEOEL5bD6bJlqzy2PrfPgmQJNolNShKoksdnj0&#10;AROi68kl5jKwbpRKyihD2pLOP8/G6cEZwRfK4MNLqdEK3bYb6t9CdcS2HPSKe8vXDSZ/ZD68MIcS&#10;Y704tuEZF6kAk8BgUVKD+/W3++iPzCNKSYsjU1L/c8+coER9N6jJ7WSKrZOQDtPZlxwP7hrZXiNm&#10;r+8Bp3KCH8TyZEb/oE6mdKDfcLpXMStCzHDMXdJwMu9DP8j4O7hYrZITTpVl4dFsLI+hI52R2tfu&#10;jTk78B9QuCc4DRcr3snQ+/ZCrPYBZJM0igT3rA6840Qm6YbfE0f++py8Ln98+RsAAP//AwBQSwME&#10;FAAGAAgAAAAhANhUpdXkAAAADQEAAA8AAABkcnMvZG93bnJldi54bWxMj09PwkAQxe8mfofNkHiD&#10;XRohpXRLSA0xMXoAuXibdpe2Yf/U7gLVT+940stLJvPmzfvlm9EadtVD6LyTMJ8JYNrVXnWukXB8&#10;301TYCGiU2i80xK+dIBNcX+XY6b8ze319RAbRiEuZCihjbHPOA91qy2Gme+1o93JDxYjjUPD1YA3&#10;CreGJ0IsucXO0YcWe122uj4fLlbCS7l7w32V2PTblM+vp23/efxYSPkwGZ/WJNs1sKjH+HcBvwzU&#10;HwoqVvmLU4EZCdNHsSCrhHS5IhByrIBVpHORAC9y/p+i+AEAAP//AwBQSwECLQAUAAYACAAAACEA&#10;toM4kv4AAADhAQAAEwAAAAAAAAAAAAAAAAAAAAAAW0NvbnRlbnRfVHlwZXNdLnhtbFBLAQItABQA&#10;BgAIAAAAIQA4/SH/1gAAAJQBAAALAAAAAAAAAAAAAAAAAC8BAABfcmVscy8ucmVsc1BLAQItABQA&#10;BgAIAAAAIQCTSB4VFgIAACsEAAAOAAAAAAAAAAAAAAAAAC4CAABkcnMvZTJvRG9jLnhtbFBLAQIt&#10;ABQABgAIAAAAIQDYVKXV5AAAAA0BAAAPAAAAAAAAAAAAAAAAAHAEAABkcnMvZG93bnJldi54bWxQ&#10;SwUGAAAAAAQABADzAAAAgQUAAAAA&#10;" filled="f" stroked="f" strokeweight=".5pt">
                <v:textbox>
                  <w:txbxContent>
                    <w:p w14:paraId="6242A72E" w14:textId="77777777" w:rsidR="003850CD" w:rsidRPr="009D4A12" w:rsidRDefault="003850CD" w:rsidP="003850CD">
                      <w:pPr>
                        <w:ind w:left="-725" w:right="-725" w:firstLine="725"/>
                        <w:rPr>
                          <w:b/>
                          <w:bCs/>
                          <w:lang w:val="en-US"/>
                        </w:rPr>
                      </w:pPr>
                      <w:r w:rsidRPr="009D4A12">
                        <w:rPr>
                          <w:b/>
                          <w:bCs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8204F4" wp14:editId="6ADDCBB5">
                <wp:simplePos x="0" y="0"/>
                <wp:positionH relativeFrom="column">
                  <wp:posOffset>-262164</wp:posOffset>
                </wp:positionH>
                <wp:positionV relativeFrom="paragraph">
                  <wp:posOffset>-78105</wp:posOffset>
                </wp:positionV>
                <wp:extent cx="262890" cy="256540"/>
                <wp:effectExtent l="0" t="0" r="3810" b="0"/>
                <wp:wrapNone/>
                <wp:docPr id="2081365523" name="Text Box 2081365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" cy="256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1467C1" w14:textId="77777777" w:rsidR="003850CD" w:rsidRPr="009D4A12" w:rsidRDefault="003850CD" w:rsidP="003850CD">
                            <w:pPr>
                              <w:ind w:left="-725" w:right="-725" w:firstLine="725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9D4A12">
                              <w:rPr>
                                <w:b/>
                                <w:bCs/>
                                <w:lang w:val="en-US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04F4" id="Text Box 2081365523" o:spid="_x0000_s1027" type="#_x0000_t202" style="position:absolute;left:0;text-align:left;margin-left:-20.65pt;margin-top:-6.15pt;width:20.7pt;height:20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7WkLgIAAFoEAAAOAAAAZHJzL2Uyb0RvYy54bWysVEtv2zAMvg/YfxB0X5x4SdYacYosRYYB&#10;RVsgLXpWZCkWIIuapMTOfv0oOa91Ow27yKRI8fF9pGd3XaPJXjivwJR0NBhSIgyHSpltSV9fVp9u&#10;KPGBmYppMKKkB+Hp3fzjh1lrC5FDDboSjmAQ44vWlrQOwRZZ5nktGuYHYIVBowTXsICq22aVYy1G&#10;b3SWD4fTrAVXWQdceI+3972RzlN8KQUPT1J6EYguKdYW0unSuYlnNp+xYuuYrRU/lsH+oYqGKYNJ&#10;z6HuWWBk59QfoRrFHXiQYcChyUBKxUXqAbsZDd91s66ZFakXBMfbM0z+/4Xlj/u1fXYkdF+hQwIj&#10;IK31hcfL2E8nXRO/WClBO0J4OMMmukA4XubT/OYWLRxN+WQ6GSdYs8tj63z4JqAhUSipQ1YSWGz/&#10;4AMmRNeTS8zlQatqpbROSpwEsdSO7BlyuNmmEvHFb17akLak08+TYQpsID7vI2uDCS4tRSl0m46o&#10;6qrdDVQHRMFBPyDe8pXCWh+YD8/M4URgezjl4QkPqQFzwVGipAb382/30R+JQislLU5YSf2PHXOC&#10;Ev3dIIW3ozEiRUJSxpMvOSru2rK5tphdswQEYIT7ZHkSo3/QJ1E6aN5wGRYxK5qY4Zi7pOEkLkM/&#10;97hMXCwWyQmH0LLwYNaWx9AR8MjES/fGnD3SFZDnRzjNIivesdb7xpcGFrsAUiVKI849qkf4cYAT&#10;08dlixtyrSevyy9h/gsAAP//AwBQSwMEFAAGAAgAAAAhAPURvlDeAAAADAEAAA8AAABkcnMvZG93&#10;bnJldi54bWxMT01PwzAMvSPtP0RG4ralLTBNXdNpA3ZGtDtwzBrTljVO1WRb6a/HcIGL9Sw/v49s&#10;M9pOXHDwrSMF8SICgVQ501Kt4FDu5ysQPmgyunOECr7Qwyaf3WQ6Ne5Kb3gpQi1YhHyqFTQh9KmU&#10;vmrQar9wPRLfPtxgdeB1qKUZ9JXFbSeTKFpKq1tih0b3+NRgdSrOln1d+XKatkGW+wqLnXmcPl/f&#10;J6XubsfnNY/tGkTAMfx9wE8Hzg85Bzu6MxkvOgXzh/ieqQzihMEvQxwVJKsYZJ7J/yXybwAAAP//&#10;AwBQSwECLQAUAAYACAAAACEAtoM4kv4AAADhAQAAEwAAAAAAAAAAAAAAAAAAAAAAW0NvbnRlbnRf&#10;VHlwZXNdLnhtbFBLAQItABQABgAIAAAAIQA4/SH/1gAAAJQBAAALAAAAAAAAAAAAAAAAAC8BAABf&#10;cmVscy8ucmVsc1BLAQItABQABgAIAAAAIQBxR7WkLgIAAFoEAAAOAAAAAAAAAAAAAAAAAC4CAABk&#10;cnMvZTJvRG9jLnhtbFBLAQItABQABgAIAAAAIQD1Eb5Q3gAAAAwBAAAPAAAAAAAAAAAAAAAAAIgE&#10;AABkcnMvZG93bnJldi54bWxQSwUGAAAAAAQABADzAAAAkwUAAAAA&#10;" fillcolor="white [3212]" stroked="f" strokeweight=".5pt">
                <v:textbox>
                  <w:txbxContent>
                    <w:p w14:paraId="321467C1" w14:textId="77777777" w:rsidR="003850CD" w:rsidRPr="009D4A12" w:rsidRDefault="003850CD" w:rsidP="003850CD">
                      <w:pPr>
                        <w:ind w:left="-725" w:right="-725" w:firstLine="725"/>
                        <w:rPr>
                          <w:b/>
                          <w:bCs/>
                          <w:lang w:val="en-US"/>
                        </w:rPr>
                      </w:pPr>
                      <w:r w:rsidRPr="009D4A12">
                        <w:rPr>
                          <w:b/>
                          <w:bCs/>
                          <w:lang w:val="en-US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4E67F1"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  <w14:ligatures w14:val="standardContextual"/>
        </w:rPr>
        <w:drawing>
          <wp:inline distT="0" distB="0" distL="0" distR="0" wp14:anchorId="7DCA331C" wp14:editId="692789F1">
            <wp:extent cx="5246914" cy="5607986"/>
            <wp:effectExtent l="0" t="0" r="0" b="0"/>
            <wp:docPr id="14836166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616638" name="Picture 1483616638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8" t="8410" r="16480" b="40547"/>
                    <a:stretch/>
                  </pic:blipFill>
                  <pic:spPr bwMode="auto">
                    <a:xfrm>
                      <a:off x="0" y="0"/>
                      <a:ext cx="5255059" cy="5616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0B32DD" w14:textId="73C312ED" w:rsidR="003850CD" w:rsidRPr="00051E8F" w:rsidRDefault="003850CD" w:rsidP="00C810DD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  <w14:ligatures w14:val="standardContextual"/>
        </w:rPr>
        <w:drawing>
          <wp:inline distT="0" distB="0" distL="0" distR="0" wp14:anchorId="1DBA09CF" wp14:editId="2D492EC2">
            <wp:extent cx="5246370" cy="910084"/>
            <wp:effectExtent l="0" t="0" r="0" b="0"/>
            <wp:docPr id="130830912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09129" name="Graphic 1308309129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rcRect l="5044" t="6227" r="34438" b="72172"/>
                    <a:stretch/>
                  </pic:blipFill>
                  <pic:spPr bwMode="auto">
                    <a:xfrm>
                      <a:off x="0" y="0"/>
                      <a:ext cx="5293745" cy="918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FE723" w14:textId="30AB906A" w:rsidR="00B151D6" w:rsidRPr="00051E8F" w:rsidRDefault="00B151D6" w:rsidP="00B151D6">
      <w:pPr>
        <w:pStyle w:val="Caption"/>
        <w:spacing w:after="0" w:line="480" w:lineRule="auto"/>
        <w:jc w:val="both"/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</w:pPr>
      <w:bookmarkStart w:id="0" w:name="_Toc132153222"/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Supplementary Figure 1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 </w:t>
      </w:r>
      <w:r w:rsidR="003850CD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Multiple-sequence a</w:t>
      </w:r>
      <w:r w:rsidR="004E67F1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lignment </w:t>
      </w:r>
      <w:r w:rsidR="003850CD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and phylogenetic tree </w:t>
      </w:r>
      <w:r w:rsidR="004E67F1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of SDR42E1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.</w:t>
      </w:r>
      <w:bookmarkEnd w:id="0"/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 xml:space="preserve"> </w:t>
      </w:r>
    </w:p>
    <w:p w14:paraId="52937988" w14:textId="0EFCBB20" w:rsidR="004E67F1" w:rsidRPr="00051E8F" w:rsidRDefault="004E67F1" w:rsidP="003850CD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a,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3850CD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Multiple-sequence alignment of Human SDR42E1 with </w:t>
      </w:r>
      <w:r w:rsidRPr="00051E8F">
        <w:rPr>
          <w:rFonts w:asciiTheme="majorBidi" w:hAnsiTheme="majorBidi" w:cstheme="majorBidi"/>
          <w:i/>
          <w:iCs/>
          <w:color w:val="000000" w:themeColor="text1"/>
          <w:sz w:val="20"/>
          <w:szCs w:val="20"/>
          <w:lang w:val="en-US"/>
        </w:rPr>
        <w:t xml:space="preserve">Rattus norvegicus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(RAT),</w:t>
      </w:r>
      <w:r w:rsidRPr="00051E8F">
        <w:rPr>
          <w:rFonts w:asciiTheme="majorBidi" w:hAnsiTheme="majorBidi" w:cstheme="majorBidi"/>
          <w:i/>
          <w:iCs/>
          <w:color w:val="000000" w:themeColor="text1"/>
          <w:sz w:val="20"/>
          <w:szCs w:val="20"/>
          <w:lang w:val="en-US"/>
        </w:rPr>
        <w:t xml:space="preserve"> Mus Musculus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(MOUSE),</w:t>
      </w:r>
      <w:r w:rsidRPr="00051E8F">
        <w:rPr>
          <w:rFonts w:asciiTheme="majorBidi" w:hAnsiTheme="majorBidi" w:cstheme="majorBidi"/>
          <w:i/>
          <w:iCs/>
          <w:color w:val="000000" w:themeColor="text1"/>
          <w:sz w:val="20"/>
          <w:szCs w:val="20"/>
          <w:lang w:val="en-US"/>
        </w:rPr>
        <w:t xml:space="preserve"> Gallus gallus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(CHICK), and</w:t>
      </w:r>
      <w:r w:rsidRPr="00051E8F">
        <w:rPr>
          <w:rFonts w:asciiTheme="majorBidi" w:hAnsiTheme="majorBidi" w:cstheme="majorBidi"/>
          <w:i/>
          <w:iCs/>
          <w:color w:val="000000" w:themeColor="text1"/>
          <w:sz w:val="20"/>
          <w:szCs w:val="20"/>
          <w:lang w:val="en-US"/>
        </w:rPr>
        <w:t xml:space="preserve"> Danio rerio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(DANRE)</w:t>
      </w:r>
      <w:r w:rsidRPr="00051E8F">
        <w:rPr>
          <w:rFonts w:asciiTheme="majorBidi" w:hAnsiTheme="majorBidi" w:cstheme="majorBidi"/>
          <w:i/>
          <w:iCs/>
          <w:color w:val="000000" w:themeColor="text1"/>
          <w:sz w:val="20"/>
          <w:szCs w:val="20"/>
          <w:lang w:val="en-US"/>
        </w:rPr>
        <w:t xml:space="preserve"> </w:t>
      </w:r>
      <w:r w:rsidR="003850CD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with conserved sequences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highlighted in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red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.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b,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Phylogenetic tree </w:t>
      </w:r>
      <w:r w:rsidR="003850CD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showing the relationship between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the human SDR42E1 alongside its orthologs.</w:t>
      </w:r>
    </w:p>
    <w:p w14:paraId="60F89ED8" w14:textId="77777777" w:rsidR="003850CD" w:rsidRPr="00051E8F" w:rsidRDefault="003850CD" w:rsidP="004E67F1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</w:p>
    <w:p w14:paraId="1882DF5E" w14:textId="47FE39C5" w:rsidR="00B151D6" w:rsidRPr="00051E8F" w:rsidRDefault="00B151D6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</w:p>
    <w:p w14:paraId="0EEDCB54" w14:textId="77777777" w:rsidR="00B151D6" w:rsidRPr="00051E8F" w:rsidRDefault="00B151D6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</w:p>
    <w:p w14:paraId="5C6C7858" w14:textId="1603BBE5" w:rsidR="00B151D6" w:rsidRPr="00051E8F" w:rsidRDefault="005B5B50" w:rsidP="005B5B50">
      <w:pPr>
        <w:spacing w:line="480" w:lineRule="auto"/>
        <w:jc w:val="center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284C0859" wp14:editId="79150DE3">
            <wp:extent cx="6021705" cy="2994362"/>
            <wp:effectExtent l="0" t="0" r="0" b="3175"/>
            <wp:docPr id="14746100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61008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4859" cy="3000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1B032" w14:textId="77777777" w:rsidR="00B151D6" w:rsidRPr="00051E8F" w:rsidRDefault="00B151D6" w:rsidP="00B151D6">
      <w:pPr>
        <w:pStyle w:val="Caption"/>
        <w:spacing w:after="0" w:line="480" w:lineRule="auto"/>
        <w:jc w:val="both"/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</w:pPr>
      <w:bookmarkStart w:id="1" w:name="_Toc132153224"/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Supplementary Figure 2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 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>Ramachandran plot analysis.</w:t>
      </w:r>
      <w:bookmarkEnd w:id="1"/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 </w:t>
      </w:r>
    </w:p>
    <w:p w14:paraId="00E13B0B" w14:textId="4625FAEE" w:rsidR="00B151D6" w:rsidRPr="00051E8F" w:rsidRDefault="00B151D6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The analysis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of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a,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SDR42E1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b,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SDR9C7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c,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DHCR7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d,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HSD3B7;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e,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hsd-2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f,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hsd-3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and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g,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CG7724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by PROCHECK server shows that 87.32%, 89%, 90.3%, 90.12%, 95.52%, and 95.71% of amino acids are in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the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core region of the models, ordinary. Most favoured interacting regions in the plots are represented in red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additional allowed in brown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generously allowed in yellow, and disallowed in pale-yellow color. Blue dots represent (φ, ψ) angles of each residue of the structures. Optimum points are within the most favoured region of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the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alpha helix and beta sheet.</w:t>
      </w:r>
    </w:p>
    <w:p w14:paraId="5F0C78C6" w14:textId="77777777" w:rsidR="00B151D6" w:rsidRPr="00051E8F" w:rsidRDefault="00B151D6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  <w:sectPr w:rsidR="00B151D6" w:rsidRPr="00051E8F" w:rsidSect="00B151D6">
          <w:footerReference w:type="default" r:id="rId10"/>
          <w:pgSz w:w="11900" w:h="16840"/>
          <w:pgMar w:top="1701" w:right="1701" w:bottom="1701" w:left="1701" w:header="709" w:footer="709" w:gutter="0"/>
          <w:cols w:space="708"/>
          <w:docGrid w:linePitch="360"/>
        </w:sectPr>
      </w:pPr>
    </w:p>
    <w:p w14:paraId="7C821D3E" w14:textId="6A7F8B1A" w:rsidR="00B151D6" w:rsidRPr="00051E8F" w:rsidRDefault="00BB02E9" w:rsidP="00BB02E9">
      <w:pPr>
        <w:keepNext/>
        <w:spacing w:before="240" w:line="480" w:lineRule="auto"/>
        <w:jc w:val="center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3A086446" wp14:editId="788DF6CD">
            <wp:extent cx="5945420" cy="2991600"/>
            <wp:effectExtent l="0" t="0" r="0" b="5715"/>
            <wp:docPr id="5222001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20019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5420" cy="2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8C125" w14:textId="77777777" w:rsidR="00B151D6" w:rsidRPr="00051E8F" w:rsidRDefault="00B151D6" w:rsidP="00B151D6">
      <w:pPr>
        <w:pStyle w:val="Caption"/>
        <w:spacing w:after="0" w:line="480" w:lineRule="auto"/>
        <w:jc w:val="both"/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</w:pPr>
      <w:bookmarkStart w:id="2" w:name="_Toc132153225"/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Supplementary Figure 3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 xml:space="preserve"> ProSA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 Z-score P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 xml:space="preserve">lot 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of Protein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 xml:space="preserve"> 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M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  <w:t>odel</w:t>
      </w:r>
      <w:r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s.</w:t>
      </w:r>
      <w:bookmarkEnd w:id="2"/>
    </w:p>
    <w:p w14:paraId="6FF49F95" w14:textId="77777777" w:rsidR="00B151D6" w:rsidRPr="00051E8F" w:rsidRDefault="00B151D6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The ProSA web server was used to analyze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a,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SDR42E1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b,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SDR9C7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c,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DHCR7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d,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HSD3B7;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e,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hsd-2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f,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hsd-3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and </w:t>
      </w:r>
      <w:r w:rsidR="00846D59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g,</w:t>
      </w:r>
      <w:r w:rsidR="00846D59"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CG7724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with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estimated Z-scores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,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represented by black dots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as follows: -6.91, -5.21, -5.05, -6.87, -5.84, and -5.82, respectively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.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The Z-scores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were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determined based on the protein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’s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length and the method used to determine its structure, with X-ray crystallography in light blue and NMR spectroscopy in dark blue.</w:t>
      </w:r>
    </w:p>
    <w:p w14:paraId="18F06B60" w14:textId="6DA8D1C8" w:rsidR="004327DA" w:rsidRPr="00051E8F" w:rsidRDefault="004327DA">
      <w:pPr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br w:type="page"/>
      </w:r>
    </w:p>
    <w:p w14:paraId="3AF2A1F1" w14:textId="77777777" w:rsidR="004327DA" w:rsidRPr="00051E8F" w:rsidRDefault="004327DA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14:paraId="38E0A537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0A5420D7" wp14:editId="587C90D3">
            <wp:extent cx="5727700" cy="3710940"/>
            <wp:effectExtent l="0" t="0" r="0" b="0"/>
            <wp:docPr id="1700572734" name="Picture 170057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2977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1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F0C32" w14:textId="0D600A18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</w:rPr>
        <w:t>Supplementary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 xml:space="preserve"> Figure 4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Docking conformations of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-Vitamin D compounds interactions with hsd-2.</w:t>
      </w:r>
    </w:p>
    <w:p w14:paraId="30F38C24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The left panel presents a superimposition view of docked vitamin D compounds (above)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a,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vitamin D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bscript"/>
        </w:rPr>
        <w:t>3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and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b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, 8-DHC with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cofactor (below) in the best pocket of hsd-2 (ID: Q23086). The protein's secondary structure shown in ribbon form. The right panel displays a 2D view of the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-Vitamin D compounds interacting residues within the potential active site of hsd-2. The color scheme highlights different characteristics: green represents the hydrophobic region, blue represents hydrogen bond acceptors, and grey represents "generic" van der Waals contacts. The white dashed arrows indicate the donor hydrogen interactions.</w:t>
      </w:r>
    </w:p>
    <w:p w14:paraId="0084E065" w14:textId="4D159701" w:rsidR="004327DA" w:rsidRPr="00051E8F" w:rsidRDefault="004327DA">
      <w:pPr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br w:type="page"/>
      </w:r>
    </w:p>
    <w:p w14:paraId="63C20354" w14:textId="77777777" w:rsidR="004327DA" w:rsidRPr="00051E8F" w:rsidRDefault="004327DA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14:paraId="18CC1BF5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5D96AC02" wp14:editId="7851A6D5">
            <wp:extent cx="5727700" cy="3728720"/>
            <wp:effectExtent l="0" t="0" r="0" b="5080"/>
            <wp:docPr id="1682486874" name="Picture 1682486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9780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34FB" w14:textId="4B3E2722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</w:rPr>
        <w:t>Supplementary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 xml:space="preserve"> Figure 5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Docking conformations of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-Vitamin D compounds interactions with hsd-3.</w:t>
      </w:r>
    </w:p>
    <w:p w14:paraId="1E527D1E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The left panel presents a superimposition view of docked vitamin D compounds (above)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a,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vitamin D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bscript"/>
        </w:rPr>
        <w:t>3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and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b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, 8-DHC with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cofactor (below) in the best pocket of hsd-3 (ID: 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>A4UVJ7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). The protein's secondary structure shown in ribbon form. The right panel displays a 2D view of the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-Vitamin D compounds interacting residues within the potential active site of hsd-3. The color scheme highlights different characteristics: green represents the hydrophobic region, blue represents hydrogen bond acceptors, and grey represents "generic" van der Waals contacts. The white dashed arrows indicate the donor hydrogen interactions.</w:t>
      </w:r>
    </w:p>
    <w:p w14:paraId="504EE731" w14:textId="337F6719" w:rsidR="004327DA" w:rsidRPr="00051E8F" w:rsidRDefault="004327DA">
      <w:pPr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br w:type="page"/>
      </w:r>
    </w:p>
    <w:p w14:paraId="7DC448DD" w14:textId="77777777" w:rsidR="004327DA" w:rsidRPr="00051E8F" w:rsidRDefault="004327DA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14:paraId="23E53D40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39957E3E" wp14:editId="3718DDA0">
            <wp:extent cx="5727700" cy="3706495"/>
            <wp:effectExtent l="0" t="0" r="0" b="1905"/>
            <wp:docPr id="830949027" name="Picture 83094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20329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B7381" w14:textId="5C8BB994" w:rsidR="004327DA" w:rsidRPr="004327DA" w:rsidRDefault="004327DA" w:rsidP="004327DA">
      <w:pPr>
        <w:spacing w:line="480" w:lineRule="auto"/>
        <w:contextualSpacing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hAnsiTheme="majorBidi" w:cstheme="majorBidi"/>
          <w:b/>
          <w:bCs/>
          <w:color w:val="000000" w:themeColor="text1"/>
          <w:sz w:val="20"/>
          <w:szCs w:val="20"/>
        </w:rPr>
        <w:t xml:space="preserve">Supplementary Figure </w:t>
      </w:r>
      <w:r w:rsidRPr="004327DA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6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Docking conformations of NADP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>-Vitamin D compounds interactions with CG7724.</w:t>
      </w:r>
    </w:p>
    <w:p w14:paraId="313AD8A2" w14:textId="77777777" w:rsidR="004327DA" w:rsidRPr="004327DA" w:rsidRDefault="004327DA" w:rsidP="004327DA">
      <w:pPr>
        <w:pStyle w:val="NoSpacing"/>
        <w:spacing w:line="480" w:lineRule="auto"/>
        <w:jc w:val="both"/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</w:pP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The left panel presents a superimposition view of docked vitamin D compounds (above)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a,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vitamin D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bscript"/>
        </w:rPr>
        <w:t>3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and </w:t>
      </w:r>
      <w:r w:rsidRPr="004327DA">
        <w:rPr>
          <w:rFonts w:asciiTheme="majorBidi" w:eastAsia="Times New Roman" w:hAnsiTheme="majorBidi" w:cstheme="majorBidi"/>
          <w:b/>
          <w:bCs/>
          <w:color w:val="000000" w:themeColor="text1"/>
          <w:sz w:val="20"/>
          <w:szCs w:val="20"/>
        </w:rPr>
        <w:t>b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, 8-DHC with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cofactor (below) in the best pocket of 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>CG7724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 (ID: 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>Q9VVE3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). The protein's secondary structure shown in ribbon form. The right panel displays a 2D view of the NADP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  <w:vertAlign w:val="superscript"/>
        </w:rPr>
        <w:t>+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 xml:space="preserve">-Vitamin D compounds interacting residues within the potential active site of </w:t>
      </w:r>
      <w:r w:rsidRPr="004327DA">
        <w:rPr>
          <w:rFonts w:asciiTheme="majorBidi" w:hAnsiTheme="majorBidi" w:cstheme="majorBidi"/>
          <w:color w:val="000000" w:themeColor="text1"/>
          <w:sz w:val="20"/>
          <w:szCs w:val="20"/>
        </w:rPr>
        <w:t>CG7724</w:t>
      </w:r>
      <w:r w:rsidRPr="004327DA">
        <w:rPr>
          <w:rFonts w:asciiTheme="majorBidi" w:eastAsia="Times New Roman" w:hAnsiTheme="majorBidi" w:cstheme="majorBidi"/>
          <w:color w:val="000000" w:themeColor="text1"/>
          <w:sz w:val="20"/>
          <w:szCs w:val="20"/>
        </w:rPr>
        <w:t>. The color scheme highlights different characteristics: green represents the hydrophobic region, blue represents hydrogen bond acceptors, and grey represents "generic" van der Waals contacts. The white dashed arrows indicate the donor hydrogen interactions.</w:t>
      </w:r>
    </w:p>
    <w:p w14:paraId="39A2E8DF" w14:textId="77777777" w:rsidR="004327DA" w:rsidRPr="00051E8F" w:rsidRDefault="004327DA" w:rsidP="00B151D6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  <w:sectPr w:rsidR="004327DA" w:rsidRPr="00051E8F" w:rsidSect="00B151D6">
          <w:pgSz w:w="11900" w:h="16840"/>
          <w:pgMar w:top="1701" w:right="1701" w:bottom="1701" w:left="1701" w:header="709" w:footer="709" w:gutter="0"/>
          <w:cols w:space="708"/>
          <w:docGrid w:linePitch="360"/>
        </w:sectPr>
      </w:pPr>
    </w:p>
    <w:p w14:paraId="5A5402E9" w14:textId="46CC0B71" w:rsidR="00B151D6" w:rsidRPr="00051E8F" w:rsidRDefault="00B151D6" w:rsidP="00B151D6">
      <w:pPr>
        <w:spacing w:before="240" w:line="480" w:lineRule="auto"/>
        <w:jc w:val="both"/>
        <w:rPr>
          <w:rFonts w:asciiTheme="majorBidi" w:hAnsiTheme="majorBidi" w:cstheme="majorBidi"/>
          <w:noProof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72BD7F63" wp14:editId="65109BDE">
            <wp:extent cx="5040000" cy="5580000"/>
            <wp:effectExtent l="0" t="0" r="1905" b="0"/>
            <wp:docPr id="131" name="Pictur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351" r="-1"/>
                    <a:stretch/>
                  </pic:blipFill>
                  <pic:spPr bwMode="auto">
                    <a:xfrm>
                      <a:off x="0" y="0"/>
                      <a:ext cx="5040000" cy="55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6C5F3" w14:textId="1F6B8DF2" w:rsidR="00B54EBA" w:rsidRPr="00051E8F" w:rsidRDefault="00B54EBA" w:rsidP="00B54EBA">
      <w:pPr>
        <w:spacing w:before="240"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7C314ECF" wp14:editId="138A1C39">
            <wp:extent cx="5040000" cy="5580000"/>
            <wp:effectExtent l="0" t="0" r="1905" b="0"/>
            <wp:docPr id="614903438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0343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97F5" w14:textId="77777777" w:rsidR="00B151D6" w:rsidRPr="00051E8F" w:rsidRDefault="00B151D6" w:rsidP="00B151D6">
      <w:pPr>
        <w:spacing w:before="240"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721FD752" wp14:editId="4C603496">
            <wp:extent cx="5040000" cy="5580000"/>
            <wp:effectExtent l="0" t="0" r="0" b="0"/>
            <wp:docPr id="134" name="Picture 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374CD48B" wp14:editId="05EAD14E">
            <wp:extent cx="5040000" cy="5400000"/>
            <wp:effectExtent l="0" t="0" r="0" b="0"/>
            <wp:docPr id="135" name="Picture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280C0" w14:textId="77777777" w:rsidR="00B151D6" w:rsidRPr="00051E8F" w:rsidRDefault="00B151D6" w:rsidP="00B151D6">
      <w:pPr>
        <w:spacing w:before="240"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43401E99" wp14:editId="12A5B52A">
            <wp:extent cx="5040000" cy="5405377"/>
            <wp:effectExtent l="0" t="0" r="1905" b="5080"/>
            <wp:docPr id="137" name="Picture 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40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4DE7259A" wp14:editId="3BFC717A">
            <wp:extent cx="5040000" cy="5405522"/>
            <wp:effectExtent l="0" t="0" r="1905" b="5080"/>
            <wp:docPr id="139" name="Pictur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40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D49C9" w14:textId="1364E186" w:rsidR="00B277BB" w:rsidRPr="00051E8F" w:rsidRDefault="00B277BB" w:rsidP="00B277BB">
      <w:pPr>
        <w:pStyle w:val="Caption"/>
        <w:spacing w:after="0"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bookmarkStart w:id="3" w:name="_Toc132153226"/>
      <w:r w:rsidRPr="00051E8F">
        <w:rPr>
          <w:rFonts w:asciiTheme="majorBidi" w:hAnsiTheme="majorBidi" w:cstheme="majorBidi"/>
          <w:noProof/>
          <w:color w:val="000000" w:themeColor="text1"/>
          <w:sz w:val="20"/>
          <w:szCs w:val="20"/>
        </w:rPr>
        <w:drawing>
          <wp:inline distT="0" distB="0" distL="0" distR="0" wp14:anchorId="202C9E2F" wp14:editId="22A31B74">
            <wp:extent cx="5040000" cy="5580000"/>
            <wp:effectExtent l="0" t="0" r="1905" b="0"/>
            <wp:docPr id="604504655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50465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20B0E" w14:textId="39589560" w:rsidR="00B151D6" w:rsidRPr="00051E8F" w:rsidRDefault="006903AA" w:rsidP="00B151D6">
      <w:pPr>
        <w:pStyle w:val="Caption"/>
        <w:spacing w:after="0" w:line="480" w:lineRule="auto"/>
        <w:jc w:val="both"/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Supplementary Figure </w:t>
      </w:r>
      <w:r w:rsidR="004327DA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7</w:t>
      </w:r>
      <w:r w:rsidR="00B151D6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 xml:space="preserve"> Vitamin D Metabolites and Precursors interactions with SDR42E1 and Orthologs in the presence of NADP</w:t>
      </w:r>
      <w:r w:rsidR="00B151D6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vertAlign w:val="superscript"/>
          <w:lang w:val="en-US"/>
        </w:rPr>
        <w:t>+</w:t>
      </w:r>
      <w:r w:rsidR="00B151D6" w:rsidRPr="00051E8F">
        <w:rPr>
          <w:rFonts w:asciiTheme="majorBidi" w:hAnsiTheme="majorBidi" w:cstheme="majorBidi"/>
          <w:b w:val="0"/>
          <w:bCs w:val="0"/>
          <w:color w:val="000000" w:themeColor="text1"/>
          <w:sz w:val="20"/>
          <w:szCs w:val="20"/>
          <w:lang w:val="en-US"/>
        </w:rPr>
        <w:t>.</w:t>
      </w:r>
      <w:bookmarkEnd w:id="3"/>
    </w:p>
    <w:p w14:paraId="1B68C08C" w14:textId="30AEB39C" w:rsidR="00B277BB" w:rsidRPr="00051E8F" w:rsidRDefault="00B151D6" w:rsidP="00B277BB">
      <w:pPr>
        <w:spacing w:line="480" w:lineRule="auto"/>
        <w:jc w:val="both"/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</w:pP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Docking analyses were predicted using blind-unbiased docking mode in ICM-Pro.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All docked-compounds represented in red mesh are bound to the occluded regions of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a,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>SDR42E1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b,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SDR9C7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c,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DHCR7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d,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hsd-2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e,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hsd-3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f,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CG7724</w:t>
      </w:r>
      <w:r w:rsidR="00B277BB"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and </w:t>
      </w:r>
      <w:r w:rsidR="00B277BB" w:rsidRPr="00051E8F">
        <w:rPr>
          <w:rFonts w:asciiTheme="majorBidi" w:hAnsiTheme="majorBidi" w:cstheme="majorBidi"/>
          <w:b/>
          <w:bCs/>
          <w:color w:val="000000" w:themeColor="text1"/>
          <w:sz w:val="20"/>
          <w:szCs w:val="20"/>
          <w:lang w:val="en-US"/>
        </w:rPr>
        <w:t>g,</w:t>
      </w:r>
      <w:r w:rsidR="00B277BB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HSD3B7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.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 Abbreviations: 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SDR42E1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,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hort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c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hain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d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ehydrogenase/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r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eductase 42E1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s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hort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c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hain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d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ehydrogenase/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r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eductase 9C7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DHCR7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7-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d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ehydrocholesterol </w:t>
      </w:r>
      <w:r w:rsidR="0099262C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r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eductase, hsd-2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2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>β-hydroxysteroid dehydrogenase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;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and hsd-3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,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3β-hydroxysteroid dehydrogenase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; </w:t>
      </w:r>
      <w:r w:rsidR="00B277BB"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 xml:space="preserve">HSD3B7, 3β-hydroxysteroid oxidoreductase 7; </w:t>
      </w:r>
      <w:r w:rsidRPr="00DC5548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25(OH)D, 25-Dihydroxyvitamin D; 7-DHC, 7-Dihydrocholesterol; 8-DHC, 8-Dihydrocholesterol; 1,25(OH)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vertAlign w:val="subscript"/>
          <w:lang w:val="en-US"/>
        </w:rPr>
        <w:t>2</w:t>
      </w:r>
      <w:r w:rsidRPr="00051E8F">
        <w:rPr>
          <w:rFonts w:asciiTheme="majorBidi" w:hAnsiTheme="majorBidi" w:cstheme="majorBidi"/>
          <w:color w:val="000000" w:themeColor="text1"/>
          <w:sz w:val="20"/>
          <w:szCs w:val="20"/>
          <w:lang w:val="en-US"/>
        </w:rPr>
        <w:t>D, 1,25-Dihydroxyvitamin D.</w:t>
      </w:r>
    </w:p>
    <w:sectPr w:rsidR="00B277BB" w:rsidRPr="00051E8F" w:rsidSect="00B277BB">
      <w:pgSz w:w="11900" w:h="16840"/>
      <w:pgMar w:top="1701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F9901F" w14:textId="77777777" w:rsidR="003C347B" w:rsidRDefault="003C347B" w:rsidP="00B151D6">
      <w:r>
        <w:separator/>
      </w:r>
    </w:p>
  </w:endnote>
  <w:endnote w:type="continuationSeparator" w:id="0">
    <w:p w14:paraId="7098FDD4" w14:textId="77777777" w:rsidR="003C347B" w:rsidRDefault="003C347B" w:rsidP="00B151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26BB2" w14:textId="77777777" w:rsidR="00B151D6" w:rsidRDefault="00B151D6">
    <w:pPr>
      <w:pStyle w:val="Footer"/>
      <w:jc w:val="center"/>
      <w:rPr>
        <w:color w:val="4472C4" w:themeColor="accent1"/>
      </w:rPr>
    </w:pPr>
    <w:r>
      <w:rPr>
        <w:color w:val="4472C4" w:themeColor="accent1"/>
      </w:rPr>
      <w:t xml:space="preserve">Page </w:t>
    </w:r>
    <w:r>
      <w:rPr>
        <w:color w:val="4472C4" w:themeColor="accent1"/>
      </w:rPr>
      <w:fldChar w:fldCharType="begin"/>
    </w:r>
    <w:r>
      <w:rPr>
        <w:color w:val="4472C4" w:themeColor="accent1"/>
      </w:rPr>
      <w:instrText xml:space="preserve"> PAGE  \* Arabic  \* MERGEFORMAT </w:instrText>
    </w:r>
    <w:r>
      <w:rPr>
        <w:color w:val="4472C4" w:themeColor="accent1"/>
      </w:rPr>
      <w:fldChar w:fldCharType="separate"/>
    </w:r>
    <w:r>
      <w:rPr>
        <w:noProof/>
        <w:color w:val="4472C4" w:themeColor="accent1"/>
      </w:rPr>
      <w:t>2</w:t>
    </w:r>
    <w:r>
      <w:rPr>
        <w:color w:val="4472C4" w:themeColor="accent1"/>
      </w:rPr>
      <w:fldChar w:fldCharType="end"/>
    </w:r>
    <w:r>
      <w:rPr>
        <w:color w:val="4472C4" w:themeColor="accent1"/>
      </w:rPr>
      <w:t xml:space="preserve"> of </w:t>
    </w:r>
    <w:r>
      <w:rPr>
        <w:color w:val="4472C4" w:themeColor="accent1"/>
      </w:rPr>
      <w:fldChar w:fldCharType="begin"/>
    </w:r>
    <w:r>
      <w:rPr>
        <w:color w:val="4472C4" w:themeColor="accent1"/>
      </w:rPr>
      <w:instrText xml:space="preserve"> NUMPAGES  \* Arabic  \* MERGEFORMAT </w:instrText>
    </w:r>
    <w:r>
      <w:rPr>
        <w:color w:val="4472C4" w:themeColor="accent1"/>
      </w:rPr>
      <w:fldChar w:fldCharType="separate"/>
    </w:r>
    <w:r>
      <w:rPr>
        <w:noProof/>
        <w:color w:val="4472C4" w:themeColor="accent1"/>
      </w:rPr>
      <w:t>2</w:t>
    </w:r>
    <w:r>
      <w:rPr>
        <w:color w:val="4472C4" w:themeColor="accent1"/>
      </w:rPr>
      <w:fldChar w:fldCharType="end"/>
    </w:r>
  </w:p>
  <w:p w14:paraId="67EC4547" w14:textId="77777777" w:rsidR="00B151D6" w:rsidRDefault="00B151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68213" w14:textId="77777777" w:rsidR="003C347B" w:rsidRDefault="003C347B" w:rsidP="00B151D6">
      <w:r>
        <w:separator/>
      </w:r>
    </w:p>
  </w:footnote>
  <w:footnote w:type="continuationSeparator" w:id="0">
    <w:p w14:paraId="251AC23E" w14:textId="77777777" w:rsidR="003C347B" w:rsidRDefault="003C347B" w:rsidP="00B151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10"/>
  <w:mirrorMargins/>
  <w:proofState w:spelling="clean" w:grammar="clean"/>
  <w:defaultTabStop w:val="720"/>
  <w:evenAndOddHeaders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1D6"/>
    <w:rsid w:val="00001F7F"/>
    <w:rsid w:val="0000605E"/>
    <w:rsid w:val="000125ED"/>
    <w:rsid w:val="00015FFD"/>
    <w:rsid w:val="00023685"/>
    <w:rsid w:val="0002401C"/>
    <w:rsid w:val="00025BCF"/>
    <w:rsid w:val="000402B7"/>
    <w:rsid w:val="00041136"/>
    <w:rsid w:val="000456FF"/>
    <w:rsid w:val="00051E8F"/>
    <w:rsid w:val="0005353B"/>
    <w:rsid w:val="00074490"/>
    <w:rsid w:val="000A3191"/>
    <w:rsid w:val="000A6298"/>
    <w:rsid w:val="000B3AF8"/>
    <w:rsid w:val="000B776A"/>
    <w:rsid w:val="000C0C8E"/>
    <w:rsid w:val="000D0556"/>
    <w:rsid w:val="000D44C6"/>
    <w:rsid w:val="000E7727"/>
    <w:rsid w:val="000F1355"/>
    <w:rsid w:val="001161A1"/>
    <w:rsid w:val="00116CD4"/>
    <w:rsid w:val="001211CE"/>
    <w:rsid w:val="00123F37"/>
    <w:rsid w:val="001318D1"/>
    <w:rsid w:val="0013329C"/>
    <w:rsid w:val="001435AC"/>
    <w:rsid w:val="00156798"/>
    <w:rsid w:val="00162F20"/>
    <w:rsid w:val="00163E2F"/>
    <w:rsid w:val="0016509E"/>
    <w:rsid w:val="00174BFD"/>
    <w:rsid w:val="00176658"/>
    <w:rsid w:val="00182945"/>
    <w:rsid w:val="0019337D"/>
    <w:rsid w:val="001A5754"/>
    <w:rsid w:val="001B6CBC"/>
    <w:rsid w:val="001D7808"/>
    <w:rsid w:val="001E06B1"/>
    <w:rsid w:val="001E0DA8"/>
    <w:rsid w:val="001E2463"/>
    <w:rsid w:val="001E7268"/>
    <w:rsid w:val="00210A01"/>
    <w:rsid w:val="002246AF"/>
    <w:rsid w:val="00242E14"/>
    <w:rsid w:val="0024419F"/>
    <w:rsid w:val="002540A1"/>
    <w:rsid w:val="00263989"/>
    <w:rsid w:val="00271738"/>
    <w:rsid w:val="00272C40"/>
    <w:rsid w:val="00285A56"/>
    <w:rsid w:val="00286AE2"/>
    <w:rsid w:val="002904A6"/>
    <w:rsid w:val="0029371F"/>
    <w:rsid w:val="002A0CFC"/>
    <w:rsid w:val="002A1931"/>
    <w:rsid w:val="002B1E23"/>
    <w:rsid w:val="002C2F9D"/>
    <w:rsid w:val="002C3FD6"/>
    <w:rsid w:val="002C4BFA"/>
    <w:rsid w:val="002D04CF"/>
    <w:rsid w:val="002D7449"/>
    <w:rsid w:val="002E5C80"/>
    <w:rsid w:val="002E6198"/>
    <w:rsid w:val="002E6B2F"/>
    <w:rsid w:val="002F4511"/>
    <w:rsid w:val="0032671A"/>
    <w:rsid w:val="00342ABC"/>
    <w:rsid w:val="00344B20"/>
    <w:rsid w:val="00351142"/>
    <w:rsid w:val="00353356"/>
    <w:rsid w:val="00353F9D"/>
    <w:rsid w:val="00370050"/>
    <w:rsid w:val="0037697A"/>
    <w:rsid w:val="003850CD"/>
    <w:rsid w:val="003A78D0"/>
    <w:rsid w:val="003B6A8A"/>
    <w:rsid w:val="003C0000"/>
    <w:rsid w:val="003C347B"/>
    <w:rsid w:val="003E040C"/>
    <w:rsid w:val="003E1696"/>
    <w:rsid w:val="003E3A7D"/>
    <w:rsid w:val="003E424A"/>
    <w:rsid w:val="003E4C0C"/>
    <w:rsid w:val="003E6DA7"/>
    <w:rsid w:val="003F7909"/>
    <w:rsid w:val="004327DA"/>
    <w:rsid w:val="004378E2"/>
    <w:rsid w:val="00437C27"/>
    <w:rsid w:val="00445647"/>
    <w:rsid w:val="00454AE5"/>
    <w:rsid w:val="004615DB"/>
    <w:rsid w:val="00464297"/>
    <w:rsid w:val="004842FA"/>
    <w:rsid w:val="00491085"/>
    <w:rsid w:val="00496BA4"/>
    <w:rsid w:val="004B53ED"/>
    <w:rsid w:val="004B5A5B"/>
    <w:rsid w:val="004B7512"/>
    <w:rsid w:val="004C3FF5"/>
    <w:rsid w:val="004C5E30"/>
    <w:rsid w:val="004D0082"/>
    <w:rsid w:val="004D0B4D"/>
    <w:rsid w:val="004D486E"/>
    <w:rsid w:val="004E67F1"/>
    <w:rsid w:val="004F251C"/>
    <w:rsid w:val="00502A4E"/>
    <w:rsid w:val="00505077"/>
    <w:rsid w:val="0050733D"/>
    <w:rsid w:val="00521561"/>
    <w:rsid w:val="00530BEE"/>
    <w:rsid w:val="00536161"/>
    <w:rsid w:val="00540141"/>
    <w:rsid w:val="00557C75"/>
    <w:rsid w:val="005704B3"/>
    <w:rsid w:val="0057108A"/>
    <w:rsid w:val="00586752"/>
    <w:rsid w:val="00590FF1"/>
    <w:rsid w:val="005A59B9"/>
    <w:rsid w:val="005B5B50"/>
    <w:rsid w:val="005B730A"/>
    <w:rsid w:val="00600CAB"/>
    <w:rsid w:val="00623B3C"/>
    <w:rsid w:val="006357E2"/>
    <w:rsid w:val="006623CA"/>
    <w:rsid w:val="0066349C"/>
    <w:rsid w:val="00666050"/>
    <w:rsid w:val="00666193"/>
    <w:rsid w:val="0067734D"/>
    <w:rsid w:val="00685F67"/>
    <w:rsid w:val="006903AA"/>
    <w:rsid w:val="00690D45"/>
    <w:rsid w:val="006A181B"/>
    <w:rsid w:val="006A50D2"/>
    <w:rsid w:val="006A60A0"/>
    <w:rsid w:val="006B443B"/>
    <w:rsid w:val="006C6E70"/>
    <w:rsid w:val="006F1E63"/>
    <w:rsid w:val="006F20EB"/>
    <w:rsid w:val="006F612E"/>
    <w:rsid w:val="00703226"/>
    <w:rsid w:val="007213E2"/>
    <w:rsid w:val="00725F30"/>
    <w:rsid w:val="00740C4B"/>
    <w:rsid w:val="0075677B"/>
    <w:rsid w:val="00760081"/>
    <w:rsid w:val="00764185"/>
    <w:rsid w:val="00771EDE"/>
    <w:rsid w:val="00776CBC"/>
    <w:rsid w:val="00783044"/>
    <w:rsid w:val="00786997"/>
    <w:rsid w:val="007919DE"/>
    <w:rsid w:val="0079499D"/>
    <w:rsid w:val="00797CBC"/>
    <w:rsid w:val="007A0CB3"/>
    <w:rsid w:val="007B0D70"/>
    <w:rsid w:val="007B3CAF"/>
    <w:rsid w:val="007E4A53"/>
    <w:rsid w:val="007F2B58"/>
    <w:rsid w:val="007F3A0A"/>
    <w:rsid w:val="00802876"/>
    <w:rsid w:val="00822773"/>
    <w:rsid w:val="00842CB0"/>
    <w:rsid w:val="00843CF6"/>
    <w:rsid w:val="00846D59"/>
    <w:rsid w:val="00851EB4"/>
    <w:rsid w:val="0086056C"/>
    <w:rsid w:val="0086388A"/>
    <w:rsid w:val="008713AB"/>
    <w:rsid w:val="00883253"/>
    <w:rsid w:val="00890D7D"/>
    <w:rsid w:val="008920AC"/>
    <w:rsid w:val="00893CBE"/>
    <w:rsid w:val="008A4EF2"/>
    <w:rsid w:val="008A5846"/>
    <w:rsid w:val="008A5A92"/>
    <w:rsid w:val="008E0207"/>
    <w:rsid w:val="008E4D23"/>
    <w:rsid w:val="008E7076"/>
    <w:rsid w:val="008E7A4F"/>
    <w:rsid w:val="008F4D14"/>
    <w:rsid w:val="009012A3"/>
    <w:rsid w:val="00903F28"/>
    <w:rsid w:val="00943254"/>
    <w:rsid w:val="00943CF9"/>
    <w:rsid w:val="009551DC"/>
    <w:rsid w:val="009636C1"/>
    <w:rsid w:val="00967654"/>
    <w:rsid w:val="00967BA3"/>
    <w:rsid w:val="009702C4"/>
    <w:rsid w:val="0097372E"/>
    <w:rsid w:val="009767F9"/>
    <w:rsid w:val="00980C9A"/>
    <w:rsid w:val="00981740"/>
    <w:rsid w:val="009906D6"/>
    <w:rsid w:val="0099262C"/>
    <w:rsid w:val="009A40F7"/>
    <w:rsid w:val="009A4D1D"/>
    <w:rsid w:val="009D15F4"/>
    <w:rsid w:val="009D7376"/>
    <w:rsid w:val="009F092B"/>
    <w:rsid w:val="00A10CD9"/>
    <w:rsid w:val="00A1353F"/>
    <w:rsid w:val="00A32458"/>
    <w:rsid w:val="00A327A8"/>
    <w:rsid w:val="00A44C70"/>
    <w:rsid w:val="00A574C0"/>
    <w:rsid w:val="00A6033E"/>
    <w:rsid w:val="00A60C12"/>
    <w:rsid w:val="00A707B6"/>
    <w:rsid w:val="00A76F25"/>
    <w:rsid w:val="00A80D59"/>
    <w:rsid w:val="00A8703E"/>
    <w:rsid w:val="00A94AD6"/>
    <w:rsid w:val="00AA4723"/>
    <w:rsid w:val="00AB453F"/>
    <w:rsid w:val="00AC408B"/>
    <w:rsid w:val="00AD0555"/>
    <w:rsid w:val="00B01B58"/>
    <w:rsid w:val="00B05766"/>
    <w:rsid w:val="00B1168C"/>
    <w:rsid w:val="00B151D6"/>
    <w:rsid w:val="00B2199E"/>
    <w:rsid w:val="00B277BB"/>
    <w:rsid w:val="00B54EBA"/>
    <w:rsid w:val="00B5712A"/>
    <w:rsid w:val="00B70EEF"/>
    <w:rsid w:val="00B82D88"/>
    <w:rsid w:val="00B92E2F"/>
    <w:rsid w:val="00B96183"/>
    <w:rsid w:val="00BA183E"/>
    <w:rsid w:val="00BA25D8"/>
    <w:rsid w:val="00BB02E9"/>
    <w:rsid w:val="00BB10B9"/>
    <w:rsid w:val="00BB605F"/>
    <w:rsid w:val="00BB7291"/>
    <w:rsid w:val="00BC1391"/>
    <w:rsid w:val="00BD04C2"/>
    <w:rsid w:val="00BD695A"/>
    <w:rsid w:val="00BF346C"/>
    <w:rsid w:val="00C126CF"/>
    <w:rsid w:val="00C16525"/>
    <w:rsid w:val="00C271FA"/>
    <w:rsid w:val="00C5694C"/>
    <w:rsid w:val="00C71150"/>
    <w:rsid w:val="00C742D1"/>
    <w:rsid w:val="00C810DD"/>
    <w:rsid w:val="00C94A4A"/>
    <w:rsid w:val="00C96A66"/>
    <w:rsid w:val="00CA6C5E"/>
    <w:rsid w:val="00CD3775"/>
    <w:rsid w:val="00CF5B02"/>
    <w:rsid w:val="00D065B9"/>
    <w:rsid w:val="00D214D0"/>
    <w:rsid w:val="00D25095"/>
    <w:rsid w:val="00D36461"/>
    <w:rsid w:val="00D36737"/>
    <w:rsid w:val="00D409E5"/>
    <w:rsid w:val="00D40A5F"/>
    <w:rsid w:val="00D472F7"/>
    <w:rsid w:val="00D52BCA"/>
    <w:rsid w:val="00D70D2D"/>
    <w:rsid w:val="00D80060"/>
    <w:rsid w:val="00D90D89"/>
    <w:rsid w:val="00D94101"/>
    <w:rsid w:val="00DA5B7C"/>
    <w:rsid w:val="00DB1B2E"/>
    <w:rsid w:val="00DC5548"/>
    <w:rsid w:val="00DF1F17"/>
    <w:rsid w:val="00DF6D1B"/>
    <w:rsid w:val="00E116B7"/>
    <w:rsid w:val="00E2526C"/>
    <w:rsid w:val="00E255B7"/>
    <w:rsid w:val="00E350A3"/>
    <w:rsid w:val="00E45BED"/>
    <w:rsid w:val="00E47BC0"/>
    <w:rsid w:val="00E5380F"/>
    <w:rsid w:val="00E54524"/>
    <w:rsid w:val="00E54558"/>
    <w:rsid w:val="00E66303"/>
    <w:rsid w:val="00E7214A"/>
    <w:rsid w:val="00E721B7"/>
    <w:rsid w:val="00E807B6"/>
    <w:rsid w:val="00E9433F"/>
    <w:rsid w:val="00EA272C"/>
    <w:rsid w:val="00EA6FCF"/>
    <w:rsid w:val="00ED54AD"/>
    <w:rsid w:val="00ED66C3"/>
    <w:rsid w:val="00EE5B42"/>
    <w:rsid w:val="00EF4327"/>
    <w:rsid w:val="00F00054"/>
    <w:rsid w:val="00F04F88"/>
    <w:rsid w:val="00F0609D"/>
    <w:rsid w:val="00F10592"/>
    <w:rsid w:val="00F11EEA"/>
    <w:rsid w:val="00F15730"/>
    <w:rsid w:val="00F15F52"/>
    <w:rsid w:val="00F16A23"/>
    <w:rsid w:val="00F16A6B"/>
    <w:rsid w:val="00F16DC6"/>
    <w:rsid w:val="00F25D70"/>
    <w:rsid w:val="00F3750B"/>
    <w:rsid w:val="00F70FA9"/>
    <w:rsid w:val="00F8377C"/>
    <w:rsid w:val="00FA5B7B"/>
    <w:rsid w:val="00FA6D4E"/>
    <w:rsid w:val="00FA7C65"/>
    <w:rsid w:val="00FB050B"/>
    <w:rsid w:val="00FB5EBA"/>
    <w:rsid w:val="00FB7350"/>
    <w:rsid w:val="00FD18B8"/>
    <w:rsid w:val="00FD3939"/>
    <w:rsid w:val="00FE2F5E"/>
    <w:rsid w:val="00FF7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1E7877"/>
  <w15:chartTrackingRefBased/>
  <w15:docId w15:val="{7F132E59-1CBD-FF40-8D01-453ADDDE8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51D6"/>
    <w:rPr>
      <w:rFonts w:ascii="Times New Roman" w:eastAsia="Times New Roman" w:hAnsi="Times New Roman" w:cs="Times New Roman"/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NoteBibliography">
    <w:name w:val="EndNote Bibliography"/>
    <w:basedOn w:val="Normal"/>
    <w:link w:val="EndNoteBibliographyChar"/>
    <w:rsid w:val="002C4BFA"/>
    <w:pPr>
      <w:jc w:val="both"/>
    </w:pPr>
    <w:rPr>
      <w:rFonts w:ascii="Calibri" w:eastAsiaTheme="minorHAnsi" w:hAnsi="Calibri" w:cs="Calibri"/>
      <w:kern w:val="2"/>
      <w:lang w:val="en-US"/>
      <w14:ligatures w14:val="standardContextual"/>
    </w:rPr>
  </w:style>
  <w:style w:type="character" w:customStyle="1" w:styleId="EndNoteBibliographyChar">
    <w:name w:val="EndNote Bibliography Char"/>
    <w:basedOn w:val="DefaultParagraphFont"/>
    <w:link w:val="EndNoteBibliography"/>
    <w:rsid w:val="002C4BFA"/>
    <w:rPr>
      <w:rFonts w:ascii="Calibri" w:hAnsi="Calibri" w:cs="Calibri"/>
      <w:lang w:val="en-US"/>
    </w:rPr>
  </w:style>
  <w:style w:type="paragraph" w:customStyle="1" w:styleId="EndNoteBibliographyTitle">
    <w:name w:val="EndNote Bibliography Title"/>
    <w:basedOn w:val="Normal"/>
    <w:link w:val="EndNoteBibliographyTitleChar"/>
    <w:rsid w:val="002C4BFA"/>
    <w:pPr>
      <w:jc w:val="center"/>
    </w:pPr>
    <w:rPr>
      <w:rFonts w:ascii="Calibri" w:eastAsiaTheme="minorHAnsi" w:hAnsi="Calibri" w:cs="Calibri"/>
      <w:kern w:val="2"/>
      <w:lang w:val="en-US"/>
      <w14:ligatures w14:val="standardContextual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2C4BFA"/>
    <w:rPr>
      <w:rFonts w:ascii="Calibri" w:hAnsi="Calibri" w:cs="Calibri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B151D6"/>
    <w:pPr>
      <w:spacing w:after="200"/>
    </w:pPr>
    <w:rPr>
      <w:b/>
      <w:bCs/>
      <w:color w:val="4472C4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151D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51D6"/>
    <w:rPr>
      <w:rFonts w:ascii="Times New Roman" w:eastAsia="Times New Roman" w:hAnsi="Times New Roman" w:cs="Times New Roman"/>
      <w:kern w:val="0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B151D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51D6"/>
    <w:rPr>
      <w:rFonts w:ascii="Times New Roman" w:eastAsia="Times New Roman" w:hAnsi="Times New Roman" w:cs="Times New Roman"/>
      <w:kern w:val="0"/>
      <w14:ligatures w14:val="none"/>
    </w:rPr>
  </w:style>
  <w:style w:type="paragraph" w:styleId="Revision">
    <w:name w:val="Revision"/>
    <w:hidden/>
    <w:uiPriority w:val="99"/>
    <w:semiHidden/>
    <w:rsid w:val="0099262C"/>
    <w:rPr>
      <w:rFonts w:ascii="Times New Roman" w:eastAsia="Times New Roman" w:hAnsi="Times New Roman" w:cs="Times New Roman"/>
      <w:kern w:val="0"/>
      <w14:ligatures w14:val="none"/>
    </w:rPr>
  </w:style>
  <w:style w:type="paragraph" w:styleId="NoSpacing">
    <w:name w:val="No Spacing"/>
    <w:uiPriority w:val="1"/>
    <w:qFormat/>
    <w:rsid w:val="004327DA"/>
    <w:rPr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sv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image" Target="media/image15.emf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13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665</Words>
  <Characters>3794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Nagham Nafiz Ahmad Hendi</dc:creator>
  <cp:keywords/>
  <dc:description/>
  <cp:lastModifiedBy>Jennifer E. Cantor</cp:lastModifiedBy>
  <cp:revision>2</cp:revision>
  <dcterms:created xsi:type="dcterms:W3CDTF">2024-07-23T12:09:00Z</dcterms:created>
  <dcterms:modified xsi:type="dcterms:W3CDTF">2024-07-23T12:09:00Z</dcterms:modified>
</cp:coreProperties>
</file>