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B356E" w14:textId="77777777" w:rsidR="00453AC7" w:rsidRDefault="00453AC7" w:rsidP="00453AC7">
      <w:pPr>
        <w:pStyle w:val="Caption"/>
        <w:keepNext/>
        <w:spacing w:after="0" w:line="480" w:lineRule="auto"/>
        <w:jc w:val="center"/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</w:pPr>
      <w:r w:rsidRPr="00761188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4"/>
          <w:szCs w:val="24"/>
        </w:rPr>
        <w:t xml:space="preserve">Table </w:t>
      </w:r>
      <w:r w:rsidRPr="00761188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761188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4"/>
          <w:szCs w:val="24"/>
        </w:rPr>
        <w:instrText xml:space="preserve"> SEQ Table \* ARABIC </w:instrText>
      </w:r>
      <w:r w:rsidRPr="00761188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Pr="00761188">
        <w:rPr>
          <w:rFonts w:asciiTheme="majorBidi" w:hAnsiTheme="majorBidi" w:cstheme="majorBidi"/>
          <w:b/>
          <w:bCs/>
          <w:i w:val="0"/>
          <w:iCs w:val="0"/>
          <w:noProof/>
          <w:color w:val="000000" w:themeColor="text1"/>
          <w:sz w:val="24"/>
          <w:szCs w:val="24"/>
        </w:rPr>
        <w:t>1</w:t>
      </w:r>
      <w:r w:rsidRPr="00761188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761188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4"/>
          <w:szCs w:val="24"/>
        </w:rPr>
        <w:t xml:space="preserve">: </w:t>
      </w:r>
      <w:r w:rsidRPr="00761188"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Diagnostic assessment of </w:t>
      </w:r>
      <w:proofErr w:type="spellStart"/>
      <w:r w:rsidRPr="00761188"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>FineCare</w:t>
      </w:r>
      <w:r w:rsidRPr="00761188">
        <w:rPr>
          <w:rFonts w:asciiTheme="majorBidi" w:hAnsiTheme="majorBidi" w:cstheme="majorBidi"/>
          <w:b/>
          <w:bCs/>
          <w:i w:val="0"/>
          <w:iCs w:val="0"/>
          <w:color w:val="000000" w:themeColor="text1"/>
          <w:sz w:val="24"/>
          <w:szCs w:val="24"/>
          <w:vertAlign w:val="superscript"/>
        </w:rPr>
        <w:t>TM</w:t>
      </w:r>
      <w:proofErr w:type="spellEnd"/>
      <w:r w:rsidRPr="00761188"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 for </w:t>
      </w:r>
      <w:r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>S-</w:t>
      </w:r>
      <w:r w:rsidRPr="00761188"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>RBD total antibodies</w:t>
      </w:r>
      <w:r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 detection*</w:t>
      </w:r>
      <w:r w:rsidRPr="00761188"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 RT-PCR </w:t>
      </w:r>
      <w:r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 xml:space="preserve">used as </w:t>
      </w:r>
      <w:r w:rsidRPr="00761188">
        <w:rPr>
          <w:rFonts w:asciiTheme="majorBidi" w:hAnsiTheme="majorBidi" w:cstheme="majorBidi"/>
          <w:i w:val="0"/>
          <w:iCs w:val="0"/>
          <w:color w:val="000000" w:themeColor="text1"/>
          <w:sz w:val="24"/>
          <w:szCs w:val="24"/>
        </w:rPr>
        <w:t>a reference test</w:t>
      </w:r>
    </w:p>
    <w:tbl>
      <w:tblPr>
        <w:tblStyle w:val="TableGrid"/>
        <w:tblpPr w:leftFromText="180" w:rightFromText="180" w:vertAnchor="page" w:horzAnchor="margin" w:tblpY="2707"/>
        <w:tblW w:w="8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600"/>
      </w:tblGrid>
      <w:tr w:rsidR="00453AC7" w:rsidRPr="00761188" w14:paraId="64A77A1C" w14:textId="77777777" w:rsidTr="00471302">
        <w:trPr>
          <w:trHeight w:val="381"/>
        </w:trPr>
        <w:tc>
          <w:tcPr>
            <w:tcW w:w="422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2E6DB572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Immunoassay</w:t>
            </w:r>
          </w:p>
        </w:tc>
        <w:tc>
          <w:tcPr>
            <w:tcW w:w="460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41D6B340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vertAlign w:val="superscript"/>
              </w:rPr>
            </w:pPr>
            <w:proofErr w:type="spellStart"/>
            <w:r w:rsidRPr="00761188">
              <w:rPr>
                <w:rFonts w:asciiTheme="majorBidi" w:hAnsiTheme="majorBidi" w:cstheme="majorBidi"/>
                <w:b/>
                <w:bCs/>
              </w:rPr>
              <w:t>FineCare</w:t>
            </w:r>
            <w:r w:rsidRPr="00761188">
              <w:rPr>
                <w:rFonts w:asciiTheme="majorBidi" w:hAnsiTheme="majorBidi" w:cstheme="majorBidi"/>
                <w:b/>
                <w:bCs/>
                <w:vertAlign w:val="superscript"/>
              </w:rPr>
              <w:t>TM</w:t>
            </w:r>
            <w:proofErr w:type="spellEnd"/>
          </w:p>
        </w:tc>
      </w:tr>
      <w:tr w:rsidR="00453AC7" w:rsidRPr="00761188" w14:paraId="0B460187" w14:textId="77777777" w:rsidTr="00471302">
        <w:trPr>
          <w:trHeight w:val="339"/>
        </w:trPr>
        <w:tc>
          <w:tcPr>
            <w:tcW w:w="4225" w:type="dxa"/>
            <w:tcBorders>
              <w:top w:val="single" w:sz="12" w:space="0" w:color="000000" w:themeColor="text1"/>
            </w:tcBorders>
            <w:vAlign w:val="center"/>
          </w:tcPr>
          <w:p w14:paraId="0804788A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Sensitivity % (95% CI)</w:t>
            </w:r>
          </w:p>
        </w:tc>
        <w:tc>
          <w:tcPr>
            <w:tcW w:w="4600" w:type="dxa"/>
            <w:tcBorders>
              <w:top w:val="single" w:sz="12" w:space="0" w:color="000000" w:themeColor="text1"/>
            </w:tcBorders>
            <w:vAlign w:val="center"/>
          </w:tcPr>
          <w:p w14:paraId="2E90FCFB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761188">
              <w:rPr>
                <w:rFonts w:asciiTheme="majorBidi" w:hAnsiTheme="majorBidi" w:cstheme="majorBidi"/>
                <w:color w:val="000000"/>
              </w:rPr>
              <w:t>92% (95% CI: 8</w:t>
            </w:r>
            <w:r w:rsidRPr="00761188">
              <w:rPr>
                <w:rFonts w:asciiTheme="majorBidi" w:hAnsiTheme="majorBidi" w:cstheme="majorBidi"/>
                <w:color w:val="000000"/>
                <w:shd w:val="clear" w:color="auto" w:fill="FFFFFF"/>
              </w:rPr>
              <w:t>6.44% to 95.80%)</w:t>
            </w:r>
          </w:p>
        </w:tc>
      </w:tr>
      <w:tr w:rsidR="00453AC7" w:rsidRPr="00761188" w14:paraId="44E3B6A9" w14:textId="77777777" w:rsidTr="00471302">
        <w:trPr>
          <w:trHeight w:val="416"/>
        </w:trPr>
        <w:tc>
          <w:tcPr>
            <w:tcW w:w="4225" w:type="dxa"/>
            <w:vAlign w:val="center"/>
          </w:tcPr>
          <w:p w14:paraId="17B55171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Specificity % (95% CI)</w:t>
            </w:r>
          </w:p>
        </w:tc>
        <w:tc>
          <w:tcPr>
            <w:tcW w:w="4600" w:type="dxa"/>
            <w:vAlign w:val="center"/>
          </w:tcPr>
          <w:p w14:paraId="220214C6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 xml:space="preserve">100% (95% CI: </w:t>
            </w:r>
            <w:r w:rsidRPr="00761188">
              <w:rPr>
                <w:rFonts w:asciiTheme="majorBidi" w:hAnsiTheme="majorBidi" w:cstheme="majorBidi"/>
                <w:color w:val="000000"/>
                <w:shd w:val="clear" w:color="auto" w:fill="FFFFFF"/>
              </w:rPr>
              <w:t>96.38%-100.00%)</w:t>
            </w:r>
          </w:p>
        </w:tc>
      </w:tr>
      <w:tr w:rsidR="00453AC7" w:rsidRPr="00761188" w14:paraId="649D30E4" w14:textId="77777777" w:rsidTr="00471302">
        <w:trPr>
          <w:trHeight w:val="434"/>
        </w:trPr>
        <w:tc>
          <w:tcPr>
            <w:tcW w:w="4225" w:type="dxa"/>
            <w:vAlign w:val="center"/>
          </w:tcPr>
          <w:p w14:paraId="6EE35D37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Overall agreement % (95% CI)</w:t>
            </w:r>
          </w:p>
        </w:tc>
        <w:tc>
          <w:tcPr>
            <w:tcW w:w="4600" w:type="dxa"/>
            <w:vAlign w:val="center"/>
          </w:tcPr>
          <w:p w14:paraId="237BEF6F" w14:textId="77777777" w:rsidR="00453AC7" w:rsidRPr="0081216E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761188">
              <w:rPr>
                <w:rFonts w:asciiTheme="majorBidi" w:hAnsiTheme="majorBidi" w:cstheme="majorBidi"/>
                <w:color w:val="000000"/>
              </w:rPr>
              <w:t>96.4% (95% CI: 93.2%- 98.1%)</w:t>
            </w:r>
          </w:p>
        </w:tc>
      </w:tr>
      <w:tr w:rsidR="00453AC7" w:rsidRPr="00761188" w14:paraId="36480594" w14:textId="77777777" w:rsidTr="00471302">
        <w:trPr>
          <w:trHeight w:val="339"/>
        </w:trPr>
        <w:tc>
          <w:tcPr>
            <w:tcW w:w="4225" w:type="dxa"/>
            <w:vAlign w:val="center"/>
          </w:tcPr>
          <w:p w14:paraId="7D69842D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Cohen's kappa coefficient κ (95% CI)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4009B06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color w:val="000000"/>
                <w:shd w:val="clear" w:color="auto" w:fill="F9F8F9"/>
              </w:rPr>
              <w:t>0.881 (95% CI: 0.816-0.946)</w:t>
            </w:r>
          </w:p>
        </w:tc>
      </w:tr>
      <w:tr w:rsidR="00453AC7" w:rsidRPr="00761188" w14:paraId="2EE0F527" w14:textId="77777777" w:rsidTr="00471302">
        <w:trPr>
          <w:trHeight w:val="339"/>
        </w:trPr>
        <w:tc>
          <w:tcPr>
            <w:tcW w:w="4225" w:type="dxa"/>
            <w:vAlign w:val="center"/>
          </w:tcPr>
          <w:p w14:paraId="040AD4CA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ROC curves optimized cut-off index</w:t>
            </w:r>
          </w:p>
        </w:tc>
        <w:tc>
          <w:tcPr>
            <w:tcW w:w="4600" w:type="dxa"/>
            <w:vAlign w:val="center"/>
          </w:tcPr>
          <w:p w14:paraId="2E91EA94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B5AA6">
              <w:rPr>
                <w:rFonts w:asciiTheme="majorBidi" w:hAnsiTheme="majorBidi" w:cstheme="majorBidi"/>
              </w:rPr>
              <w:t>&gt; 10.70</w:t>
            </w:r>
          </w:p>
        </w:tc>
      </w:tr>
      <w:tr w:rsidR="00453AC7" w:rsidRPr="00761188" w14:paraId="6844D781" w14:textId="77777777" w:rsidTr="00471302">
        <w:trPr>
          <w:trHeight w:val="339"/>
        </w:trPr>
        <w:tc>
          <w:tcPr>
            <w:tcW w:w="4225" w:type="dxa"/>
            <w:vAlign w:val="center"/>
          </w:tcPr>
          <w:p w14:paraId="0729944A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Sensitivity using optimized cut-off indices</w:t>
            </w:r>
          </w:p>
          <w:p w14:paraId="612A9A6C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% (95% CI)</w:t>
            </w:r>
          </w:p>
        </w:tc>
        <w:tc>
          <w:tcPr>
            <w:tcW w:w="4600" w:type="dxa"/>
            <w:vAlign w:val="center"/>
          </w:tcPr>
          <w:p w14:paraId="3A72FC46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94.67% (95%CI: 89.83%-97.27%)</w:t>
            </w:r>
          </w:p>
        </w:tc>
      </w:tr>
      <w:tr w:rsidR="00453AC7" w:rsidRPr="00761188" w14:paraId="6A7E8818" w14:textId="77777777" w:rsidTr="00471302">
        <w:trPr>
          <w:trHeight w:val="339"/>
        </w:trPr>
        <w:tc>
          <w:tcPr>
            <w:tcW w:w="4225" w:type="dxa"/>
            <w:tcBorders>
              <w:bottom w:val="single" w:sz="12" w:space="0" w:color="000000" w:themeColor="text1"/>
            </w:tcBorders>
            <w:vAlign w:val="center"/>
          </w:tcPr>
          <w:p w14:paraId="340C540B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Specificity using optimized cut-off indices</w:t>
            </w:r>
          </w:p>
          <w:p w14:paraId="5800FE37" w14:textId="77777777" w:rsidR="00453AC7" w:rsidRPr="00761188" w:rsidRDefault="00453AC7" w:rsidP="00471302">
            <w:pPr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% (95% CI)</w:t>
            </w:r>
          </w:p>
        </w:tc>
        <w:tc>
          <w:tcPr>
            <w:tcW w:w="4600" w:type="dxa"/>
            <w:tcBorders>
              <w:bottom w:val="single" w:sz="12" w:space="0" w:color="000000" w:themeColor="text1"/>
            </w:tcBorders>
            <w:vAlign w:val="center"/>
          </w:tcPr>
          <w:p w14:paraId="3925641D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100% (95% CI: 96.34%-100%)</w:t>
            </w:r>
          </w:p>
        </w:tc>
      </w:tr>
    </w:tbl>
    <w:p w14:paraId="1337FF93" w14:textId="77777777" w:rsidR="00453AC7" w:rsidRPr="00C4503B" w:rsidRDefault="00453AC7" w:rsidP="00453AC7"/>
    <w:p w14:paraId="665471BB" w14:textId="77777777" w:rsidR="00453AC7" w:rsidRDefault="00453AC7" w:rsidP="00453AC7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12B4C01" w14:textId="159CDEBB" w:rsidR="00453AC7" w:rsidRDefault="00453AC7"/>
    <w:p w14:paraId="3E196B2C" w14:textId="77777777" w:rsidR="00453AC7" w:rsidRDefault="00453AC7">
      <w:r>
        <w:br w:type="page"/>
      </w:r>
    </w:p>
    <w:p w14:paraId="28E2343F" w14:textId="77777777" w:rsidR="00453AC7" w:rsidRPr="00EE5070" w:rsidRDefault="00453AC7" w:rsidP="00453AC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61188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 w:rsidRPr="00761188">
        <w:rPr>
          <w:rFonts w:asciiTheme="majorBidi" w:hAnsiTheme="majorBidi" w:cstheme="majorBidi"/>
          <w:b/>
          <w:bCs/>
          <w:sz w:val="24"/>
          <w:szCs w:val="24"/>
        </w:rPr>
        <w:fldChar w:fldCharType="begin"/>
      </w:r>
      <w:r w:rsidRPr="00761188">
        <w:rPr>
          <w:rFonts w:asciiTheme="majorBidi" w:hAnsiTheme="majorBidi" w:cstheme="majorBidi"/>
          <w:b/>
          <w:bCs/>
          <w:sz w:val="24"/>
          <w:szCs w:val="24"/>
        </w:rPr>
        <w:instrText xml:space="preserve"> SEQ Table \* ARABIC </w:instrText>
      </w:r>
      <w:r w:rsidRPr="00761188">
        <w:rPr>
          <w:rFonts w:asciiTheme="majorBidi" w:hAnsiTheme="majorBidi" w:cstheme="majorBidi"/>
          <w:b/>
          <w:bCs/>
          <w:sz w:val="24"/>
          <w:szCs w:val="24"/>
        </w:rPr>
        <w:fldChar w:fldCharType="separate"/>
      </w:r>
      <w:r w:rsidRPr="00761188">
        <w:rPr>
          <w:rFonts w:asciiTheme="majorBidi" w:hAnsiTheme="majorBidi" w:cstheme="majorBidi"/>
          <w:b/>
          <w:bCs/>
          <w:noProof/>
          <w:sz w:val="24"/>
          <w:szCs w:val="24"/>
        </w:rPr>
        <w:t>2</w:t>
      </w:r>
      <w:r w:rsidRPr="00761188">
        <w:rPr>
          <w:rFonts w:asciiTheme="majorBidi" w:hAnsiTheme="majorBidi" w:cstheme="majorBidi"/>
          <w:b/>
          <w:bCs/>
          <w:sz w:val="24"/>
          <w:szCs w:val="24"/>
        </w:rPr>
        <w:fldChar w:fldCharType="end"/>
      </w:r>
      <w:r w:rsidRPr="00761188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761188">
        <w:rPr>
          <w:rFonts w:asciiTheme="majorBidi" w:hAnsiTheme="majorBidi" w:cstheme="majorBidi"/>
          <w:sz w:val="24"/>
          <w:szCs w:val="24"/>
        </w:rPr>
        <w:t xml:space="preserve"> Concordance assessment between the </w:t>
      </w:r>
      <w:proofErr w:type="spellStart"/>
      <w:r w:rsidRPr="00761188">
        <w:rPr>
          <w:rFonts w:asciiTheme="majorBidi" w:hAnsiTheme="majorBidi" w:cstheme="majorBidi"/>
          <w:sz w:val="24"/>
          <w:szCs w:val="24"/>
        </w:rPr>
        <w:t>FineCare</w:t>
      </w:r>
      <w:r w:rsidRPr="00761188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TM</w:t>
      </w:r>
      <w:proofErr w:type="spellEnd"/>
      <w:r w:rsidRPr="00761188">
        <w:rPr>
          <w:rFonts w:asciiTheme="majorBidi" w:hAnsiTheme="majorBidi" w:cstheme="majorBidi"/>
          <w:sz w:val="24"/>
          <w:szCs w:val="24"/>
        </w:rPr>
        <w:t xml:space="preserve"> sVNT, VIDAS®3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61188">
        <w:rPr>
          <w:rFonts w:asciiTheme="majorBidi" w:hAnsiTheme="majorBidi" w:cstheme="majorBidi"/>
          <w:sz w:val="24"/>
          <w:szCs w:val="24"/>
        </w:rPr>
        <w:t>tests</w:t>
      </w:r>
    </w:p>
    <w:tbl>
      <w:tblPr>
        <w:tblStyle w:val="TableGrid"/>
        <w:tblpPr w:leftFromText="180" w:rightFromText="180" w:vertAnchor="text" w:horzAnchor="margin" w:tblpY="239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563"/>
        <w:gridCol w:w="1264"/>
        <w:gridCol w:w="1384"/>
        <w:gridCol w:w="832"/>
        <w:gridCol w:w="1352"/>
        <w:gridCol w:w="1306"/>
        <w:gridCol w:w="1324"/>
      </w:tblGrid>
      <w:tr w:rsidR="00453AC7" w:rsidRPr="00761188" w14:paraId="7568685D" w14:textId="77777777" w:rsidTr="00471302">
        <w:trPr>
          <w:trHeight w:val="1500"/>
        </w:trPr>
        <w:tc>
          <w:tcPr>
            <w:tcW w:w="1335" w:type="dxa"/>
            <w:tcBorders>
              <w:top w:val="single" w:sz="12" w:space="0" w:color="000000" w:themeColor="text1"/>
            </w:tcBorders>
          </w:tcPr>
          <w:p w14:paraId="08FB110F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  <w:bookmarkStart w:id="0" w:name="_Hlk90383659"/>
          </w:p>
        </w:tc>
        <w:tc>
          <w:tcPr>
            <w:tcW w:w="563" w:type="dxa"/>
            <w:tcBorders>
              <w:top w:val="single" w:sz="12" w:space="0" w:color="000000" w:themeColor="text1"/>
            </w:tcBorders>
          </w:tcPr>
          <w:p w14:paraId="22CA1A75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4" w:type="dxa"/>
            <w:tcBorders>
              <w:top w:val="single" w:sz="12" w:space="0" w:color="000000" w:themeColor="text1"/>
              <w:bottom w:val="single" w:sz="8" w:space="0" w:color="000000" w:themeColor="text1"/>
            </w:tcBorders>
          </w:tcPr>
          <w:p w14:paraId="3E65C236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14:paraId="60D864F0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Compared to</w:t>
            </w:r>
          </w:p>
        </w:tc>
        <w:tc>
          <w:tcPr>
            <w:tcW w:w="1384" w:type="dxa"/>
            <w:tcBorders>
              <w:top w:val="single" w:sz="12" w:space="0" w:color="000000" w:themeColor="text1"/>
              <w:bottom w:val="single" w:sz="8" w:space="0" w:color="000000" w:themeColor="text1"/>
            </w:tcBorders>
          </w:tcPr>
          <w:p w14:paraId="68A5246D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Overall Percent Agreement</w:t>
            </w:r>
          </w:p>
          <w:p w14:paraId="22735040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%</w:t>
            </w:r>
          </w:p>
          <w:p w14:paraId="3CDA7B3F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(95% CI)</w:t>
            </w:r>
          </w:p>
        </w:tc>
        <w:tc>
          <w:tcPr>
            <w:tcW w:w="832" w:type="dxa"/>
            <w:tcBorders>
              <w:top w:val="single" w:sz="12" w:space="0" w:color="000000" w:themeColor="text1"/>
              <w:bottom w:val="single" w:sz="8" w:space="0" w:color="000000" w:themeColor="text1"/>
            </w:tcBorders>
          </w:tcPr>
          <w:p w14:paraId="24B6EB1E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2" w:type="dxa"/>
            <w:tcBorders>
              <w:top w:val="single" w:sz="12" w:space="0" w:color="000000" w:themeColor="text1"/>
              <w:bottom w:val="single" w:sz="8" w:space="0" w:color="000000" w:themeColor="text1"/>
            </w:tcBorders>
          </w:tcPr>
          <w:p w14:paraId="18669F77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Positive Percent Agreement</w:t>
            </w:r>
          </w:p>
          <w:p w14:paraId="3400493C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%</w:t>
            </w:r>
          </w:p>
          <w:p w14:paraId="0A0654B2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(95% CI)</w:t>
            </w:r>
          </w:p>
        </w:tc>
        <w:tc>
          <w:tcPr>
            <w:tcW w:w="1306" w:type="dxa"/>
            <w:tcBorders>
              <w:top w:val="single" w:sz="12" w:space="0" w:color="000000" w:themeColor="text1"/>
              <w:bottom w:val="single" w:sz="8" w:space="0" w:color="000000" w:themeColor="text1"/>
            </w:tcBorders>
          </w:tcPr>
          <w:p w14:paraId="2FEBF899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Negative Percent Agreement</w:t>
            </w:r>
          </w:p>
          <w:p w14:paraId="0AACC773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%</w:t>
            </w:r>
          </w:p>
          <w:p w14:paraId="216C2D4B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(95% CI)</w:t>
            </w:r>
          </w:p>
        </w:tc>
        <w:tc>
          <w:tcPr>
            <w:tcW w:w="1324" w:type="dxa"/>
            <w:tcBorders>
              <w:top w:val="single" w:sz="12" w:space="0" w:color="000000" w:themeColor="text1"/>
              <w:bottom w:val="single" w:sz="8" w:space="0" w:color="000000" w:themeColor="text1"/>
            </w:tcBorders>
          </w:tcPr>
          <w:p w14:paraId="4E1257A8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Cohen's kappa coefficient</w:t>
            </w:r>
          </w:p>
          <w:p w14:paraId="30B9B7D3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Κ</w:t>
            </w:r>
          </w:p>
          <w:p w14:paraId="5FCDF3CA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(95% CI)</w:t>
            </w:r>
          </w:p>
          <w:p w14:paraId="7B0E79ED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453AC7" w:rsidRPr="00761188" w14:paraId="7C2BE53F" w14:textId="77777777" w:rsidTr="00471302">
        <w:trPr>
          <w:trHeight w:val="1167"/>
        </w:trPr>
        <w:tc>
          <w:tcPr>
            <w:tcW w:w="1335" w:type="dxa"/>
            <w:vMerge w:val="restart"/>
          </w:tcPr>
          <w:p w14:paraId="4178ADF3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14:paraId="4DB607FC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14:paraId="5B5D3E0A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14:paraId="2321EA43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761188">
              <w:rPr>
                <w:rFonts w:asciiTheme="majorBidi" w:hAnsiTheme="majorBidi" w:cstheme="majorBidi"/>
                <w:b/>
                <w:bCs/>
              </w:rPr>
              <w:t>FineCare</w:t>
            </w:r>
            <w:r w:rsidRPr="00761188">
              <w:rPr>
                <w:rFonts w:asciiTheme="majorBidi" w:hAnsiTheme="majorBidi" w:cstheme="majorBidi"/>
                <w:b/>
                <w:bCs/>
                <w:vertAlign w:val="superscript"/>
              </w:rPr>
              <w:t>TM</w:t>
            </w:r>
            <w:proofErr w:type="spellEnd"/>
          </w:p>
          <w:p w14:paraId="6724E401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</w:tcPr>
          <w:p w14:paraId="0D4BE823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4" w:type="dxa"/>
            <w:tcBorders>
              <w:top w:val="single" w:sz="8" w:space="0" w:color="000000" w:themeColor="text1"/>
            </w:tcBorders>
          </w:tcPr>
          <w:p w14:paraId="34153E2A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sVNT</w:t>
            </w:r>
          </w:p>
        </w:tc>
        <w:tc>
          <w:tcPr>
            <w:tcW w:w="1384" w:type="dxa"/>
            <w:tcBorders>
              <w:top w:val="single" w:sz="8" w:space="0" w:color="000000" w:themeColor="text1"/>
            </w:tcBorders>
          </w:tcPr>
          <w:p w14:paraId="2DFE949F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hd w:val="clear" w:color="auto" w:fill="FFFFFF"/>
              </w:rPr>
            </w:pPr>
            <w:r w:rsidRPr="00761188">
              <w:rPr>
                <w:rFonts w:asciiTheme="majorBidi" w:hAnsiTheme="majorBidi" w:cstheme="majorBidi"/>
                <w:color w:val="000000"/>
                <w:shd w:val="clear" w:color="auto" w:fill="FFFFFF"/>
              </w:rPr>
              <w:t>92.0%</w:t>
            </w:r>
          </w:p>
          <w:p w14:paraId="1A98568E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color w:val="000000"/>
                <w:shd w:val="clear" w:color="auto" w:fill="FFFFFF"/>
              </w:rPr>
              <w:t>(86.5-95.4)</w:t>
            </w:r>
          </w:p>
          <w:p w14:paraId="613D414D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32" w:type="dxa"/>
            <w:tcBorders>
              <w:top w:val="single" w:sz="8" w:space="0" w:color="000000" w:themeColor="text1"/>
            </w:tcBorders>
          </w:tcPr>
          <w:p w14:paraId="05FF1E43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2" w:type="dxa"/>
            <w:tcBorders>
              <w:top w:val="single" w:sz="8" w:space="0" w:color="000000" w:themeColor="text1"/>
            </w:tcBorders>
          </w:tcPr>
          <w:p w14:paraId="2738AA69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97.7%</w:t>
            </w:r>
          </w:p>
          <w:p w14:paraId="43EE4F38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(93.5-99.2)</w:t>
            </w:r>
          </w:p>
        </w:tc>
        <w:tc>
          <w:tcPr>
            <w:tcW w:w="1306" w:type="dxa"/>
            <w:tcBorders>
              <w:top w:val="single" w:sz="8" w:space="0" w:color="000000" w:themeColor="text1"/>
            </w:tcBorders>
          </w:tcPr>
          <w:p w14:paraId="2861DF5A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50%</w:t>
            </w:r>
          </w:p>
          <w:p w14:paraId="4DC24886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(29-71.0)</w:t>
            </w:r>
          </w:p>
        </w:tc>
        <w:tc>
          <w:tcPr>
            <w:tcW w:w="1324" w:type="dxa"/>
            <w:tcBorders>
              <w:top w:val="single" w:sz="8" w:space="0" w:color="000000" w:themeColor="text1"/>
            </w:tcBorders>
          </w:tcPr>
          <w:p w14:paraId="31652BCD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hd w:val="clear" w:color="auto" w:fill="F9F8F9"/>
              </w:rPr>
            </w:pPr>
            <w:r w:rsidRPr="00761188">
              <w:rPr>
                <w:rFonts w:asciiTheme="majorBidi" w:hAnsiTheme="majorBidi" w:cstheme="majorBidi"/>
                <w:color w:val="000000"/>
                <w:shd w:val="clear" w:color="auto" w:fill="F9F8F9"/>
              </w:rPr>
              <w:t>0.558</w:t>
            </w:r>
          </w:p>
          <w:p w14:paraId="114E1943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color w:val="000000"/>
                <w:shd w:val="clear" w:color="auto" w:fill="F9F8F9"/>
              </w:rPr>
              <w:t>(0.32-0.78)</w:t>
            </w:r>
          </w:p>
        </w:tc>
      </w:tr>
      <w:tr w:rsidR="00453AC7" w:rsidRPr="00761188" w14:paraId="719E9B8E" w14:textId="77777777" w:rsidTr="00471302">
        <w:trPr>
          <w:trHeight w:val="637"/>
        </w:trPr>
        <w:tc>
          <w:tcPr>
            <w:tcW w:w="1335" w:type="dxa"/>
            <w:vMerge/>
            <w:tcBorders>
              <w:bottom w:val="single" w:sz="12" w:space="0" w:color="auto"/>
            </w:tcBorders>
          </w:tcPr>
          <w:p w14:paraId="3B068DC9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3" w:type="dxa"/>
            <w:tcBorders>
              <w:bottom w:val="single" w:sz="12" w:space="0" w:color="auto"/>
            </w:tcBorders>
          </w:tcPr>
          <w:p w14:paraId="057A2114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4" w:type="dxa"/>
            <w:tcBorders>
              <w:bottom w:val="single" w:sz="12" w:space="0" w:color="auto"/>
            </w:tcBorders>
          </w:tcPr>
          <w:p w14:paraId="3953B390" w14:textId="77777777" w:rsidR="00453AC7" w:rsidRPr="00761188" w:rsidRDefault="00453AC7" w:rsidP="0047130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761188">
              <w:rPr>
                <w:rFonts w:asciiTheme="majorBidi" w:hAnsiTheme="majorBidi" w:cstheme="majorBidi"/>
                <w:b/>
                <w:bCs/>
              </w:rPr>
              <w:t>VIDAS®3</w:t>
            </w:r>
          </w:p>
        </w:tc>
        <w:tc>
          <w:tcPr>
            <w:tcW w:w="1384" w:type="dxa"/>
            <w:tcBorders>
              <w:bottom w:val="single" w:sz="12" w:space="0" w:color="auto"/>
            </w:tcBorders>
          </w:tcPr>
          <w:p w14:paraId="5B1C7719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94.4%</w:t>
            </w:r>
          </w:p>
          <w:p w14:paraId="6E11E77A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(87.6-97.6)</w:t>
            </w:r>
          </w:p>
        </w:tc>
        <w:tc>
          <w:tcPr>
            <w:tcW w:w="832" w:type="dxa"/>
            <w:tcBorders>
              <w:bottom w:val="single" w:sz="12" w:space="0" w:color="auto"/>
            </w:tcBorders>
          </w:tcPr>
          <w:p w14:paraId="3FEA14A7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2" w:type="dxa"/>
            <w:tcBorders>
              <w:bottom w:val="single" w:sz="12" w:space="0" w:color="auto"/>
            </w:tcBorders>
          </w:tcPr>
          <w:p w14:paraId="122722B6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95.1%</w:t>
            </w:r>
          </w:p>
          <w:p w14:paraId="026B6402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(88.0-98.1)</w:t>
            </w:r>
          </w:p>
        </w:tc>
        <w:tc>
          <w:tcPr>
            <w:tcW w:w="1306" w:type="dxa"/>
            <w:tcBorders>
              <w:bottom w:val="single" w:sz="12" w:space="0" w:color="auto"/>
            </w:tcBorders>
          </w:tcPr>
          <w:p w14:paraId="6CE84391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88.9%</w:t>
            </w:r>
          </w:p>
          <w:p w14:paraId="2574FD47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</w:rPr>
              <w:t>(56.5-98.0)</w:t>
            </w:r>
          </w:p>
        </w:tc>
        <w:tc>
          <w:tcPr>
            <w:tcW w:w="1324" w:type="dxa"/>
            <w:tcBorders>
              <w:bottom w:val="single" w:sz="12" w:space="0" w:color="auto"/>
            </w:tcBorders>
          </w:tcPr>
          <w:p w14:paraId="1425510E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  <w:color w:val="000000"/>
                <w:shd w:val="clear" w:color="auto" w:fill="F9F8F9"/>
              </w:rPr>
            </w:pPr>
            <w:r w:rsidRPr="00761188">
              <w:rPr>
                <w:rFonts w:asciiTheme="majorBidi" w:hAnsiTheme="majorBidi" w:cstheme="majorBidi"/>
                <w:color w:val="000000"/>
                <w:shd w:val="clear" w:color="auto" w:fill="F9F8F9"/>
              </w:rPr>
              <w:t>0.731</w:t>
            </w:r>
          </w:p>
          <w:p w14:paraId="76A34BC4" w14:textId="77777777" w:rsidR="00453AC7" w:rsidRPr="00761188" w:rsidRDefault="00453AC7" w:rsidP="0047130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761188">
              <w:rPr>
                <w:rFonts w:asciiTheme="majorBidi" w:hAnsiTheme="majorBidi" w:cstheme="majorBidi"/>
                <w:color w:val="000000"/>
                <w:shd w:val="clear" w:color="auto" w:fill="F9F8F9"/>
              </w:rPr>
              <w:t>(0.51 - 0.95)</w:t>
            </w:r>
          </w:p>
        </w:tc>
      </w:tr>
      <w:bookmarkEnd w:id="0"/>
    </w:tbl>
    <w:p w14:paraId="6CC29271" w14:textId="77777777" w:rsidR="00453AC7" w:rsidRDefault="00453AC7" w:rsidP="00453AC7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0E23FC90" w14:textId="77777777" w:rsidR="006E73D1" w:rsidRDefault="006E73D1"/>
    <w:sectPr w:rsidR="006E7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AC7"/>
    <w:rsid w:val="00453AC7"/>
    <w:rsid w:val="006E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5B54E"/>
  <w15:chartTrackingRefBased/>
  <w15:docId w15:val="{A8F1E451-DB05-4600-A032-6217F3F4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3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53AC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 shurrab</dc:creator>
  <cp:keywords/>
  <dc:description/>
  <cp:lastModifiedBy>farah shurrab</cp:lastModifiedBy>
  <cp:revision>1</cp:revision>
  <dcterms:created xsi:type="dcterms:W3CDTF">2022-01-04T17:55:00Z</dcterms:created>
  <dcterms:modified xsi:type="dcterms:W3CDTF">2022-01-04T17:56:00Z</dcterms:modified>
</cp:coreProperties>
</file>