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F25" w:rsidRPr="00211F25" w:rsidRDefault="00211F25" w:rsidP="00211F25"/>
    <w:p w:rsidR="00211F25" w:rsidRPr="00211F25" w:rsidRDefault="00211F25" w:rsidP="00211F25"/>
    <w:p w:rsidR="00DB06D4" w:rsidRDefault="006D6176" w:rsidP="006D6176">
      <w:pPr>
        <w:pStyle w:val="Title"/>
        <w:ind w:left="2160"/>
      </w:pPr>
      <w:r>
        <w:t>Appendix 13: Tolerance</w:t>
      </w:r>
      <w:r w:rsidR="00F32348">
        <w:t xml:space="preserve"> values </w:t>
      </w:r>
    </w:p>
    <w:tbl>
      <w:tblPr>
        <w:tblStyle w:val="GridTable1Light-Accent52"/>
        <w:tblpPr w:leftFromText="180" w:rightFromText="180" w:vertAnchor="page" w:horzAnchor="margin" w:tblpXSpec="center" w:tblpY="3351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253"/>
      </w:tblGrid>
      <w:tr w:rsidR="009F100B" w:rsidRPr="00EE075F" w:rsidTr="006D61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tcBorders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rPr>
                <w:szCs w:val="18"/>
              </w:rPr>
            </w:pPr>
            <w:r w:rsidRPr="00EE075F">
              <w:rPr>
                <w:szCs w:val="18"/>
              </w:rPr>
              <w:t>Dependent variable</w:t>
            </w:r>
          </w:p>
        </w:tc>
        <w:tc>
          <w:tcPr>
            <w:tcW w:w="1559" w:type="dxa"/>
            <w:tcBorders>
              <w:left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EE075F">
              <w:rPr>
                <w:szCs w:val="18"/>
              </w:rPr>
              <w:t>Independent variables</w:t>
            </w:r>
          </w:p>
        </w:tc>
        <w:tc>
          <w:tcPr>
            <w:tcW w:w="1253" w:type="dxa"/>
            <w:tcBorders>
              <w:lef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EE075F">
              <w:rPr>
                <w:szCs w:val="18"/>
              </w:rPr>
              <w:t>Tolerance</w:t>
            </w:r>
          </w:p>
        </w:tc>
      </w:tr>
      <w:tr w:rsidR="009F100B" w:rsidRPr="00EE075F" w:rsidTr="006D61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 w:val="restart"/>
            <w:tcBorders>
              <w:top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rPr>
                <w:szCs w:val="18"/>
              </w:rPr>
            </w:pPr>
            <w:r w:rsidRPr="00EE075F">
              <w:rPr>
                <w:szCs w:val="18"/>
              </w:rPr>
              <w:t>UB</w:t>
            </w:r>
          </w:p>
        </w:tc>
        <w:tc>
          <w:tcPr>
            <w:tcW w:w="1559" w:type="dxa"/>
            <w:tcBorders>
              <w:top w:val="single" w:sz="12" w:space="0" w:color="92CDDC"/>
              <w:left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EE075F">
              <w:rPr>
                <w:szCs w:val="18"/>
              </w:rPr>
              <w:t>BI</w:t>
            </w:r>
          </w:p>
        </w:tc>
        <w:tc>
          <w:tcPr>
            <w:tcW w:w="1253" w:type="dxa"/>
            <w:tcBorders>
              <w:top w:val="single" w:sz="12" w:space="0" w:color="92CDDC"/>
              <w:left w:val="single" w:sz="12" w:space="0" w:color="92CDDC"/>
            </w:tcBorders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>
              <w:rPr>
                <w:szCs w:val="18"/>
              </w:rPr>
              <w:t>0</w:t>
            </w:r>
            <w:r w:rsidRPr="00EE075F">
              <w:rPr>
                <w:szCs w:val="18"/>
              </w:rPr>
              <w:t>.661</w:t>
            </w:r>
          </w:p>
        </w:tc>
      </w:tr>
      <w:tr w:rsidR="009F100B" w:rsidRPr="00EE075F" w:rsidTr="006D61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tcBorders>
              <w:bottom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rPr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92CDDC"/>
              <w:bottom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EE075F">
              <w:rPr>
                <w:szCs w:val="18"/>
              </w:rPr>
              <w:t>FC</w:t>
            </w:r>
          </w:p>
        </w:tc>
        <w:tc>
          <w:tcPr>
            <w:tcW w:w="1253" w:type="dxa"/>
            <w:tcBorders>
              <w:left w:val="single" w:sz="12" w:space="0" w:color="92CDDC"/>
              <w:bottom w:val="single" w:sz="12" w:space="0" w:color="92CDDC"/>
            </w:tcBorders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>
              <w:rPr>
                <w:szCs w:val="18"/>
              </w:rPr>
              <w:t>0</w:t>
            </w:r>
            <w:r w:rsidRPr="00EE075F">
              <w:rPr>
                <w:szCs w:val="18"/>
              </w:rPr>
              <w:t>.661</w:t>
            </w:r>
          </w:p>
        </w:tc>
      </w:tr>
      <w:tr w:rsidR="009F100B" w:rsidRPr="00EE075F" w:rsidTr="006D61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 w:val="restart"/>
            <w:tcBorders>
              <w:top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rPr>
                <w:szCs w:val="18"/>
              </w:rPr>
            </w:pPr>
            <w:r w:rsidRPr="00EE075F">
              <w:rPr>
                <w:szCs w:val="18"/>
              </w:rPr>
              <w:t>BI</w:t>
            </w:r>
          </w:p>
        </w:tc>
        <w:tc>
          <w:tcPr>
            <w:tcW w:w="1559" w:type="dxa"/>
            <w:tcBorders>
              <w:top w:val="single" w:sz="12" w:space="0" w:color="92CDDC"/>
              <w:left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EE075F">
              <w:rPr>
                <w:szCs w:val="18"/>
              </w:rPr>
              <w:t>PE</w:t>
            </w:r>
          </w:p>
        </w:tc>
        <w:tc>
          <w:tcPr>
            <w:tcW w:w="1253" w:type="dxa"/>
            <w:tcBorders>
              <w:top w:val="single" w:sz="12" w:space="0" w:color="92CDDC"/>
              <w:left w:val="single" w:sz="12" w:space="0" w:color="92CDDC"/>
            </w:tcBorders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>
              <w:rPr>
                <w:szCs w:val="18"/>
              </w:rPr>
              <w:t>0</w:t>
            </w:r>
            <w:r w:rsidRPr="00EE075F">
              <w:rPr>
                <w:szCs w:val="18"/>
              </w:rPr>
              <w:t>.450</w:t>
            </w:r>
          </w:p>
        </w:tc>
      </w:tr>
      <w:tr w:rsidR="009F100B" w:rsidRPr="00EE075F" w:rsidTr="006D61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tcBorders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rPr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EE075F">
              <w:rPr>
                <w:szCs w:val="18"/>
              </w:rPr>
              <w:t>EE</w:t>
            </w:r>
          </w:p>
        </w:tc>
        <w:tc>
          <w:tcPr>
            <w:tcW w:w="1253" w:type="dxa"/>
            <w:tcBorders>
              <w:left w:val="single" w:sz="12" w:space="0" w:color="92CDDC"/>
            </w:tcBorders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>
              <w:rPr>
                <w:szCs w:val="18"/>
              </w:rPr>
              <w:t>0</w:t>
            </w:r>
            <w:r w:rsidRPr="00EE075F">
              <w:rPr>
                <w:szCs w:val="18"/>
              </w:rPr>
              <w:t>.600</w:t>
            </w:r>
          </w:p>
        </w:tc>
      </w:tr>
      <w:tr w:rsidR="009F100B" w:rsidRPr="00EE075F" w:rsidTr="006D61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tcBorders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rPr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EE075F">
              <w:rPr>
                <w:szCs w:val="18"/>
              </w:rPr>
              <w:t>SI</w:t>
            </w:r>
          </w:p>
        </w:tc>
        <w:tc>
          <w:tcPr>
            <w:tcW w:w="1253" w:type="dxa"/>
            <w:tcBorders>
              <w:left w:val="single" w:sz="12" w:space="0" w:color="92CDDC"/>
            </w:tcBorders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>
              <w:rPr>
                <w:szCs w:val="18"/>
              </w:rPr>
              <w:t>0</w:t>
            </w:r>
            <w:r w:rsidRPr="00EE075F">
              <w:rPr>
                <w:szCs w:val="18"/>
              </w:rPr>
              <w:t>.658</w:t>
            </w:r>
          </w:p>
        </w:tc>
      </w:tr>
      <w:tr w:rsidR="009F100B" w:rsidRPr="00EE075F" w:rsidTr="006D61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tcBorders>
              <w:bottom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rPr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92CDDC"/>
              <w:bottom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EE075F">
              <w:rPr>
                <w:szCs w:val="18"/>
              </w:rPr>
              <w:t>PPS</w:t>
            </w:r>
          </w:p>
        </w:tc>
        <w:tc>
          <w:tcPr>
            <w:tcW w:w="1253" w:type="dxa"/>
            <w:tcBorders>
              <w:left w:val="single" w:sz="12" w:space="0" w:color="92CDDC"/>
              <w:bottom w:val="single" w:sz="12" w:space="0" w:color="92CDDC"/>
            </w:tcBorders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>
              <w:rPr>
                <w:szCs w:val="18"/>
              </w:rPr>
              <w:t>0</w:t>
            </w:r>
            <w:r w:rsidRPr="00EE075F">
              <w:rPr>
                <w:szCs w:val="18"/>
              </w:rPr>
              <w:t>.505</w:t>
            </w:r>
          </w:p>
        </w:tc>
      </w:tr>
      <w:tr w:rsidR="009F100B" w:rsidRPr="00EE075F" w:rsidTr="006D61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 w:val="restart"/>
            <w:tcBorders>
              <w:top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rPr>
                <w:szCs w:val="18"/>
              </w:rPr>
            </w:pPr>
            <w:r w:rsidRPr="00EE075F">
              <w:rPr>
                <w:szCs w:val="18"/>
              </w:rPr>
              <w:t>PE</w:t>
            </w:r>
          </w:p>
        </w:tc>
        <w:tc>
          <w:tcPr>
            <w:tcW w:w="1559" w:type="dxa"/>
            <w:tcBorders>
              <w:top w:val="single" w:sz="12" w:space="0" w:color="92CDDC"/>
              <w:left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EE075F">
              <w:rPr>
                <w:szCs w:val="18"/>
              </w:rPr>
              <w:t>EE</w:t>
            </w:r>
          </w:p>
        </w:tc>
        <w:tc>
          <w:tcPr>
            <w:tcW w:w="1253" w:type="dxa"/>
            <w:tcBorders>
              <w:top w:val="single" w:sz="12" w:space="0" w:color="92CDDC"/>
              <w:left w:val="single" w:sz="12" w:space="0" w:color="92CDDC"/>
            </w:tcBorders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>
              <w:rPr>
                <w:szCs w:val="18"/>
              </w:rPr>
              <w:t>0</w:t>
            </w:r>
            <w:r w:rsidRPr="00EE075F">
              <w:rPr>
                <w:szCs w:val="18"/>
              </w:rPr>
              <w:t>.737</w:t>
            </w:r>
          </w:p>
        </w:tc>
      </w:tr>
      <w:tr w:rsidR="009F100B" w:rsidRPr="00EE075F" w:rsidTr="006D61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tcBorders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rPr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EE075F">
              <w:rPr>
                <w:szCs w:val="18"/>
              </w:rPr>
              <w:t>PPS</w:t>
            </w:r>
          </w:p>
        </w:tc>
        <w:tc>
          <w:tcPr>
            <w:tcW w:w="1253" w:type="dxa"/>
            <w:tcBorders>
              <w:left w:val="single" w:sz="12" w:space="0" w:color="92CDDC"/>
            </w:tcBorders>
            <w:vAlign w:val="center"/>
          </w:tcPr>
          <w:p w:rsidR="009F100B" w:rsidRPr="00EE075F" w:rsidRDefault="009F100B" w:rsidP="006D617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>
              <w:rPr>
                <w:szCs w:val="18"/>
              </w:rPr>
              <w:t>0</w:t>
            </w:r>
            <w:r w:rsidRPr="00EE075F">
              <w:rPr>
                <w:szCs w:val="18"/>
              </w:rPr>
              <w:t>.737</w:t>
            </w:r>
          </w:p>
        </w:tc>
      </w:tr>
    </w:tbl>
    <w:p w:rsidR="00EE075F" w:rsidRDefault="00EE075F"/>
    <w:p w:rsidR="00EE075F" w:rsidRDefault="00EE075F">
      <w:bookmarkStart w:id="0" w:name="_GoBack"/>
      <w:bookmarkEnd w:id="0"/>
    </w:p>
    <w:sectPr w:rsidR="00EE075F" w:rsidSect="008F3069">
      <w:pgSz w:w="1340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QzMrW0MDI3s7QwNTFR0lEKTi0uzszPAykwrgUA7IhWviwAAAA="/>
  </w:docVars>
  <w:rsids>
    <w:rsidRoot w:val="0032446A"/>
    <w:rsid w:val="00066F6F"/>
    <w:rsid w:val="001D0527"/>
    <w:rsid w:val="00211F25"/>
    <w:rsid w:val="002A0FE1"/>
    <w:rsid w:val="0032446A"/>
    <w:rsid w:val="0045371C"/>
    <w:rsid w:val="005E594F"/>
    <w:rsid w:val="006D6176"/>
    <w:rsid w:val="007357D7"/>
    <w:rsid w:val="009D2772"/>
    <w:rsid w:val="009F100B"/>
    <w:rsid w:val="00A14401"/>
    <w:rsid w:val="00A70D3A"/>
    <w:rsid w:val="00B161BC"/>
    <w:rsid w:val="00C72B1D"/>
    <w:rsid w:val="00D35F7E"/>
    <w:rsid w:val="00D43BE2"/>
    <w:rsid w:val="00DB06D4"/>
    <w:rsid w:val="00EE075F"/>
    <w:rsid w:val="00EE7ADD"/>
    <w:rsid w:val="00F3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7D50F"/>
  <w15:chartTrackingRefBased/>
  <w15:docId w15:val="{9F0D5753-00B2-46EE-8A4A-1B946213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1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F32348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3234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D35F7E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35F7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2">
    <w:name w:val="Grid Table 1 Light - Accent 52"/>
    <w:basedOn w:val="TableNormal"/>
    <w:next w:val="GridTable1Light-Accent5"/>
    <w:uiPriority w:val="46"/>
    <w:rsid w:val="00EE075F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1D05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5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9</cp:revision>
  <dcterms:created xsi:type="dcterms:W3CDTF">2018-01-05T11:39:00Z</dcterms:created>
  <dcterms:modified xsi:type="dcterms:W3CDTF">2020-02-17T09:50:00Z</dcterms:modified>
</cp:coreProperties>
</file>