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98E10" w14:textId="77777777" w:rsidR="003D679D" w:rsidRDefault="003D679D" w:rsidP="003D679D">
      <w:pPr>
        <w:pStyle w:val="Heading1"/>
      </w:pPr>
      <w:bookmarkStart w:id="0" w:name="_GoBack"/>
      <w:bookmarkEnd w:id="0"/>
      <w:r>
        <w:t>Supplemental Methods</w:t>
      </w:r>
    </w:p>
    <w:p w14:paraId="338BD2BB" w14:textId="77777777" w:rsidR="00680EB0" w:rsidRDefault="00680EB0" w:rsidP="00680EB0">
      <w:pPr>
        <w:pStyle w:val="Heading2"/>
        <w:spacing w:line="480" w:lineRule="auto"/>
      </w:pPr>
      <w:r>
        <w:t xml:space="preserve">Gene expression </w:t>
      </w:r>
      <w:r w:rsidR="00280E2B">
        <w:t>quantitation</w:t>
      </w:r>
    </w:p>
    <w:p w14:paraId="16201E63" w14:textId="77777777" w:rsidR="00680EB0" w:rsidRPr="00680EB0" w:rsidRDefault="00680EB0" w:rsidP="00680EB0">
      <w:pPr>
        <w:spacing w:line="480" w:lineRule="auto"/>
      </w:pPr>
      <w:r w:rsidRPr="00680EB0">
        <w:t>For each promoter region</w:t>
      </w:r>
      <w:r>
        <w:t xml:space="preserve"> for each gene</w:t>
      </w:r>
      <w:r w:rsidRPr="00680EB0">
        <w:t>, we found the total CAGE tag count, summing over all libraries included in this study. For each gene, the region with the highest total CAGE tag count was identified as the dominant promoter, and the position with the highest CAGE tag count within this region as the representative transcription start site of the gene. For each gene, the CAGE expression level in a CAGE library was defined as the sum of CAGE tags across all regions associated with the gene. CAGE expression data were normalized to tags-per-million (</w:t>
      </w:r>
      <w:proofErr w:type="spellStart"/>
      <w:r w:rsidRPr="00680EB0">
        <w:t>t.p.m</w:t>
      </w:r>
      <w:proofErr w:type="spellEnd"/>
      <w:r w:rsidRPr="00680EB0">
        <w:t xml:space="preserve">.) by dividing by the total sum of CAGE tags associated with genes, and multiplying by 1,000,000. Genes with an expression level of at least 10 </w:t>
      </w:r>
      <w:proofErr w:type="spellStart"/>
      <w:r w:rsidRPr="00680EB0">
        <w:t>t.p.m</w:t>
      </w:r>
      <w:proofErr w:type="spellEnd"/>
      <w:r w:rsidRPr="00680EB0">
        <w:t>. were included in the analysis.</w:t>
      </w:r>
    </w:p>
    <w:p w14:paraId="693A7642" w14:textId="77777777" w:rsidR="003D679D" w:rsidRPr="003D679D" w:rsidRDefault="003D679D" w:rsidP="003D679D">
      <w:pPr>
        <w:pStyle w:val="Heading2"/>
        <w:spacing w:line="480" w:lineRule="auto"/>
      </w:pPr>
      <w:r w:rsidRPr="003D679D">
        <w:t>RNA-</w:t>
      </w:r>
      <w:proofErr w:type="spellStart"/>
      <w:r w:rsidRPr="003D679D">
        <w:t>seq</w:t>
      </w:r>
      <w:proofErr w:type="spellEnd"/>
      <w:r w:rsidRPr="003D679D">
        <w:t xml:space="preserve"> expression data</w:t>
      </w:r>
    </w:p>
    <w:p w14:paraId="02D7A7F5" w14:textId="77777777" w:rsidR="00DA298A" w:rsidRPr="00DA298A" w:rsidRDefault="00DA298A" w:rsidP="003D679D">
      <w:pPr>
        <w:spacing w:line="480" w:lineRule="auto"/>
      </w:pPr>
      <w:r>
        <w:rPr>
          <w:lang w:val="en-US"/>
        </w:rPr>
        <w:t xml:space="preserve">ENCODE </w:t>
      </w:r>
      <w:r>
        <w:t>(The ENCODE Project Consortium 2012)</w:t>
      </w:r>
      <w:r>
        <w:rPr>
          <w:lang w:val="en-US"/>
        </w:rPr>
        <w:t xml:space="preserve"> </w:t>
      </w:r>
      <w:r w:rsidR="003D679D" w:rsidRPr="003D679D">
        <w:rPr>
          <w:lang w:val="en-US"/>
        </w:rPr>
        <w:t>RNA-</w:t>
      </w:r>
      <w:proofErr w:type="spellStart"/>
      <w:r w:rsidR="003D679D" w:rsidRPr="003D679D">
        <w:rPr>
          <w:lang w:val="en-US"/>
        </w:rPr>
        <w:t>seq</w:t>
      </w:r>
      <w:proofErr w:type="spellEnd"/>
      <w:r w:rsidR="003D679D" w:rsidRPr="003D679D">
        <w:rPr>
          <w:lang w:val="en-US"/>
        </w:rPr>
        <w:t xml:space="preserve"> gene expression data were downloaded from the ENCODE portal (Davis et al. 2018) (https://www.encodeproject.org/) as gene quantifications in </w:t>
      </w:r>
      <w:proofErr w:type="spellStart"/>
      <w:r w:rsidR="003D679D" w:rsidRPr="003D679D">
        <w:rPr>
          <w:lang w:val="en-US"/>
        </w:rPr>
        <w:t>tsv</w:t>
      </w:r>
      <w:proofErr w:type="spellEnd"/>
      <w:r w:rsidR="003D679D" w:rsidRPr="003D679D">
        <w:rPr>
          <w:lang w:val="en-US"/>
        </w:rPr>
        <w:t xml:space="preserve"> format with sample annotations in </w:t>
      </w:r>
      <w:proofErr w:type="spellStart"/>
      <w:r w:rsidR="003D679D" w:rsidRPr="003D679D">
        <w:rPr>
          <w:lang w:val="en-US"/>
        </w:rPr>
        <w:t>json</w:t>
      </w:r>
      <w:proofErr w:type="spellEnd"/>
      <w:r w:rsidR="003D679D" w:rsidRPr="003D679D">
        <w:rPr>
          <w:lang w:val="en-US"/>
        </w:rPr>
        <w:t xml:space="preserve"> format for the following accession numbers: ENCFF005MLW, ENCFF051UVH, ENCFF084WWG, ENCFF115BZB, ENCFF122LQH, ENCFF134RPA, ENCFF143IYG, ENCFF152DMV, ENCFF162KBI, ENCFF201BIE, ENCFF203RCU, ENCFF227RBV, ENCFF280HQA, ENCFF362GHJ, ENCFF375LAX, ENCFF421SLK, ENCFF428HNN, ENCFF442XPO, ENCFF456GZP, ENCFF485EYP, ENCFF507RNA, ENCFF508QDF, ENCFF509LQW, ENCFF517ZTC, ENCFF547TAC, ENCFF549OGG, ENCFF603OKL, ENCFF625HJC, ENCFF637YVK, ENCFF664JKG, ENCFF677ZIY, ENCFF686JQP, ENCFF750HMK, ENCFF780DAF, ENCFF784ZTQ, ENCFF798PSE, ENCFF804BIT, ENCFF804WTK, ENCFF809RAX, </w:t>
      </w:r>
      <w:r w:rsidR="003D679D" w:rsidRPr="003D679D">
        <w:rPr>
          <w:lang w:val="en-US"/>
        </w:rPr>
        <w:lastRenderedPageBreak/>
        <w:t>ENCFF850LMK, ENCFF866LBS, ENCFF878LJT, ENCFF878UHQ, ENCFF908GIP, ENCFF911YUO, ENCFF916CFV, ENCFF926FDN, ENCFF937HOV.</w:t>
      </w:r>
      <w:r>
        <w:rPr>
          <w:lang w:val="en-US"/>
        </w:rPr>
        <w:t xml:space="preserve"> </w:t>
      </w:r>
      <w:r w:rsidR="00EF0078" w:rsidRPr="00E3173F">
        <w:t>RNA-</w:t>
      </w:r>
      <w:proofErr w:type="spellStart"/>
      <w:r w:rsidR="00EF0078" w:rsidRPr="00E3173F">
        <w:t>seq</w:t>
      </w:r>
      <w:proofErr w:type="spellEnd"/>
      <w:r w:rsidR="00EF0078" w:rsidRPr="00E3173F">
        <w:t xml:space="preserve"> gene expression count tables</w:t>
      </w:r>
      <w:r>
        <w:t xml:space="preserve"> for </w:t>
      </w:r>
      <w:r w:rsidRPr="00E3173F">
        <w:t>endometrial stromal fibroblast</w:t>
      </w:r>
      <w:r>
        <w:t xml:space="preserve"> (Kin et al. 2016)</w:t>
      </w:r>
      <w:r w:rsidR="00EF0078" w:rsidRPr="00E3173F">
        <w:t xml:space="preserve">, </w:t>
      </w:r>
      <w:r>
        <w:t xml:space="preserve">their </w:t>
      </w:r>
      <w:r w:rsidR="00EF0078" w:rsidRPr="00E3173F">
        <w:t>normalized expression levels in tags per million, and gene ortholog associations</w:t>
      </w:r>
      <w:r w:rsidRPr="00E3173F">
        <w:t xml:space="preserve"> </w:t>
      </w:r>
      <w:r w:rsidR="00EF0078" w:rsidRPr="00E3173F">
        <w:t>were downloaded from the NCBI Gene Expression Omnibus under accession number GSE67659.</w:t>
      </w:r>
    </w:p>
    <w:p w14:paraId="26531DA6" w14:textId="77777777" w:rsidR="003D679D" w:rsidRDefault="008F30AD" w:rsidP="008F30AD">
      <w:pPr>
        <w:pStyle w:val="Heading2"/>
        <w:spacing w:line="480" w:lineRule="auto"/>
      </w:pPr>
      <w:r>
        <w:t>Pairwise genome alignments</w:t>
      </w:r>
    </w:p>
    <w:p w14:paraId="5DA53343" w14:textId="77777777" w:rsidR="009A465F" w:rsidRDefault="008F30AD" w:rsidP="008F30AD">
      <w:pPr>
        <w:spacing w:line="480" w:lineRule="auto"/>
      </w:pPr>
      <w:r>
        <w:t xml:space="preserve">Preprocessing of the genome sequences and postprocessing of the alignments was performed using partitionSequence.pl, </w:t>
      </w:r>
      <w:proofErr w:type="spellStart"/>
      <w:r>
        <w:t>blastz-normalizeLav</w:t>
      </w:r>
      <w:proofErr w:type="spellEnd"/>
      <w:r>
        <w:t xml:space="preserve">, </w:t>
      </w:r>
      <w:proofErr w:type="spellStart"/>
      <w:r>
        <w:t>lavToPsl</w:t>
      </w:r>
      <w:proofErr w:type="spellEnd"/>
      <w:r>
        <w:t xml:space="preserve">, </w:t>
      </w:r>
      <w:proofErr w:type="spellStart"/>
      <w:r>
        <w:t>axtChain</w:t>
      </w:r>
      <w:proofErr w:type="spellEnd"/>
      <w:r>
        <w:t xml:space="preserve">, </w:t>
      </w:r>
      <w:proofErr w:type="spellStart"/>
      <w:r>
        <w:t>chainAntiRepeat</w:t>
      </w:r>
      <w:proofErr w:type="spellEnd"/>
      <w:r>
        <w:t xml:space="preserve">, </w:t>
      </w:r>
      <w:proofErr w:type="spellStart"/>
      <w:r>
        <w:t>chainMergeSort</w:t>
      </w:r>
      <w:proofErr w:type="spellEnd"/>
      <w:r>
        <w:t xml:space="preserve">, </w:t>
      </w:r>
      <w:proofErr w:type="spellStart"/>
      <w:r>
        <w:t>chainPreNet</w:t>
      </w:r>
      <w:proofErr w:type="spellEnd"/>
      <w:r>
        <w:t xml:space="preserve">, </w:t>
      </w:r>
      <w:proofErr w:type="spellStart"/>
      <w:r>
        <w:t>chainNet</w:t>
      </w:r>
      <w:proofErr w:type="spellEnd"/>
      <w:r>
        <w:t xml:space="preserve">, </w:t>
      </w:r>
      <w:proofErr w:type="spellStart"/>
      <w:r>
        <w:t>netSyntenic</w:t>
      </w:r>
      <w:proofErr w:type="spellEnd"/>
      <w:r>
        <w:t xml:space="preserve">, </w:t>
      </w:r>
      <w:proofErr w:type="spellStart"/>
      <w:r>
        <w:t>netFilter</w:t>
      </w:r>
      <w:proofErr w:type="spellEnd"/>
      <w:r>
        <w:t xml:space="preserve">, </w:t>
      </w:r>
      <w:proofErr w:type="spellStart"/>
      <w:r>
        <w:t>netToAxt</w:t>
      </w:r>
      <w:proofErr w:type="spellEnd"/>
      <w:r>
        <w:t xml:space="preserve">, </w:t>
      </w:r>
      <w:proofErr w:type="spellStart"/>
      <w:r>
        <w:t>axtSort</w:t>
      </w:r>
      <w:proofErr w:type="spellEnd"/>
      <w:r>
        <w:t xml:space="preserve">, and </w:t>
      </w:r>
      <w:proofErr w:type="spellStart"/>
      <w:r>
        <w:t>axtToMaf</w:t>
      </w:r>
      <w:proofErr w:type="spellEnd"/>
      <w:r>
        <w:t xml:space="preserve">, which are part of the UCSC Genome Browser bioinformatics utilities (Kuhn et al. 2013) release 366 (June 5, 2018). First, for each pairwise alignment we used partitionSequence.pl to split the target and query genome sequences into segments of 20 Mb, with the target sequence segments overlapping by 10 kb. Sequences were aligned using </w:t>
      </w:r>
      <w:proofErr w:type="spellStart"/>
      <w:r>
        <w:t>lastz</w:t>
      </w:r>
      <w:proofErr w:type="spellEnd"/>
      <w:r>
        <w:t xml:space="preserve"> (Harris 2007) version 1.03.66 with parameters shown in Supplemental Table S15. Alignment coordinates were corrected using </w:t>
      </w:r>
      <w:proofErr w:type="spellStart"/>
      <w:r>
        <w:t>blastz-normalizeLav</w:t>
      </w:r>
      <w:proofErr w:type="spellEnd"/>
      <w:r>
        <w:t xml:space="preserve"> and converted to .</w:t>
      </w:r>
      <w:proofErr w:type="spellStart"/>
      <w:r>
        <w:t>psl</w:t>
      </w:r>
      <w:proofErr w:type="spellEnd"/>
      <w:r>
        <w:t xml:space="preserve"> format using </w:t>
      </w:r>
      <w:proofErr w:type="spellStart"/>
      <w:r>
        <w:t>lavToPsl</w:t>
      </w:r>
      <w:proofErr w:type="spellEnd"/>
      <w:r>
        <w:t xml:space="preserve">. Alignments were chained using </w:t>
      </w:r>
      <w:proofErr w:type="spellStart"/>
      <w:r>
        <w:t>axtChain</w:t>
      </w:r>
      <w:proofErr w:type="spellEnd"/>
      <w:r>
        <w:t xml:space="preserve"> with parameters shown in Supplemental Table S15 and further processed using </w:t>
      </w:r>
      <w:proofErr w:type="spellStart"/>
      <w:r>
        <w:t>chainAntiRepeat</w:t>
      </w:r>
      <w:proofErr w:type="spellEnd"/>
      <w:r>
        <w:t xml:space="preserve">, </w:t>
      </w:r>
      <w:proofErr w:type="spellStart"/>
      <w:r>
        <w:t>chainMergeSort</w:t>
      </w:r>
      <w:proofErr w:type="spellEnd"/>
      <w:r>
        <w:t xml:space="preserve">, </w:t>
      </w:r>
      <w:proofErr w:type="spellStart"/>
      <w:r>
        <w:t>chainPreNet</w:t>
      </w:r>
      <w:proofErr w:type="spellEnd"/>
      <w:r>
        <w:t xml:space="preserve">, </w:t>
      </w:r>
      <w:proofErr w:type="spellStart"/>
      <w:r>
        <w:t>chainNet</w:t>
      </w:r>
      <w:proofErr w:type="spellEnd"/>
      <w:r>
        <w:t xml:space="preserve">, </w:t>
      </w:r>
      <w:proofErr w:type="spellStart"/>
      <w:r>
        <w:t>netSyntenic</w:t>
      </w:r>
      <w:proofErr w:type="spellEnd"/>
      <w:r>
        <w:t xml:space="preserve">, and </w:t>
      </w:r>
      <w:proofErr w:type="spellStart"/>
      <w:r>
        <w:t>netFilter</w:t>
      </w:r>
      <w:proofErr w:type="spellEnd"/>
      <w:r>
        <w:t xml:space="preserve">. The best alignments were extracted using </w:t>
      </w:r>
      <w:proofErr w:type="spellStart"/>
      <w:r>
        <w:t>netToAxt</w:t>
      </w:r>
      <w:proofErr w:type="spellEnd"/>
      <w:r>
        <w:t xml:space="preserve">, followed by </w:t>
      </w:r>
      <w:proofErr w:type="spellStart"/>
      <w:r>
        <w:t>axtSort</w:t>
      </w:r>
      <w:proofErr w:type="spellEnd"/>
      <w:r>
        <w:t xml:space="preserve"> and </w:t>
      </w:r>
      <w:proofErr w:type="spellStart"/>
      <w:r>
        <w:t>axtToMaf</w:t>
      </w:r>
      <w:proofErr w:type="spellEnd"/>
      <w:r>
        <w:t xml:space="preserve"> to generate a .</w:t>
      </w:r>
      <w:proofErr w:type="spellStart"/>
      <w:r>
        <w:t>maf</w:t>
      </w:r>
      <w:proofErr w:type="spellEnd"/>
      <w:r>
        <w:t xml:space="preserve"> (multiple alignment format) file.</w:t>
      </w:r>
    </w:p>
    <w:p w14:paraId="25AC6689" w14:textId="77777777" w:rsidR="009A465F" w:rsidRDefault="009A465F" w:rsidP="009A465F">
      <w:pPr>
        <w:pStyle w:val="Heading2"/>
        <w:spacing w:line="480" w:lineRule="auto"/>
      </w:pPr>
      <w:r>
        <w:t xml:space="preserve">Genome-wide </w:t>
      </w:r>
      <w:r w:rsidR="00EB1715">
        <w:t>TFBS</w:t>
      </w:r>
      <w:r>
        <w:t xml:space="preserve"> prediction</w:t>
      </w:r>
    </w:p>
    <w:p w14:paraId="61E65D66" w14:textId="77777777" w:rsidR="009A465F" w:rsidRDefault="009A465F" w:rsidP="008F30AD">
      <w:pPr>
        <w:spacing w:line="480" w:lineRule="auto"/>
      </w:pPr>
      <w:r>
        <w:t>For human and mouse, a</w:t>
      </w:r>
      <w:r w:rsidRPr="005F1914">
        <w:t>lignments for human, macaque, mouse, rat, dog, horse, cow, opossum, and chicken were extracted from the 100-way (human) and 30-way (mouse, rat, dog, and chicken) multiple genome alignments</w:t>
      </w:r>
      <w:r>
        <w:t xml:space="preserve">; for rat, dog, and chicken, we used the 30-way </w:t>
      </w:r>
      <w:r>
        <w:lastRenderedPageBreak/>
        <w:t>multiple genome alignments described in the main Methods section of this manuscript. Extracted alignments were improved as described previously (</w:t>
      </w:r>
      <w:proofErr w:type="spellStart"/>
      <w:r>
        <w:t>Arner</w:t>
      </w:r>
      <w:proofErr w:type="spellEnd"/>
      <w:r>
        <w:t xml:space="preserve"> et al. 2015) using the </w:t>
      </w:r>
      <w:r w:rsidRPr="009A465F">
        <w:t xml:space="preserve">T-Coffee </w:t>
      </w:r>
      <w:hyperlink r:id="rId7">
        <w:r w:rsidRPr="009A465F">
          <w:rPr>
            <w:color w:val="000000"/>
          </w:rPr>
          <w:t>(</w:t>
        </w:r>
        <w:proofErr w:type="spellStart"/>
        <w:r w:rsidRPr="009A465F">
          <w:rPr>
            <w:color w:val="000000"/>
          </w:rPr>
          <w:t>Notredame</w:t>
        </w:r>
        <w:proofErr w:type="spellEnd"/>
        <w:r w:rsidRPr="009A465F">
          <w:rPr>
            <w:color w:val="000000"/>
          </w:rPr>
          <w:t xml:space="preserve"> et al. 2000)</w:t>
        </w:r>
      </w:hyperlink>
      <w:r w:rsidRPr="009A465F">
        <w:t xml:space="preserve"> multiple sequence aligner version 9.01.</w:t>
      </w:r>
      <w:r>
        <w:t xml:space="preserve"> We ran </w:t>
      </w:r>
      <w:proofErr w:type="spellStart"/>
      <w:r w:rsidRPr="009A465F">
        <w:t>MotEvo</w:t>
      </w:r>
      <w:proofErr w:type="spellEnd"/>
      <w:r w:rsidRPr="009A465F">
        <w:t xml:space="preserve"> </w:t>
      </w:r>
      <w:hyperlink r:id="rId8">
        <w:r w:rsidRPr="009A465F">
          <w:rPr>
            <w:color w:val="000000"/>
          </w:rPr>
          <w:t>(Arnold et al. 2012)</w:t>
        </w:r>
      </w:hyperlink>
      <w:r w:rsidRPr="009A465F">
        <w:t xml:space="preserve"> version 1.01</w:t>
      </w:r>
      <w:r>
        <w:t xml:space="preserve"> </w:t>
      </w:r>
      <w:r w:rsidR="008A5FC3">
        <w:t xml:space="preserve">on these alignments </w:t>
      </w:r>
      <w:r>
        <w:t>as described previously (</w:t>
      </w:r>
      <w:proofErr w:type="spellStart"/>
      <w:r>
        <w:t>Arner</w:t>
      </w:r>
      <w:proofErr w:type="spellEnd"/>
      <w:r>
        <w:t xml:space="preserve"> et al. 2015), but using </w:t>
      </w:r>
      <w:r w:rsidRPr="009A465F">
        <w:t xml:space="preserve">the 190 motifs in </w:t>
      </w:r>
      <w:r>
        <w:t xml:space="preserve">the </w:t>
      </w:r>
      <w:proofErr w:type="spellStart"/>
      <w:r w:rsidRPr="009A465F">
        <w:t>SwissRegulon</w:t>
      </w:r>
      <w:proofErr w:type="spellEnd"/>
      <w:r w:rsidRPr="009A465F">
        <w:t xml:space="preserve"> </w:t>
      </w:r>
      <w:hyperlink r:id="rId9">
        <w:r w:rsidRPr="009A465F">
          <w:rPr>
            <w:color w:val="000000"/>
          </w:rPr>
          <w:t>(</w:t>
        </w:r>
        <w:proofErr w:type="spellStart"/>
        <w:r w:rsidRPr="009A465F">
          <w:rPr>
            <w:color w:val="000000"/>
          </w:rPr>
          <w:t>Pachkov</w:t>
        </w:r>
        <w:proofErr w:type="spellEnd"/>
        <w:r w:rsidRPr="009A465F">
          <w:rPr>
            <w:color w:val="000000"/>
          </w:rPr>
          <w:t xml:space="preserve"> et al. 2013)</w:t>
        </w:r>
      </w:hyperlink>
      <w:r w:rsidRPr="009A465F">
        <w:t xml:space="preserve"> release of July 13, 2015</w:t>
      </w:r>
      <w:r>
        <w:t xml:space="preserve">, and with a </w:t>
      </w:r>
      <w:r w:rsidRPr="009A465F">
        <w:t xml:space="preserve">background probability for the four nucleotides </w:t>
      </w:r>
      <w:r>
        <w:t xml:space="preserve">that was </w:t>
      </w:r>
      <w:r w:rsidRPr="009A465F">
        <w:t>calculated by counting their frequency across the genom</w:t>
      </w:r>
      <w:r>
        <w:t>e.</w:t>
      </w:r>
    </w:p>
    <w:p w14:paraId="5D9A04C5" w14:textId="77777777" w:rsidR="00252CC8" w:rsidRDefault="00252CC8" w:rsidP="00252CC8">
      <w:pPr>
        <w:pStyle w:val="Heading2"/>
        <w:spacing w:line="480" w:lineRule="auto"/>
      </w:pPr>
      <w:r>
        <w:t>Motif activity analysis</w:t>
      </w:r>
    </w:p>
    <w:p w14:paraId="78B5D6ED" w14:textId="77777777" w:rsidR="00252CC8" w:rsidRPr="009C0637" w:rsidRDefault="00252CC8" w:rsidP="00252CC8">
      <w:pPr>
        <w:spacing w:line="480" w:lineRule="auto"/>
      </w:pPr>
      <w:r w:rsidRPr="00252CC8">
        <w:t xml:space="preserve">The scripts </w:t>
      </w:r>
      <w:r w:rsidRPr="00252CC8">
        <w:rPr>
          <w:rFonts w:eastAsia="Courier New"/>
        </w:rPr>
        <w:t>make_profile.py, associate_tfbs.py, and</w:t>
      </w:r>
      <w:r w:rsidRPr="00252CC8">
        <w:t xml:space="preserve"> </w:t>
      </w:r>
      <w:r w:rsidRPr="00252CC8">
        <w:rPr>
          <w:rFonts w:eastAsia="Courier New"/>
        </w:rPr>
        <w:t>calculate_motif_activity.py,</w:t>
      </w:r>
      <w:r w:rsidRPr="00252CC8">
        <w:t xml:space="preserve"> available at </w:t>
      </w:r>
      <w:hyperlink r:id="rId10">
        <w:r w:rsidRPr="00252CC8">
          <w:rPr>
            <w:color w:val="1155CC"/>
            <w:u w:val="single"/>
          </w:rPr>
          <w:t>http://fantom.gsc.riken.jp/5/suppl/Alam_et_al_2020/</w:t>
        </w:r>
      </w:hyperlink>
      <w:r w:rsidRPr="00252CC8">
        <w:t xml:space="preserve"> </w:t>
      </w:r>
      <w:r w:rsidR="00910CE3">
        <w:t xml:space="preserve">and in the Supplemental Code, </w:t>
      </w:r>
      <w:r w:rsidRPr="00252CC8">
        <w:t xml:space="preserve">provide an implementation of the motif activity analysis methodology described previously (Suzuki et al. 2009). The density of predicted transcription factor binding sites with respect to the representative transcription start site was calculated for each motif using the script </w:t>
      </w:r>
      <w:r w:rsidRPr="00252CC8">
        <w:rPr>
          <w:rFonts w:eastAsia="Courier New"/>
        </w:rPr>
        <w:t>make_profile.py</w:t>
      </w:r>
      <w:r w:rsidRPr="00252CC8">
        <w:t xml:space="preserve"> with default options. Using the calculated density, predicted binding sites were associated with the dominant promoter of each gene by the script </w:t>
      </w:r>
      <w:r w:rsidRPr="00252CC8">
        <w:rPr>
          <w:rFonts w:eastAsia="Courier New"/>
        </w:rPr>
        <w:t>associate_tfbs.py</w:t>
      </w:r>
      <w:r w:rsidRPr="00252CC8">
        <w:t xml:space="preserve"> with default options. The density of predicted transcription factor binding sites in a </w:t>
      </w:r>
      <w:r w:rsidRPr="00252CC8">
        <w:rPr>
          <w:color w:val="000000"/>
          <w:lang w:val="en-US"/>
        </w:rPr>
        <w:t>±</w:t>
      </w:r>
      <w:r w:rsidRPr="00252CC8">
        <w:t xml:space="preserve">500 base pair window around enhancers was calculated using the script </w:t>
      </w:r>
      <w:r w:rsidRPr="00252CC8">
        <w:rPr>
          <w:rFonts w:eastAsia="Courier New"/>
        </w:rPr>
        <w:t>make_profile.py</w:t>
      </w:r>
      <w:r w:rsidRPr="00252CC8">
        <w:t xml:space="preserve"> with options </w:t>
      </w:r>
      <w:r w:rsidRPr="00252CC8">
        <w:rPr>
          <w:rFonts w:eastAsia="Courier New"/>
        </w:rPr>
        <w:t>--upstream=500 --downstream=500 --symmetric</w:t>
      </w:r>
      <w:r w:rsidRPr="00252CC8">
        <w:t xml:space="preserve">. Using the calculated density, predicted binding sites were associated with each enhancer by the script </w:t>
      </w:r>
      <w:r w:rsidRPr="00252CC8">
        <w:rPr>
          <w:rFonts w:eastAsia="Courier New"/>
        </w:rPr>
        <w:t>associate_tfbs.py</w:t>
      </w:r>
      <w:r w:rsidRPr="00252CC8">
        <w:t xml:space="preserve"> with default options.</w:t>
      </w:r>
    </w:p>
    <w:p w14:paraId="7303285F" w14:textId="77777777" w:rsidR="00252CC8" w:rsidRDefault="00252CC8" w:rsidP="008F30AD">
      <w:pPr>
        <w:spacing w:line="480" w:lineRule="auto"/>
      </w:pPr>
      <w:r w:rsidRPr="00252CC8">
        <w:t xml:space="preserve">We then selected motifs with at least 50 predicted binding sites both for promoters and in enhancers in each pair of species, resulting in 154 (human-mouse), 151 (human-rat), 149 (human-dog), and 94 (human-chicken) motifs. Motif activities were calculated for promoters and enhancers separately for the selected motifs using the script </w:t>
      </w:r>
      <w:r w:rsidRPr="00252CC8">
        <w:rPr>
          <w:rFonts w:eastAsia="Courier New"/>
        </w:rPr>
        <w:t>calculate_motif_activity.py</w:t>
      </w:r>
      <w:r w:rsidRPr="00252CC8">
        <w:t xml:space="preserve"> with option ‘</w:t>
      </w:r>
      <w:r w:rsidRPr="00252CC8">
        <w:rPr>
          <w:rFonts w:eastAsia="Courier New"/>
        </w:rPr>
        <w:t>-n 0</w:t>
      </w:r>
      <w:r w:rsidRPr="00252CC8">
        <w:t>’.</w:t>
      </w:r>
      <w:r w:rsidRPr="005E1A1C">
        <w:t xml:space="preserve"> </w:t>
      </w:r>
    </w:p>
    <w:p w14:paraId="5B30C277" w14:textId="77777777" w:rsidR="002E466D" w:rsidRDefault="002E466D" w:rsidP="002E466D">
      <w:pPr>
        <w:pStyle w:val="Heading2"/>
        <w:spacing w:line="480" w:lineRule="auto"/>
      </w:pPr>
      <w:r>
        <w:lastRenderedPageBreak/>
        <w:t>MicroRNA analysis</w:t>
      </w:r>
    </w:p>
    <w:p w14:paraId="78A1361B" w14:textId="77777777" w:rsidR="002E466D" w:rsidRDefault="002E466D" w:rsidP="002E466D">
      <w:pPr>
        <w:spacing w:line="480" w:lineRule="auto"/>
      </w:pPr>
      <w:r>
        <w:t xml:space="preserve">We used release 21 of the </w:t>
      </w:r>
      <w:proofErr w:type="spellStart"/>
      <w:r>
        <w:t>miRBase</w:t>
      </w:r>
      <w:proofErr w:type="spellEnd"/>
      <w:r>
        <w:t xml:space="preserve"> database </w:t>
      </w:r>
      <w:hyperlink r:id="rId11">
        <w:r>
          <w:rPr>
            <w:color w:val="000000"/>
          </w:rPr>
          <w:t>(</w:t>
        </w:r>
        <w:proofErr w:type="spellStart"/>
        <w:r>
          <w:rPr>
            <w:color w:val="000000"/>
          </w:rPr>
          <w:t>Kozomara</w:t>
        </w:r>
        <w:proofErr w:type="spellEnd"/>
        <w:r>
          <w:rPr>
            <w:color w:val="000000"/>
          </w:rPr>
          <w:t xml:space="preserve"> and Griffiths-Jones 2014)</w:t>
        </w:r>
      </w:hyperlink>
      <w:r>
        <w:t xml:space="preserve">, lifted over for rat and chicken to genome assembly rn6 and galGal5 respectively, as our reference set of known miRNAs; one pre-miRNA in rat and 26 pre-miRNAs in chicken could not be lifted over and were dropped. Pre-miRNAs were classified as robust or permissive (Supplemental Table S9) as described previously </w:t>
      </w:r>
      <w:hyperlink r:id="rId12">
        <w:r>
          <w:rPr>
            <w:color w:val="000000"/>
          </w:rPr>
          <w:t xml:space="preserve">(De </w:t>
        </w:r>
        <w:proofErr w:type="spellStart"/>
        <w:r>
          <w:rPr>
            <w:color w:val="000000"/>
          </w:rPr>
          <w:t>Rie</w:t>
        </w:r>
        <w:proofErr w:type="spellEnd"/>
        <w:r>
          <w:rPr>
            <w:color w:val="000000"/>
          </w:rPr>
          <w:t xml:space="preserve"> et al. 2017)</w:t>
        </w:r>
      </w:hyperlink>
      <w:r>
        <w:t>.</w:t>
      </w:r>
    </w:p>
    <w:p w14:paraId="5BA592B5" w14:textId="77777777" w:rsidR="002E466D" w:rsidRDefault="002E466D" w:rsidP="002E466D">
      <w:pPr>
        <w:spacing w:line="480" w:lineRule="auto"/>
      </w:pPr>
      <w:r>
        <w:t xml:space="preserve">Candidate novel miRNAs were identified using miRDeep2 </w:t>
      </w:r>
      <w:hyperlink r:id="rId13">
        <w:r>
          <w:rPr>
            <w:color w:val="000000"/>
          </w:rPr>
          <w:t>(</w:t>
        </w:r>
        <w:proofErr w:type="spellStart"/>
        <w:r>
          <w:rPr>
            <w:color w:val="000000"/>
          </w:rPr>
          <w:t>Friedländer</w:t>
        </w:r>
        <w:proofErr w:type="spellEnd"/>
        <w:r>
          <w:rPr>
            <w:color w:val="000000"/>
          </w:rPr>
          <w:t xml:space="preserve"> et al. 2012)</w:t>
        </w:r>
      </w:hyperlink>
      <w:r>
        <w:t>, resulting in 229 (rat), 249 (dog), and 180 (chicken) predicted pre-miRNAs, including 169 (rat), 179 (dog), and 128 (chicken) known pre-miRNAs and 59 (rat), 74 (dog), and 55 (chicken) candidate novel pre-miRNAs (Supplemental Table S10).</w:t>
      </w:r>
    </w:p>
    <w:p w14:paraId="79FA0EFB" w14:textId="77777777" w:rsidR="002E466D" w:rsidRDefault="002E466D" w:rsidP="008F30AD">
      <w:pPr>
        <w:spacing w:line="480" w:lineRule="auto"/>
      </w:pPr>
      <w:r>
        <w:t xml:space="preserve">Promoters for miRNAs in rat, dog, and chicken were identified using the same approach as applied previously for human and mouse </w:t>
      </w:r>
      <w:hyperlink r:id="rId14">
        <w:r>
          <w:rPr>
            <w:color w:val="000000"/>
          </w:rPr>
          <w:t xml:space="preserve">(De </w:t>
        </w:r>
        <w:proofErr w:type="spellStart"/>
        <w:r>
          <w:rPr>
            <w:color w:val="000000"/>
          </w:rPr>
          <w:t>Rie</w:t>
        </w:r>
        <w:proofErr w:type="spellEnd"/>
        <w:r>
          <w:rPr>
            <w:color w:val="000000"/>
          </w:rPr>
          <w:t xml:space="preserve"> et al. 2017)</w:t>
        </w:r>
      </w:hyperlink>
      <w:r>
        <w:t xml:space="preserve">, using transcripts annotated for rat, dog, or chicken in the NCBI Entrez Gene database </w:t>
      </w:r>
      <w:hyperlink r:id="rId15">
        <w:r>
          <w:rPr>
            <w:color w:val="000000"/>
          </w:rPr>
          <w:t>(Brown et al. 2015)</w:t>
        </w:r>
      </w:hyperlink>
      <w:r w:rsidR="00910CE3">
        <w:rPr>
          <w:color w:val="000000"/>
        </w:rPr>
        <w:t>,</w:t>
      </w:r>
      <w:r>
        <w:t xml:space="preserve"> downloaded on 13 November 2017</w:t>
      </w:r>
      <w:r w:rsidR="00910CE3">
        <w:t>,</w:t>
      </w:r>
      <w:r>
        <w:t xml:space="preserve"> as candidate primary miRNAs</w:t>
      </w:r>
      <w:r w:rsidR="00107591">
        <w:t xml:space="preserve">, and the permissive set of </w:t>
      </w:r>
      <w:r w:rsidR="00836D9F">
        <w:t>CAGE transcription initiation peaks (</w:t>
      </w:r>
      <w:proofErr w:type="spellStart"/>
      <w:r w:rsidR="00836D9F">
        <w:t>Kawaji</w:t>
      </w:r>
      <w:proofErr w:type="spellEnd"/>
      <w:r w:rsidR="00836D9F">
        <w:t xml:space="preserve"> 2020) as candidate promoters</w:t>
      </w:r>
      <w:r>
        <w:t>. Identified promoters for all robust miRNAs in mouse, rat, dog, and chicken were curated manually by two annotators (Supplemental Table S12).</w:t>
      </w:r>
    </w:p>
    <w:p w14:paraId="091D9C3D" w14:textId="77777777" w:rsidR="003D679D" w:rsidRPr="003D679D" w:rsidRDefault="003D679D" w:rsidP="003D679D">
      <w:pPr>
        <w:pStyle w:val="Heading2"/>
        <w:spacing w:line="480" w:lineRule="auto"/>
      </w:pPr>
      <w:r>
        <w:t>Supplemental References</w:t>
      </w:r>
    </w:p>
    <w:p w14:paraId="4FFF76BF" w14:textId="77777777" w:rsidR="003D679D" w:rsidRDefault="00727E53" w:rsidP="00727E53">
      <w:pPr>
        <w:widowControl w:val="0"/>
        <w:pBdr>
          <w:top w:val="nil"/>
          <w:left w:val="nil"/>
          <w:bottom w:val="nil"/>
          <w:right w:val="nil"/>
          <w:between w:val="nil"/>
        </w:pBdr>
        <w:spacing w:after="110" w:line="480" w:lineRule="auto"/>
        <w:rPr>
          <w:color w:val="000000"/>
        </w:rPr>
      </w:pPr>
      <w:r w:rsidRPr="005E74AB">
        <w:rPr>
          <w:color w:val="000000"/>
        </w:rPr>
        <w:t xml:space="preserve">Davis CA, </w:t>
      </w:r>
      <w:proofErr w:type="spellStart"/>
      <w:r w:rsidRPr="005E74AB">
        <w:rPr>
          <w:color w:val="000000"/>
        </w:rPr>
        <w:t>Hitz</w:t>
      </w:r>
      <w:proofErr w:type="spellEnd"/>
      <w:r w:rsidRPr="005E74AB">
        <w:rPr>
          <w:color w:val="000000"/>
        </w:rPr>
        <w:t xml:space="preserve"> BC, Sloan CA, Chan ET, Davidson JM, </w:t>
      </w:r>
      <w:proofErr w:type="spellStart"/>
      <w:r w:rsidRPr="005E74AB">
        <w:rPr>
          <w:color w:val="000000"/>
        </w:rPr>
        <w:t>Gabdank</w:t>
      </w:r>
      <w:proofErr w:type="spellEnd"/>
      <w:r w:rsidRPr="005E74AB">
        <w:rPr>
          <w:color w:val="000000"/>
        </w:rPr>
        <w:t xml:space="preserve"> I, Hilton JA, Jain K, </w:t>
      </w:r>
      <w:proofErr w:type="spellStart"/>
      <w:r w:rsidRPr="005E74AB">
        <w:rPr>
          <w:color w:val="000000"/>
        </w:rPr>
        <w:t>Baymuradov</w:t>
      </w:r>
      <w:proofErr w:type="spellEnd"/>
      <w:r w:rsidRPr="005E74AB">
        <w:rPr>
          <w:color w:val="000000"/>
        </w:rPr>
        <w:t xml:space="preserve"> UK, Narayanan AK</w:t>
      </w:r>
      <w:r>
        <w:rPr>
          <w:color w:val="000000"/>
        </w:rPr>
        <w:t>,</w:t>
      </w:r>
      <w:r w:rsidRPr="005B4119">
        <w:rPr>
          <w:color w:val="000000"/>
        </w:rPr>
        <w:t xml:space="preserve"> </w:t>
      </w:r>
      <w:r>
        <w:rPr>
          <w:color w:val="000000"/>
        </w:rPr>
        <w:t xml:space="preserve">et al. 2018. </w:t>
      </w:r>
      <w:r w:rsidRPr="005B4119">
        <w:rPr>
          <w:color w:val="000000"/>
        </w:rPr>
        <w:t xml:space="preserve">The Encyclopedia of DNA elements (ENCODE): data portal update. </w:t>
      </w:r>
      <w:r w:rsidRPr="0081537C">
        <w:rPr>
          <w:i/>
          <w:color w:val="000000"/>
        </w:rPr>
        <w:t>Nucleic Acids Res</w:t>
      </w:r>
      <w:r w:rsidRPr="005B4119">
        <w:rPr>
          <w:color w:val="000000"/>
        </w:rPr>
        <w:t xml:space="preserve"> </w:t>
      </w:r>
      <w:r w:rsidRPr="005E74AB">
        <w:rPr>
          <w:b/>
          <w:color w:val="000000"/>
        </w:rPr>
        <w:t>46</w:t>
      </w:r>
      <w:r w:rsidRPr="005B4119">
        <w:rPr>
          <w:color w:val="000000"/>
        </w:rPr>
        <w:t>(D1):</w:t>
      </w:r>
      <w:r>
        <w:rPr>
          <w:color w:val="000000"/>
        </w:rPr>
        <w:t xml:space="preserve"> </w:t>
      </w:r>
      <w:r w:rsidRPr="005B4119">
        <w:rPr>
          <w:color w:val="000000"/>
        </w:rPr>
        <w:t>D794–D801.</w:t>
      </w:r>
    </w:p>
    <w:p w14:paraId="167B6C22" w14:textId="77777777" w:rsidR="007E4B3A" w:rsidRDefault="007E4B3A" w:rsidP="00727E53">
      <w:pPr>
        <w:widowControl w:val="0"/>
        <w:pBdr>
          <w:top w:val="nil"/>
          <w:left w:val="nil"/>
          <w:bottom w:val="nil"/>
          <w:right w:val="nil"/>
          <w:between w:val="nil"/>
        </w:pBdr>
        <w:spacing w:after="110" w:line="480" w:lineRule="auto"/>
        <w:rPr>
          <w:color w:val="000000"/>
        </w:rPr>
      </w:pPr>
      <w:proofErr w:type="spellStart"/>
      <w:r>
        <w:rPr>
          <w:color w:val="000000"/>
        </w:rPr>
        <w:t>Friedländer</w:t>
      </w:r>
      <w:proofErr w:type="spellEnd"/>
      <w:r>
        <w:rPr>
          <w:color w:val="000000"/>
        </w:rPr>
        <w:t xml:space="preserve"> MR, </w:t>
      </w:r>
      <w:proofErr w:type="spellStart"/>
      <w:r>
        <w:rPr>
          <w:color w:val="000000"/>
        </w:rPr>
        <w:t>Mackowiak</w:t>
      </w:r>
      <w:proofErr w:type="spellEnd"/>
      <w:r>
        <w:rPr>
          <w:color w:val="000000"/>
        </w:rPr>
        <w:t xml:space="preserve"> SD, Li N, Chen W, </w:t>
      </w:r>
      <w:proofErr w:type="spellStart"/>
      <w:r>
        <w:rPr>
          <w:color w:val="000000"/>
        </w:rPr>
        <w:t>Rajewsky</w:t>
      </w:r>
      <w:proofErr w:type="spellEnd"/>
      <w:r>
        <w:rPr>
          <w:color w:val="000000"/>
        </w:rPr>
        <w:t xml:space="preserve"> N. 2012. miRDeep2 accurately identifies known and hundreds of novel microRNA genes in seven animal clades. </w:t>
      </w:r>
      <w:r>
        <w:rPr>
          <w:i/>
          <w:color w:val="000000"/>
        </w:rPr>
        <w:t xml:space="preserve">Nucleic Acids </w:t>
      </w:r>
      <w:r>
        <w:rPr>
          <w:i/>
          <w:color w:val="000000"/>
        </w:rPr>
        <w:lastRenderedPageBreak/>
        <w:t>Res</w:t>
      </w:r>
      <w:r>
        <w:rPr>
          <w:color w:val="000000"/>
        </w:rPr>
        <w:t xml:space="preserve"> </w:t>
      </w:r>
      <w:r w:rsidRPr="00001931">
        <w:rPr>
          <w:b/>
          <w:color w:val="000000"/>
        </w:rPr>
        <w:t>40</w:t>
      </w:r>
      <w:r>
        <w:rPr>
          <w:color w:val="000000"/>
        </w:rPr>
        <w:t>: 37–52.</w:t>
      </w:r>
    </w:p>
    <w:p w14:paraId="17F019AA" w14:textId="77777777" w:rsidR="00695B4A" w:rsidRDefault="00695B4A" w:rsidP="00727E53">
      <w:pPr>
        <w:widowControl w:val="0"/>
        <w:pBdr>
          <w:top w:val="nil"/>
          <w:left w:val="nil"/>
          <w:bottom w:val="nil"/>
          <w:right w:val="nil"/>
          <w:between w:val="nil"/>
        </w:pBdr>
        <w:spacing w:after="110" w:line="480" w:lineRule="auto"/>
        <w:rPr>
          <w:color w:val="000000"/>
          <w:lang w:val="en-US"/>
        </w:rPr>
      </w:pPr>
      <w:r w:rsidRPr="000D04E2">
        <w:rPr>
          <w:color w:val="000000"/>
          <w:lang w:val="en-US"/>
        </w:rPr>
        <w:t>Harris RS</w:t>
      </w:r>
      <w:r>
        <w:rPr>
          <w:color w:val="000000"/>
          <w:lang w:val="en-US"/>
        </w:rPr>
        <w:t xml:space="preserve">. </w:t>
      </w:r>
      <w:r w:rsidRPr="000D04E2">
        <w:rPr>
          <w:color w:val="000000"/>
          <w:lang w:val="en-US"/>
        </w:rPr>
        <w:t>2007. Improved pairwise alignment of genomic DNA. Ph.D. thesis</w:t>
      </w:r>
      <w:r>
        <w:rPr>
          <w:color w:val="000000"/>
          <w:lang w:val="en-US"/>
        </w:rPr>
        <w:t>.</w:t>
      </w:r>
      <w:r w:rsidRPr="000D04E2">
        <w:rPr>
          <w:color w:val="000000"/>
          <w:lang w:val="en-US"/>
        </w:rPr>
        <w:t xml:space="preserve"> Pennsylvania State University</w:t>
      </w:r>
      <w:r>
        <w:rPr>
          <w:color w:val="000000"/>
          <w:lang w:val="en-US"/>
        </w:rPr>
        <w:t xml:space="preserve">, </w:t>
      </w:r>
      <w:r w:rsidRPr="00B94CF8">
        <w:rPr>
          <w:color w:val="000000"/>
          <w:lang w:val="en-US"/>
        </w:rPr>
        <w:t>State College, PA</w:t>
      </w:r>
      <w:r>
        <w:rPr>
          <w:color w:val="000000"/>
          <w:lang w:val="en-US"/>
        </w:rPr>
        <w:t>.</w:t>
      </w:r>
    </w:p>
    <w:p w14:paraId="711542E8" w14:textId="77777777" w:rsidR="00836D9F" w:rsidRDefault="00836D9F" w:rsidP="00727E53">
      <w:pPr>
        <w:widowControl w:val="0"/>
        <w:pBdr>
          <w:top w:val="nil"/>
          <w:left w:val="nil"/>
          <w:bottom w:val="nil"/>
          <w:right w:val="nil"/>
          <w:between w:val="nil"/>
        </w:pBdr>
        <w:spacing w:after="110" w:line="480" w:lineRule="auto"/>
        <w:rPr>
          <w:color w:val="000000"/>
          <w:lang w:val="en-US"/>
        </w:rPr>
      </w:pPr>
      <w:proofErr w:type="spellStart"/>
      <w:r>
        <w:rPr>
          <w:color w:val="000000"/>
          <w:lang w:val="en-US"/>
        </w:rPr>
        <w:t>Kawaji</w:t>
      </w:r>
      <w:proofErr w:type="spellEnd"/>
      <w:r>
        <w:rPr>
          <w:color w:val="000000"/>
          <w:lang w:val="en-US"/>
        </w:rPr>
        <w:t xml:space="preserve"> H</w:t>
      </w:r>
      <w:r w:rsidRPr="00836D9F">
        <w:rPr>
          <w:color w:val="000000"/>
          <w:lang w:val="en-US"/>
        </w:rPr>
        <w:t>. 20</w:t>
      </w:r>
      <w:r>
        <w:rPr>
          <w:color w:val="000000"/>
          <w:lang w:val="en-US"/>
        </w:rPr>
        <w:t>20</w:t>
      </w:r>
      <w:r w:rsidRPr="00836D9F">
        <w:rPr>
          <w:color w:val="000000"/>
          <w:lang w:val="en-US"/>
        </w:rPr>
        <w:t xml:space="preserve">. Transcription initiation peaks based on FANTOM5 CAGE data on rn6, canFam3, and galGal5. </w:t>
      </w:r>
      <w:proofErr w:type="spellStart"/>
      <w:r w:rsidRPr="00836D9F">
        <w:rPr>
          <w:color w:val="000000"/>
          <w:lang w:val="en-US"/>
        </w:rPr>
        <w:t>Zenodo</w:t>
      </w:r>
      <w:proofErr w:type="spellEnd"/>
      <w:r w:rsidRPr="00836D9F">
        <w:rPr>
          <w:color w:val="000000"/>
          <w:lang w:val="en-US"/>
        </w:rPr>
        <w:t xml:space="preserve"> </w:t>
      </w:r>
      <w:proofErr w:type="spellStart"/>
      <w:r>
        <w:rPr>
          <w:color w:val="000000"/>
          <w:lang w:val="en-US"/>
        </w:rPr>
        <w:t>doi</w:t>
      </w:r>
      <w:proofErr w:type="spellEnd"/>
      <w:r>
        <w:rPr>
          <w:color w:val="000000"/>
          <w:lang w:val="en-US"/>
        </w:rPr>
        <w:t xml:space="preserve">: </w:t>
      </w:r>
      <w:r w:rsidRPr="00836D9F">
        <w:rPr>
          <w:color w:val="000000"/>
          <w:lang w:val="en-US"/>
        </w:rPr>
        <w:t>10.5281/zenodo.3856413</w:t>
      </w:r>
      <w:r>
        <w:rPr>
          <w:color w:val="000000"/>
          <w:lang w:val="en-US"/>
        </w:rPr>
        <w:t>.</w:t>
      </w:r>
    </w:p>
    <w:p w14:paraId="57B4A84E" w14:textId="77777777" w:rsidR="009A465F" w:rsidRPr="007E4B3A" w:rsidRDefault="009A465F" w:rsidP="00727E53">
      <w:pPr>
        <w:widowControl w:val="0"/>
        <w:pBdr>
          <w:top w:val="nil"/>
          <w:left w:val="nil"/>
          <w:bottom w:val="nil"/>
          <w:right w:val="nil"/>
          <w:between w:val="nil"/>
        </w:pBdr>
        <w:spacing w:after="110" w:line="480" w:lineRule="auto"/>
        <w:rPr>
          <w:color w:val="000000"/>
        </w:rPr>
      </w:pPr>
      <w:proofErr w:type="spellStart"/>
      <w:r>
        <w:rPr>
          <w:color w:val="000000"/>
        </w:rPr>
        <w:t>Notredame</w:t>
      </w:r>
      <w:proofErr w:type="spellEnd"/>
      <w:r>
        <w:rPr>
          <w:color w:val="000000"/>
        </w:rPr>
        <w:t xml:space="preserve"> C, Higgins DG, </w:t>
      </w:r>
      <w:proofErr w:type="spellStart"/>
      <w:r>
        <w:rPr>
          <w:color w:val="000000"/>
        </w:rPr>
        <w:t>Heringa</w:t>
      </w:r>
      <w:proofErr w:type="spellEnd"/>
      <w:r>
        <w:rPr>
          <w:color w:val="000000"/>
        </w:rPr>
        <w:t xml:space="preserve"> J. 2000. T-Coffee: A novel method for fast and accurate multiple sequence alignment. </w:t>
      </w:r>
      <w:r>
        <w:rPr>
          <w:i/>
          <w:color w:val="000000"/>
        </w:rPr>
        <w:t xml:space="preserve">J </w:t>
      </w:r>
      <w:proofErr w:type="spellStart"/>
      <w:r>
        <w:rPr>
          <w:i/>
          <w:color w:val="000000"/>
        </w:rPr>
        <w:t>Mol</w:t>
      </w:r>
      <w:proofErr w:type="spellEnd"/>
      <w:r>
        <w:rPr>
          <w:i/>
          <w:color w:val="000000"/>
        </w:rPr>
        <w:t xml:space="preserve"> </w:t>
      </w:r>
      <w:proofErr w:type="spellStart"/>
      <w:r>
        <w:rPr>
          <w:i/>
          <w:color w:val="000000"/>
        </w:rPr>
        <w:t>Biol</w:t>
      </w:r>
      <w:proofErr w:type="spellEnd"/>
      <w:r>
        <w:rPr>
          <w:color w:val="000000"/>
        </w:rPr>
        <w:t xml:space="preserve"> </w:t>
      </w:r>
      <w:r w:rsidRPr="00623FDD">
        <w:rPr>
          <w:b/>
          <w:color w:val="000000"/>
        </w:rPr>
        <w:t>302</w:t>
      </w:r>
      <w:r>
        <w:rPr>
          <w:color w:val="000000"/>
        </w:rPr>
        <w:t>: 205–217.</w:t>
      </w:r>
    </w:p>
    <w:sectPr w:rsidR="009A465F" w:rsidRPr="007E4B3A" w:rsidSect="00E70876">
      <w:headerReference w:type="default" r:id="rId16"/>
      <w:footerReference w:type="even" r:id="rId17"/>
      <w:footerReference w:type="default" r:id="rId18"/>
      <w:pgSz w:w="12240" w:h="15840"/>
      <w:pgMar w:top="1440" w:right="1440" w:bottom="1440" w:left="1440" w:header="720" w:footer="720" w:gutter="0"/>
      <w:lnNumType w:countBy="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103AF" w14:textId="77777777" w:rsidR="001F5DEE" w:rsidRDefault="001F5DEE">
      <w:pPr>
        <w:spacing w:line="240" w:lineRule="auto"/>
      </w:pPr>
      <w:r>
        <w:separator/>
      </w:r>
    </w:p>
  </w:endnote>
  <w:endnote w:type="continuationSeparator" w:id="0">
    <w:p w14:paraId="54CC28E0" w14:textId="77777777" w:rsidR="001F5DEE" w:rsidRDefault="001F5D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4309003"/>
      <w:docPartObj>
        <w:docPartGallery w:val="Page Numbers (Bottom of Page)"/>
        <w:docPartUnique/>
      </w:docPartObj>
    </w:sdtPr>
    <w:sdtEndPr>
      <w:rPr>
        <w:rStyle w:val="PageNumber"/>
      </w:rPr>
    </w:sdtEndPr>
    <w:sdtContent>
      <w:p w14:paraId="4DE2F730" w14:textId="77777777" w:rsidR="005742B7" w:rsidRDefault="005742B7" w:rsidP="00E708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31D078" w14:textId="77777777" w:rsidR="005742B7" w:rsidRDefault="005742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47573818"/>
      <w:docPartObj>
        <w:docPartGallery w:val="Page Numbers (Bottom of Page)"/>
        <w:docPartUnique/>
      </w:docPartObj>
    </w:sdtPr>
    <w:sdtEndPr>
      <w:rPr>
        <w:rStyle w:val="PageNumber"/>
      </w:rPr>
    </w:sdtEndPr>
    <w:sdtContent>
      <w:p w14:paraId="32ACE6C0" w14:textId="77777777" w:rsidR="005742B7" w:rsidRDefault="005742B7" w:rsidP="00E708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E1D2EA4" w14:textId="77777777" w:rsidR="005742B7" w:rsidRDefault="00574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D88E8" w14:textId="77777777" w:rsidR="001F5DEE" w:rsidRDefault="001F5DEE">
      <w:pPr>
        <w:spacing w:line="240" w:lineRule="auto"/>
      </w:pPr>
      <w:r>
        <w:separator/>
      </w:r>
    </w:p>
  </w:footnote>
  <w:footnote w:type="continuationSeparator" w:id="0">
    <w:p w14:paraId="4C770561" w14:textId="77777777" w:rsidR="001F5DEE" w:rsidRDefault="001F5D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CD37" w14:textId="77777777" w:rsidR="005742B7" w:rsidRDefault="005742B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272"/>
    <w:rsid w:val="00001931"/>
    <w:rsid w:val="00003AED"/>
    <w:rsid w:val="00003BAE"/>
    <w:rsid w:val="00003D32"/>
    <w:rsid w:val="000071ED"/>
    <w:rsid w:val="000153F6"/>
    <w:rsid w:val="000203B6"/>
    <w:rsid w:val="0003422E"/>
    <w:rsid w:val="00040154"/>
    <w:rsid w:val="000475A1"/>
    <w:rsid w:val="00047675"/>
    <w:rsid w:val="00066D3A"/>
    <w:rsid w:val="00070A78"/>
    <w:rsid w:val="0007111E"/>
    <w:rsid w:val="0008100C"/>
    <w:rsid w:val="00084546"/>
    <w:rsid w:val="00090DFF"/>
    <w:rsid w:val="000920B9"/>
    <w:rsid w:val="00092C64"/>
    <w:rsid w:val="00094F4E"/>
    <w:rsid w:val="00097E7A"/>
    <w:rsid w:val="000A483E"/>
    <w:rsid w:val="000A587D"/>
    <w:rsid w:val="000B18BA"/>
    <w:rsid w:val="000B1933"/>
    <w:rsid w:val="000C1E73"/>
    <w:rsid w:val="000C7670"/>
    <w:rsid w:val="000D04E2"/>
    <w:rsid w:val="000D33AA"/>
    <w:rsid w:val="000D74AA"/>
    <w:rsid w:val="000E4B04"/>
    <w:rsid w:val="000F4131"/>
    <w:rsid w:val="00101B71"/>
    <w:rsid w:val="00102FA4"/>
    <w:rsid w:val="0010669E"/>
    <w:rsid w:val="00107591"/>
    <w:rsid w:val="001076A2"/>
    <w:rsid w:val="0011001D"/>
    <w:rsid w:val="00125633"/>
    <w:rsid w:val="0012640C"/>
    <w:rsid w:val="00126B43"/>
    <w:rsid w:val="001274EB"/>
    <w:rsid w:val="001427A3"/>
    <w:rsid w:val="00143792"/>
    <w:rsid w:val="001442F8"/>
    <w:rsid w:val="00146221"/>
    <w:rsid w:val="00146EA6"/>
    <w:rsid w:val="0015026B"/>
    <w:rsid w:val="00153A37"/>
    <w:rsid w:val="00160E59"/>
    <w:rsid w:val="00161BDF"/>
    <w:rsid w:val="001671F1"/>
    <w:rsid w:val="00172272"/>
    <w:rsid w:val="00184058"/>
    <w:rsid w:val="00191EF6"/>
    <w:rsid w:val="001A0B87"/>
    <w:rsid w:val="001A7E89"/>
    <w:rsid w:val="001B373D"/>
    <w:rsid w:val="001C0B8E"/>
    <w:rsid w:val="001C159C"/>
    <w:rsid w:val="001C18C0"/>
    <w:rsid w:val="001D24D1"/>
    <w:rsid w:val="001D6DDE"/>
    <w:rsid w:val="001E1508"/>
    <w:rsid w:val="001E1EA8"/>
    <w:rsid w:val="001E2C44"/>
    <w:rsid w:val="001E4F7B"/>
    <w:rsid w:val="001E6978"/>
    <w:rsid w:val="001E6B74"/>
    <w:rsid w:val="001F4E57"/>
    <w:rsid w:val="001F5DEE"/>
    <w:rsid w:val="002015D3"/>
    <w:rsid w:val="002235D8"/>
    <w:rsid w:val="002265C4"/>
    <w:rsid w:val="00234739"/>
    <w:rsid w:val="00247D60"/>
    <w:rsid w:val="00247D7E"/>
    <w:rsid w:val="00250CF2"/>
    <w:rsid w:val="00251870"/>
    <w:rsid w:val="0025211D"/>
    <w:rsid w:val="00252CC8"/>
    <w:rsid w:val="00253670"/>
    <w:rsid w:val="00255EE2"/>
    <w:rsid w:val="00257AC6"/>
    <w:rsid w:val="00264BA9"/>
    <w:rsid w:val="0026568B"/>
    <w:rsid w:val="002658B8"/>
    <w:rsid w:val="0027286A"/>
    <w:rsid w:val="002763E4"/>
    <w:rsid w:val="00280E2B"/>
    <w:rsid w:val="0029256F"/>
    <w:rsid w:val="002933EE"/>
    <w:rsid w:val="00296159"/>
    <w:rsid w:val="0029690C"/>
    <w:rsid w:val="00297019"/>
    <w:rsid w:val="002A768F"/>
    <w:rsid w:val="002B0592"/>
    <w:rsid w:val="002C6F72"/>
    <w:rsid w:val="002D0AF8"/>
    <w:rsid w:val="002D5399"/>
    <w:rsid w:val="002D6442"/>
    <w:rsid w:val="002D70E3"/>
    <w:rsid w:val="002E466D"/>
    <w:rsid w:val="002F01AF"/>
    <w:rsid w:val="002F4694"/>
    <w:rsid w:val="002F63F0"/>
    <w:rsid w:val="00305F65"/>
    <w:rsid w:val="00312101"/>
    <w:rsid w:val="00313E7A"/>
    <w:rsid w:val="00313EF4"/>
    <w:rsid w:val="003168A9"/>
    <w:rsid w:val="003260E1"/>
    <w:rsid w:val="003356C2"/>
    <w:rsid w:val="00337EC0"/>
    <w:rsid w:val="00340D0F"/>
    <w:rsid w:val="00341AFB"/>
    <w:rsid w:val="00343399"/>
    <w:rsid w:val="0034570E"/>
    <w:rsid w:val="00355894"/>
    <w:rsid w:val="003567A9"/>
    <w:rsid w:val="003577CA"/>
    <w:rsid w:val="00366DCA"/>
    <w:rsid w:val="003720B1"/>
    <w:rsid w:val="00381DBE"/>
    <w:rsid w:val="0038380B"/>
    <w:rsid w:val="00385980"/>
    <w:rsid w:val="00390091"/>
    <w:rsid w:val="003A4BC2"/>
    <w:rsid w:val="003B3C30"/>
    <w:rsid w:val="003B430A"/>
    <w:rsid w:val="003B7DCD"/>
    <w:rsid w:val="003C24CD"/>
    <w:rsid w:val="003D679D"/>
    <w:rsid w:val="003E0B74"/>
    <w:rsid w:val="003E7640"/>
    <w:rsid w:val="003F31F2"/>
    <w:rsid w:val="003F4F35"/>
    <w:rsid w:val="00410711"/>
    <w:rsid w:val="004115B5"/>
    <w:rsid w:val="00414266"/>
    <w:rsid w:val="00416924"/>
    <w:rsid w:val="00421C15"/>
    <w:rsid w:val="004222ED"/>
    <w:rsid w:val="004242E9"/>
    <w:rsid w:val="004258BB"/>
    <w:rsid w:val="00431800"/>
    <w:rsid w:val="00435034"/>
    <w:rsid w:val="004377E7"/>
    <w:rsid w:val="00443ED5"/>
    <w:rsid w:val="00454F3E"/>
    <w:rsid w:val="00461D2D"/>
    <w:rsid w:val="004626F6"/>
    <w:rsid w:val="0047100E"/>
    <w:rsid w:val="00471727"/>
    <w:rsid w:val="0047587E"/>
    <w:rsid w:val="0047679C"/>
    <w:rsid w:val="00476F79"/>
    <w:rsid w:val="00477A7A"/>
    <w:rsid w:val="00481DE4"/>
    <w:rsid w:val="004846A2"/>
    <w:rsid w:val="0049581E"/>
    <w:rsid w:val="00495B1A"/>
    <w:rsid w:val="00496046"/>
    <w:rsid w:val="0049637C"/>
    <w:rsid w:val="004A0F33"/>
    <w:rsid w:val="004A1983"/>
    <w:rsid w:val="004A2F8F"/>
    <w:rsid w:val="004A5963"/>
    <w:rsid w:val="004B1261"/>
    <w:rsid w:val="004B13FE"/>
    <w:rsid w:val="004B152C"/>
    <w:rsid w:val="004C425D"/>
    <w:rsid w:val="004C4ECF"/>
    <w:rsid w:val="004D0D5E"/>
    <w:rsid w:val="004D3997"/>
    <w:rsid w:val="004D43FD"/>
    <w:rsid w:val="004D5196"/>
    <w:rsid w:val="004F0AE6"/>
    <w:rsid w:val="00503585"/>
    <w:rsid w:val="0050481D"/>
    <w:rsid w:val="00505549"/>
    <w:rsid w:val="00516231"/>
    <w:rsid w:val="005303E0"/>
    <w:rsid w:val="00535F58"/>
    <w:rsid w:val="00545DAF"/>
    <w:rsid w:val="0055248E"/>
    <w:rsid w:val="00553EEC"/>
    <w:rsid w:val="00560984"/>
    <w:rsid w:val="0057429F"/>
    <w:rsid w:val="005742B7"/>
    <w:rsid w:val="005972EA"/>
    <w:rsid w:val="005973B9"/>
    <w:rsid w:val="005A29CB"/>
    <w:rsid w:val="005B023A"/>
    <w:rsid w:val="005B243C"/>
    <w:rsid w:val="005B2A96"/>
    <w:rsid w:val="005B4119"/>
    <w:rsid w:val="005C147B"/>
    <w:rsid w:val="005C5C92"/>
    <w:rsid w:val="005C5EFB"/>
    <w:rsid w:val="005D02D3"/>
    <w:rsid w:val="005E0BDB"/>
    <w:rsid w:val="005E1A1C"/>
    <w:rsid w:val="005E1FDF"/>
    <w:rsid w:val="005E5AD5"/>
    <w:rsid w:val="005E74AB"/>
    <w:rsid w:val="005F1914"/>
    <w:rsid w:val="005F4365"/>
    <w:rsid w:val="005F537B"/>
    <w:rsid w:val="006006B2"/>
    <w:rsid w:val="0061337F"/>
    <w:rsid w:val="00613D25"/>
    <w:rsid w:val="00615CCC"/>
    <w:rsid w:val="00621C3B"/>
    <w:rsid w:val="00621F68"/>
    <w:rsid w:val="00623FDD"/>
    <w:rsid w:val="006248F5"/>
    <w:rsid w:val="00625894"/>
    <w:rsid w:val="00625EC9"/>
    <w:rsid w:val="006312EE"/>
    <w:rsid w:val="00642543"/>
    <w:rsid w:val="0065378E"/>
    <w:rsid w:val="00660855"/>
    <w:rsid w:val="0066310B"/>
    <w:rsid w:val="00680A23"/>
    <w:rsid w:val="00680EB0"/>
    <w:rsid w:val="00680F44"/>
    <w:rsid w:val="006869C2"/>
    <w:rsid w:val="00695B4A"/>
    <w:rsid w:val="0069623E"/>
    <w:rsid w:val="006A1EBC"/>
    <w:rsid w:val="006A6EC8"/>
    <w:rsid w:val="006B0A88"/>
    <w:rsid w:val="006B2137"/>
    <w:rsid w:val="006B3189"/>
    <w:rsid w:val="006C0A32"/>
    <w:rsid w:val="006C2490"/>
    <w:rsid w:val="006C4602"/>
    <w:rsid w:val="006C67DA"/>
    <w:rsid w:val="006D36E8"/>
    <w:rsid w:val="006F55FF"/>
    <w:rsid w:val="006F7133"/>
    <w:rsid w:val="007048CA"/>
    <w:rsid w:val="00711A54"/>
    <w:rsid w:val="007125C8"/>
    <w:rsid w:val="00715576"/>
    <w:rsid w:val="0071594A"/>
    <w:rsid w:val="00717057"/>
    <w:rsid w:val="007207AB"/>
    <w:rsid w:val="00720B05"/>
    <w:rsid w:val="00723D70"/>
    <w:rsid w:val="0072454E"/>
    <w:rsid w:val="00727E53"/>
    <w:rsid w:val="00735858"/>
    <w:rsid w:val="00736EF9"/>
    <w:rsid w:val="007448D8"/>
    <w:rsid w:val="00751DF6"/>
    <w:rsid w:val="007523D1"/>
    <w:rsid w:val="00753729"/>
    <w:rsid w:val="007604E3"/>
    <w:rsid w:val="00760D0A"/>
    <w:rsid w:val="00773576"/>
    <w:rsid w:val="00775727"/>
    <w:rsid w:val="00776283"/>
    <w:rsid w:val="0077638E"/>
    <w:rsid w:val="00777DB8"/>
    <w:rsid w:val="007941FC"/>
    <w:rsid w:val="0079482F"/>
    <w:rsid w:val="007A1948"/>
    <w:rsid w:val="007A3A14"/>
    <w:rsid w:val="007B1F81"/>
    <w:rsid w:val="007B6B96"/>
    <w:rsid w:val="007C3945"/>
    <w:rsid w:val="007D0D16"/>
    <w:rsid w:val="007D4D7A"/>
    <w:rsid w:val="007D541A"/>
    <w:rsid w:val="007E255C"/>
    <w:rsid w:val="007E4B3A"/>
    <w:rsid w:val="0080472F"/>
    <w:rsid w:val="00807E0F"/>
    <w:rsid w:val="00811726"/>
    <w:rsid w:val="008127BE"/>
    <w:rsid w:val="0081537C"/>
    <w:rsid w:val="00820579"/>
    <w:rsid w:val="008229AC"/>
    <w:rsid w:val="00822A93"/>
    <w:rsid w:val="00836D9F"/>
    <w:rsid w:val="00863911"/>
    <w:rsid w:val="00870C00"/>
    <w:rsid w:val="00870EF6"/>
    <w:rsid w:val="00875B5E"/>
    <w:rsid w:val="00884881"/>
    <w:rsid w:val="00884980"/>
    <w:rsid w:val="00885192"/>
    <w:rsid w:val="008912DE"/>
    <w:rsid w:val="008913FA"/>
    <w:rsid w:val="0089205B"/>
    <w:rsid w:val="0089769B"/>
    <w:rsid w:val="008A00A0"/>
    <w:rsid w:val="008A5FC3"/>
    <w:rsid w:val="008A72B3"/>
    <w:rsid w:val="008B0F71"/>
    <w:rsid w:val="008B4643"/>
    <w:rsid w:val="008B7D86"/>
    <w:rsid w:val="008C50E0"/>
    <w:rsid w:val="008C5469"/>
    <w:rsid w:val="008D3E04"/>
    <w:rsid w:val="008E20C6"/>
    <w:rsid w:val="008E2960"/>
    <w:rsid w:val="008E7302"/>
    <w:rsid w:val="008E7491"/>
    <w:rsid w:val="008F30AD"/>
    <w:rsid w:val="008F31BC"/>
    <w:rsid w:val="00901ECF"/>
    <w:rsid w:val="00910CE3"/>
    <w:rsid w:val="00911BCE"/>
    <w:rsid w:val="00916682"/>
    <w:rsid w:val="009232E7"/>
    <w:rsid w:val="009267A6"/>
    <w:rsid w:val="0094104B"/>
    <w:rsid w:val="00951E1B"/>
    <w:rsid w:val="00960AAB"/>
    <w:rsid w:val="00963C21"/>
    <w:rsid w:val="00976C84"/>
    <w:rsid w:val="00992A22"/>
    <w:rsid w:val="00996A4D"/>
    <w:rsid w:val="009A35D4"/>
    <w:rsid w:val="009A465F"/>
    <w:rsid w:val="009C0637"/>
    <w:rsid w:val="009C2E33"/>
    <w:rsid w:val="009C4D06"/>
    <w:rsid w:val="009E0B6A"/>
    <w:rsid w:val="009E5A66"/>
    <w:rsid w:val="009F42CE"/>
    <w:rsid w:val="00A050E0"/>
    <w:rsid w:val="00A15372"/>
    <w:rsid w:val="00A21584"/>
    <w:rsid w:val="00A2777B"/>
    <w:rsid w:val="00A315AB"/>
    <w:rsid w:val="00A31A87"/>
    <w:rsid w:val="00A356F9"/>
    <w:rsid w:val="00A4200B"/>
    <w:rsid w:val="00A47915"/>
    <w:rsid w:val="00A505E3"/>
    <w:rsid w:val="00A60C86"/>
    <w:rsid w:val="00A61C59"/>
    <w:rsid w:val="00A625DE"/>
    <w:rsid w:val="00A652F2"/>
    <w:rsid w:val="00A66378"/>
    <w:rsid w:val="00A716CD"/>
    <w:rsid w:val="00A76B3D"/>
    <w:rsid w:val="00A84C49"/>
    <w:rsid w:val="00A87909"/>
    <w:rsid w:val="00A90EBF"/>
    <w:rsid w:val="00A950AB"/>
    <w:rsid w:val="00A95B77"/>
    <w:rsid w:val="00AA747D"/>
    <w:rsid w:val="00AB1B8F"/>
    <w:rsid w:val="00AB2048"/>
    <w:rsid w:val="00AB329D"/>
    <w:rsid w:val="00AB6FD9"/>
    <w:rsid w:val="00AC2485"/>
    <w:rsid w:val="00AE16A4"/>
    <w:rsid w:val="00AE3306"/>
    <w:rsid w:val="00AE6ABC"/>
    <w:rsid w:val="00AE6E98"/>
    <w:rsid w:val="00AF1E42"/>
    <w:rsid w:val="00AF68A6"/>
    <w:rsid w:val="00B11F86"/>
    <w:rsid w:val="00B12E04"/>
    <w:rsid w:val="00B15404"/>
    <w:rsid w:val="00B21FC2"/>
    <w:rsid w:val="00B24115"/>
    <w:rsid w:val="00B37A4E"/>
    <w:rsid w:val="00B40719"/>
    <w:rsid w:val="00B41C2C"/>
    <w:rsid w:val="00B436DB"/>
    <w:rsid w:val="00B524AC"/>
    <w:rsid w:val="00B56828"/>
    <w:rsid w:val="00B66F12"/>
    <w:rsid w:val="00B70EDB"/>
    <w:rsid w:val="00B713BC"/>
    <w:rsid w:val="00B71D2C"/>
    <w:rsid w:val="00B75B40"/>
    <w:rsid w:val="00B76E2E"/>
    <w:rsid w:val="00B84D1A"/>
    <w:rsid w:val="00B87BAE"/>
    <w:rsid w:val="00B94CF8"/>
    <w:rsid w:val="00BA252C"/>
    <w:rsid w:val="00BA264E"/>
    <w:rsid w:val="00BA363E"/>
    <w:rsid w:val="00BC4E3C"/>
    <w:rsid w:val="00BC4EAC"/>
    <w:rsid w:val="00BD0527"/>
    <w:rsid w:val="00BE08EF"/>
    <w:rsid w:val="00BE17C6"/>
    <w:rsid w:val="00BE20E9"/>
    <w:rsid w:val="00BE4586"/>
    <w:rsid w:val="00BE6791"/>
    <w:rsid w:val="00BF1050"/>
    <w:rsid w:val="00BF1E3F"/>
    <w:rsid w:val="00C01341"/>
    <w:rsid w:val="00C07602"/>
    <w:rsid w:val="00C10DAA"/>
    <w:rsid w:val="00C15C9E"/>
    <w:rsid w:val="00C1617C"/>
    <w:rsid w:val="00C20D10"/>
    <w:rsid w:val="00C22A1D"/>
    <w:rsid w:val="00C3041A"/>
    <w:rsid w:val="00C308CE"/>
    <w:rsid w:val="00C32219"/>
    <w:rsid w:val="00C45EAE"/>
    <w:rsid w:val="00C61F7F"/>
    <w:rsid w:val="00C6342E"/>
    <w:rsid w:val="00C63DFA"/>
    <w:rsid w:val="00C66747"/>
    <w:rsid w:val="00C73DFE"/>
    <w:rsid w:val="00C7696C"/>
    <w:rsid w:val="00C83391"/>
    <w:rsid w:val="00C93981"/>
    <w:rsid w:val="00CA27C2"/>
    <w:rsid w:val="00CA71EC"/>
    <w:rsid w:val="00CA7E5B"/>
    <w:rsid w:val="00CB650B"/>
    <w:rsid w:val="00CD0BFC"/>
    <w:rsid w:val="00CE1D64"/>
    <w:rsid w:val="00CE4541"/>
    <w:rsid w:val="00CE566E"/>
    <w:rsid w:val="00CE74FA"/>
    <w:rsid w:val="00CF5DA4"/>
    <w:rsid w:val="00D016AB"/>
    <w:rsid w:val="00D10007"/>
    <w:rsid w:val="00D16D09"/>
    <w:rsid w:val="00D31303"/>
    <w:rsid w:val="00D32548"/>
    <w:rsid w:val="00D35228"/>
    <w:rsid w:val="00D378E0"/>
    <w:rsid w:val="00D41EA9"/>
    <w:rsid w:val="00D505C0"/>
    <w:rsid w:val="00D6524E"/>
    <w:rsid w:val="00D66BC7"/>
    <w:rsid w:val="00D67F61"/>
    <w:rsid w:val="00D70706"/>
    <w:rsid w:val="00D733A1"/>
    <w:rsid w:val="00D7565E"/>
    <w:rsid w:val="00D82E4C"/>
    <w:rsid w:val="00D843EF"/>
    <w:rsid w:val="00D858A0"/>
    <w:rsid w:val="00D860BB"/>
    <w:rsid w:val="00DA0DC9"/>
    <w:rsid w:val="00DA298A"/>
    <w:rsid w:val="00DB0073"/>
    <w:rsid w:val="00DB1584"/>
    <w:rsid w:val="00DB2C08"/>
    <w:rsid w:val="00DC2072"/>
    <w:rsid w:val="00DC2775"/>
    <w:rsid w:val="00DC50EB"/>
    <w:rsid w:val="00DC78A7"/>
    <w:rsid w:val="00DD04F2"/>
    <w:rsid w:val="00DD2DEC"/>
    <w:rsid w:val="00DD6861"/>
    <w:rsid w:val="00DD7237"/>
    <w:rsid w:val="00DD7717"/>
    <w:rsid w:val="00DE1C2D"/>
    <w:rsid w:val="00E03F45"/>
    <w:rsid w:val="00E07210"/>
    <w:rsid w:val="00E07ADA"/>
    <w:rsid w:val="00E1385B"/>
    <w:rsid w:val="00E17985"/>
    <w:rsid w:val="00E17CF4"/>
    <w:rsid w:val="00E2214C"/>
    <w:rsid w:val="00E22AF7"/>
    <w:rsid w:val="00E26FF5"/>
    <w:rsid w:val="00E32E8D"/>
    <w:rsid w:val="00E464EB"/>
    <w:rsid w:val="00E52087"/>
    <w:rsid w:val="00E6578C"/>
    <w:rsid w:val="00E65B54"/>
    <w:rsid w:val="00E70876"/>
    <w:rsid w:val="00E758BB"/>
    <w:rsid w:val="00E875AD"/>
    <w:rsid w:val="00E914BA"/>
    <w:rsid w:val="00E92578"/>
    <w:rsid w:val="00EA5A4C"/>
    <w:rsid w:val="00EB1715"/>
    <w:rsid w:val="00EB3A2B"/>
    <w:rsid w:val="00EB535A"/>
    <w:rsid w:val="00EC1170"/>
    <w:rsid w:val="00EC43D5"/>
    <w:rsid w:val="00EC6116"/>
    <w:rsid w:val="00EE0145"/>
    <w:rsid w:val="00EF0078"/>
    <w:rsid w:val="00EF1B4D"/>
    <w:rsid w:val="00EF4468"/>
    <w:rsid w:val="00EF460F"/>
    <w:rsid w:val="00F01A23"/>
    <w:rsid w:val="00F07DEE"/>
    <w:rsid w:val="00F241F1"/>
    <w:rsid w:val="00F250CC"/>
    <w:rsid w:val="00F26E8B"/>
    <w:rsid w:val="00F46FF4"/>
    <w:rsid w:val="00F47B7E"/>
    <w:rsid w:val="00F57215"/>
    <w:rsid w:val="00F57911"/>
    <w:rsid w:val="00F6130C"/>
    <w:rsid w:val="00F713E5"/>
    <w:rsid w:val="00F71960"/>
    <w:rsid w:val="00F723E2"/>
    <w:rsid w:val="00F731DF"/>
    <w:rsid w:val="00F82A0F"/>
    <w:rsid w:val="00F847CA"/>
    <w:rsid w:val="00F851EB"/>
    <w:rsid w:val="00F87350"/>
    <w:rsid w:val="00F90299"/>
    <w:rsid w:val="00FA0152"/>
    <w:rsid w:val="00FA09C5"/>
    <w:rsid w:val="00FA1584"/>
    <w:rsid w:val="00FA28F1"/>
    <w:rsid w:val="00FB4159"/>
    <w:rsid w:val="00FB7CD6"/>
    <w:rsid w:val="00FC3C2F"/>
    <w:rsid w:val="00FD06A6"/>
    <w:rsid w:val="00FD7333"/>
    <w:rsid w:val="00FD7E5B"/>
    <w:rsid w:val="00FE74C9"/>
    <w:rsid w:val="00FE7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A0F25"/>
  <w15:docId w15:val="{E83C21E1-E64C-134C-BB45-5EDCB58A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1C0B8E"/>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C0B8E"/>
    <w:rPr>
      <w:rFonts w:ascii="Times New Roman" w:hAnsi="Times New Roman" w:cs="Times New Roman"/>
      <w:sz w:val="18"/>
      <w:szCs w:val="18"/>
    </w:rPr>
  </w:style>
  <w:style w:type="paragraph" w:styleId="Footer">
    <w:name w:val="footer"/>
    <w:basedOn w:val="Normal"/>
    <w:link w:val="FooterChar"/>
    <w:uiPriority w:val="99"/>
    <w:unhideWhenUsed/>
    <w:rsid w:val="00E70876"/>
    <w:pPr>
      <w:tabs>
        <w:tab w:val="center" w:pos="4680"/>
        <w:tab w:val="right" w:pos="9360"/>
      </w:tabs>
      <w:spacing w:line="240" w:lineRule="auto"/>
    </w:pPr>
  </w:style>
  <w:style w:type="character" w:customStyle="1" w:styleId="FooterChar">
    <w:name w:val="Footer Char"/>
    <w:basedOn w:val="DefaultParagraphFont"/>
    <w:link w:val="Footer"/>
    <w:uiPriority w:val="99"/>
    <w:rsid w:val="00E70876"/>
  </w:style>
  <w:style w:type="character" w:styleId="PageNumber">
    <w:name w:val="page number"/>
    <w:basedOn w:val="DefaultParagraphFont"/>
    <w:uiPriority w:val="99"/>
    <w:semiHidden/>
    <w:unhideWhenUsed/>
    <w:rsid w:val="00E70876"/>
  </w:style>
  <w:style w:type="character" w:styleId="LineNumber">
    <w:name w:val="line number"/>
    <w:basedOn w:val="DefaultParagraphFont"/>
    <w:uiPriority w:val="99"/>
    <w:semiHidden/>
    <w:unhideWhenUsed/>
    <w:rsid w:val="00E70876"/>
  </w:style>
  <w:style w:type="character" w:styleId="PlaceholderText">
    <w:name w:val="Placeholder Text"/>
    <w:basedOn w:val="DefaultParagraphFont"/>
    <w:uiPriority w:val="99"/>
    <w:semiHidden/>
    <w:rsid w:val="00753729"/>
    <w:rPr>
      <w:color w:val="808080"/>
    </w:rPr>
  </w:style>
  <w:style w:type="character" w:styleId="Hyperlink">
    <w:name w:val="Hyperlink"/>
    <w:basedOn w:val="DefaultParagraphFont"/>
    <w:uiPriority w:val="99"/>
    <w:unhideWhenUsed/>
    <w:rsid w:val="00DD2DEC"/>
    <w:rPr>
      <w:color w:val="0000FF"/>
      <w:u w:val="single"/>
    </w:rPr>
  </w:style>
  <w:style w:type="character" w:customStyle="1" w:styleId="highlight">
    <w:name w:val="highlight"/>
    <w:basedOn w:val="DefaultParagraphFont"/>
    <w:rsid w:val="00DD2DEC"/>
  </w:style>
  <w:style w:type="paragraph" w:styleId="Revision">
    <w:name w:val="Revision"/>
    <w:hidden/>
    <w:uiPriority w:val="99"/>
    <w:semiHidden/>
    <w:rsid w:val="00341AFB"/>
    <w:pPr>
      <w:spacing w:line="240" w:lineRule="auto"/>
    </w:pPr>
  </w:style>
  <w:style w:type="character" w:styleId="UnresolvedMention">
    <w:name w:val="Unresolved Mention"/>
    <w:basedOn w:val="DefaultParagraphFont"/>
    <w:uiPriority w:val="99"/>
    <w:semiHidden/>
    <w:unhideWhenUsed/>
    <w:rsid w:val="00341AFB"/>
    <w:rPr>
      <w:color w:val="605E5C"/>
      <w:shd w:val="clear" w:color="auto" w:fill="E1DFDD"/>
    </w:rPr>
  </w:style>
  <w:style w:type="character" w:styleId="FollowedHyperlink">
    <w:name w:val="FollowedHyperlink"/>
    <w:basedOn w:val="DefaultParagraphFont"/>
    <w:uiPriority w:val="99"/>
    <w:semiHidden/>
    <w:unhideWhenUsed/>
    <w:rsid w:val="00341A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2871">
      <w:bodyDiv w:val="1"/>
      <w:marLeft w:val="0"/>
      <w:marRight w:val="0"/>
      <w:marTop w:val="0"/>
      <w:marBottom w:val="0"/>
      <w:divBdr>
        <w:top w:val="none" w:sz="0" w:space="0" w:color="auto"/>
        <w:left w:val="none" w:sz="0" w:space="0" w:color="auto"/>
        <w:bottom w:val="none" w:sz="0" w:space="0" w:color="auto"/>
        <w:right w:val="none" w:sz="0" w:space="0" w:color="auto"/>
      </w:divBdr>
    </w:div>
    <w:div w:id="49959970">
      <w:bodyDiv w:val="1"/>
      <w:marLeft w:val="0"/>
      <w:marRight w:val="0"/>
      <w:marTop w:val="0"/>
      <w:marBottom w:val="0"/>
      <w:divBdr>
        <w:top w:val="none" w:sz="0" w:space="0" w:color="auto"/>
        <w:left w:val="none" w:sz="0" w:space="0" w:color="auto"/>
        <w:bottom w:val="none" w:sz="0" w:space="0" w:color="auto"/>
        <w:right w:val="none" w:sz="0" w:space="0" w:color="auto"/>
      </w:divBdr>
    </w:div>
    <w:div w:id="74522823">
      <w:bodyDiv w:val="1"/>
      <w:marLeft w:val="0"/>
      <w:marRight w:val="0"/>
      <w:marTop w:val="0"/>
      <w:marBottom w:val="0"/>
      <w:divBdr>
        <w:top w:val="none" w:sz="0" w:space="0" w:color="auto"/>
        <w:left w:val="none" w:sz="0" w:space="0" w:color="auto"/>
        <w:bottom w:val="none" w:sz="0" w:space="0" w:color="auto"/>
        <w:right w:val="none" w:sz="0" w:space="0" w:color="auto"/>
      </w:divBdr>
    </w:div>
    <w:div w:id="226233119">
      <w:bodyDiv w:val="1"/>
      <w:marLeft w:val="0"/>
      <w:marRight w:val="0"/>
      <w:marTop w:val="0"/>
      <w:marBottom w:val="0"/>
      <w:divBdr>
        <w:top w:val="none" w:sz="0" w:space="0" w:color="auto"/>
        <w:left w:val="none" w:sz="0" w:space="0" w:color="auto"/>
        <w:bottom w:val="none" w:sz="0" w:space="0" w:color="auto"/>
        <w:right w:val="none" w:sz="0" w:space="0" w:color="auto"/>
      </w:divBdr>
    </w:div>
    <w:div w:id="256594776">
      <w:bodyDiv w:val="1"/>
      <w:marLeft w:val="0"/>
      <w:marRight w:val="0"/>
      <w:marTop w:val="0"/>
      <w:marBottom w:val="0"/>
      <w:divBdr>
        <w:top w:val="none" w:sz="0" w:space="0" w:color="auto"/>
        <w:left w:val="none" w:sz="0" w:space="0" w:color="auto"/>
        <w:bottom w:val="none" w:sz="0" w:space="0" w:color="auto"/>
        <w:right w:val="none" w:sz="0" w:space="0" w:color="auto"/>
      </w:divBdr>
    </w:div>
    <w:div w:id="285544483">
      <w:bodyDiv w:val="1"/>
      <w:marLeft w:val="0"/>
      <w:marRight w:val="0"/>
      <w:marTop w:val="0"/>
      <w:marBottom w:val="0"/>
      <w:divBdr>
        <w:top w:val="none" w:sz="0" w:space="0" w:color="auto"/>
        <w:left w:val="none" w:sz="0" w:space="0" w:color="auto"/>
        <w:bottom w:val="none" w:sz="0" w:space="0" w:color="auto"/>
        <w:right w:val="none" w:sz="0" w:space="0" w:color="auto"/>
      </w:divBdr>
    </w:div>
    <w:div w:id="292558914">
      <w:bodyDiv w:val="1"/>
      <w:marLeft w:val="0"/>
      <w:marRight w:val="0"/>
      <w:marTop w:val="0"/>
      <w:marBottom w:val="0"/>
      <w:divBdr>
        <w:top w:val="none" w:sz="0" w:space="0" w:color="auto"/>
        <w:left w:val="none" w:sz="0" w:space="0" w:color="auto"/>
        <w:bottom w:val="none" w:sz="0" w:space="0" w:color="auto"/>
        <w:right w:val="none" w:sz="0" w:space="0" w:color="auto"/>
      </w:divBdr>
    </w:div>
    <w:div w:id="355229852">
      <w:bodyDiv w:val="1"/>
      <w:marLeft w:val="0"/>
      <w:marRight w:val="0"/>
      <w:marTop w:val="0"/>
      <w:marBottom w:val="0"/>
      <w:divBdr>
        <w:top w:val="none" w:sz="0" w:space="0" w:color="auto"/>
        <w:left w:val="none" w:sz="0" w:space="0" w:color="auto"/>
        <w:bottom w:val="none" w:sz="0" w:space="0" w:color="auto"/>
        <w:right w:val="none" w:sz="0" w:space="0" w:color="auto"/>
      </w:divBdr>
      <w:divsChild>
        <w:div w:id="557131873">
          <w:marLeft w:val="0"/>
          <w:marRight w:val="0"/>
          <w:marTop w:val="0"/>
          <w:marBottom w:val="0"/>
          <w:divBdr>
            <w:top w:val="none" w:sz="0" w:space="0" w:color="auto"/>
            <w:left w:val="none" w:sz="0" w:space="0" w:color="auto"/>
            <w:bottom w:val="none" w:sz="0" w:space="0" w:color="auto"/>
            <w:right w:val="none" w:sz="0" w:space="0" w:color="auto"/>
          </w:divBdr>
        </w:div>
        <w:div w:id="638999145">
          <w:marLeft w:val="0"/>
          <w:marRight w:val="0"/>
          <w:marTop w:val="0"/>
          <w:marBottom w:val="0"/>
          <w:divBdr>
            <w:top w:val="none" w:sz="0" w:space="0" w:color="auto"/>
            <w:left w:val="none" w:sz="0" w:space="0" w:color="auto"/>
            <w:bottom w:val="none" w:sz="0" w:space="0" w:color="auto"/>
            <w:right w:val="none" w:sz="0" w:space="0" w:color="auto"/>
          </w:divBdr>
        </w:div>
      </w:divsChild>
    </w:div>
    <w:div w:id="521938104">
      <w:bodyDiv w:val="1"/>
      <w:marLeft w:val="0"/>
      <w:marRight w:val="0"/>
      <w:marTop w:val="0"/>
      <w:marBottom w:val="0"/>
      <w:divBdr>
        <w:top w:val="none" w:sz="0" w:space="0" w:color="auto"/>
        <w:left w:val="none" w:sz="0" w:space="0" w:color="auto"/>
        <w:bottom w:val="none" w:sz="0" w:space="0" w:color="auto"/>
        <w:right w:val="none" w:sz="0" w:space="0" w:color="auto"/>
      </w:divBdr>
    </w:div>
    <w:div w:id="579875291">
      <w:bodyDiv w:val="1"/>
      <w:marLeft w:val="0"/>
      <w:marRight w:val="0"/>
      <w:marTop w:val="0"/>
      <w:marBottom w:val="0"/>
      <w:divBdr>
        <w:top w:val="none" w:sz="0" w:space="0" w:color="auto"/>
        <w:left w:val="none" w:sz="0" w:space="0" w:color="auto"/>
        <w:bottom w:val="none" w:sz="0" w:space="0" w:color="auto"/>
        <w:right w:val="none" w:sz="0" w:space="0" w:color="auto"/>
      </w:divBdr>
    </w:div>
    <w:div w:id="619456646">
      <w:bodyDiv w:val="1"/>
      <w:marLeft w:val="0"/>
      <w:marRight w:val="0"/>
      <w:marTop w:val="0"/>
      <w:marBottom w:val="0"/>
      <w:divBdr>
        <w:top w:val="none" w:sz="0" w:space="0" w:color="auto"/>
        <w:left w:val="none" w:sz="0" w:space="0" w:color="auto"/>
        <w:bottom w:val="none" w:sz="0" w:space="0" w:color="auto"/>
        <w:right w:val="none" w:sz="0" w:space="0" w:color="auto"/>
      </w:divBdr>
    </w:div>
    <w:div w:id="663432086">
      <w:bodyDiv w:val="1"/>
      <w:marLeft w:val="0"/>
      <w:marRight w:val="0"/>
      <w:marTop w:val="0"/>
      <w:marBottom w:val="0"/>
      <w:divBdr>
        <w:top w:val="none" w:sz="0" w:space="0" w:color="auto"/>
        <w:left w:val="none" w:sz="0" w:space="0" w:color="auto"/>
        <w:bottom w:val="none" w:sz="0" w:space="0" w:color="auto"/>
        <w:right w:val="none" w:sz="0" w:space="0" w:color="auto"/>
      </w:divBdr>
      <w:divsChild>
        <w:div w:id="1550917829">
          <w:marLeft w:val="0"/>
          <w:marRight w:val="0"/>
          <w:marTop w:val="0"/>
          <w:marBottom w:val="0"/>
          <w:divBdr>
            <w:top w:val="none" w:sz="0" w:space="0" w:color="auto"/>
            <w:left w:val="none" w:sz="0" w:space="0" w:color="auto"/>
            <w:bottom w:val="none" w:sz="0" w:space="0" w:color="auto"/>
            <w:right w:val="none" w:sz="0" w:space="0" w:color="auto"/>
          </w:divBdr>
          <w:divsChild>
            <w:div w:id="1226794584">
              <w:marLeft w:val="0"/>
              <w:marRight w:val="0"/>
              <w:marTop w:val="0"/>
              <w:marBottom w:val="0"/>
              <w:divBdr>
                <w:top w:val="none" w:sz="0" w:space="0" w:color="auto"/>
                <w:left w:val="none" w:sz="0" w:space="0" w:color="auto"/>
                <w:bottom w:val="none" w:sz="0" w:space="0" w:color="auto"/>
                <w:right w:val="none" w:sz="0" w:space="0" w:color="auto"/>
              </w:divBdr>
              <w:divsChild>
                <w:div w:id="709646782">
                  <w:marLeft w:val="0"/>
                  <w:marRight w:val="0"/>
                  <w:marTop w:val="0"/>
                  <w:marBottom w:val="0"/>
                  <w:divBdr>
                    <w:top w:val="none" w:sz="0" w:space="0" w:color="auto"/>
                    <w:left w:val="none" w:sz="0" w:space="0" w:color="auto"/>
                    <w:bottom w:val="none" w:sz="0" w:space="0" w:color="auto"/>
                    <w:right w:val="none" w:sz="0" w:space="0" w:color="auto"/>
                  </w:divBdr>
                </w:div>
                <w:div w:id="182262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75780">
      <w:bodyDiv w:val="1"/>
      <w:marLeft w:val="0"/>
      <w:marRight w:val="0"/>
      <w:marTop w:val="0"/>
      <w:marBottom w:val="0"/>
      <w:divBdr>
        <w:top w:val="none" w:sz="0" w:space="0" w:color="auto"/>
        <w:left w:val="none" w:sz="0" w:space="0" w:color="auto"/>
        <w:bottom w:val="none" w:sz="0" w:space="0" w:color="auto"/>
        <w:right w:val="none" w:sz="0" w:space="0" w:color="auto"/>
      </w:divBdr>
    </w:div>
    <w:div w:id="884486453">
      <w:bodyDiv w:val="1"/>
      <w:marLeft w:val="0"/>
      <w:marRight w:val="0"/>
      <w:marTop w:val="0"/>
      <w:marBottom w:val="0"/>
      <w:divBdr>
        <w:top w:val="none" w:sz="0" w:space="0" w:color="auto"/>
        <w:left w:val="none" w:sz="0" w:space="0" w:color="auto"/>
        <w:bottom w:val="none" w:sz="0" w:space="0" w:color="auto"/>
        <w:right w:val="none" w:sz="0" w:space="0" w:color="auto"/>
      </w:divBdr>
    </w:div>
    <w:div w:id="924194648">
      <w:bodyDiv w:val="1"/>
      <w:marLeft w:val="0"/>
      <w:marRight w:val="0"/>
      <w:marTop w:val="0"/>
      <w:marBottom w:val="0"/>
      <w:divBdr>
        <w:top w:val="none" w:sz="0" w:space="0" w:color="auto"/>
        <w:left w:val="none" w:sz="0" w:space="0" w:color="auto"/>
        <w:bottom w:val="none" w:sz="0" w:space="0" w:color="auto"/>
        <w:right w:val="none" w:sz="0" w:space="0" w:color="auto"/>
      </w:divBdr>
    </w:div>
    <w:div w:id="1040057261">
      <w:bodyDiv w:val="1"/>
      <w:marLeft w:val="0"/>
      <w:marRight w:val="0"/>
      <w:marTop w:val="0"/>
      <w:marBottom w:val="0"/>
      <w:divBdr>
        <w:top w:val="none" w:sz="0" w:space="0" w:color="auto"/>
        <w:left w:val="none" w:sz="0" w:space="0" w:color="auto"/>
        <w:bottom w:val="none" w:sz="0" w:space="0" w:color="auto"/>
        <w:right w:val="none" w:sz="0" w:space="0" w:color="auto"/>
      </w:divBdr>
    </w:div>
    <w:div w:id="1075971986">
      <w:bodyDiv w:val="1"/>
      <w:marLeft w:val="0"/>
      <w:marRight w:val="0"/>
      <w:marTop w:val="0"/>
      <w:marBottom w:val="0"/>
      <w:divBdr>
        <w:top w:val="none" w:sz="0" w:space="0" w:color="auto"/>
        <w:left w:val="none" w:sz="0" w:space="0" w:color="auto"/>
        <w:bottom w:val="none" w:sz="0" w:space="0" w:color="auto"/>
        <w:right w:val="none" w:sz="0" w:space="0" w:color="auto"/>
      </w:divBdr>
    </w:div>
    <w:div w:id="1165782185">
      <w:bodyDiv w:val="1"/>
      <w:marLeft w:val="0"/>
      <w:marRight w:val="0"/>
      <w:marTop w:val="0"/>
      <w:marBottom w:val="0"/>
      <w:divBdr>
        <w:top w:val="none" w:sz="0" w:space="0" w:color="auto"/>
        <w:left w:val="none" w:sz="0" w:space="0" w:color="auto"/>
        <w:bottom w:val="none" w:sz="0" w:space="0" w:color="auto"/>
        <w:right w:val="none" w:sz="0" w:space="0" w:color="auto"/>
      </w:divBdr>
      <w:divsChild>
        <w:div w:id="1538083296">
          <w:marLeft w:val="0"/>
          <w:marRight w:val="0"/>
          <w:marTop w:val="0"/>
          <w:marBottom w:val="0"/>
          <w:divBdr>
            <w:top w:val="none" w:sz="0" w:space="0" w:color="auto"/>
            <w:left w:val="none" w:sz="0" w:space="0" w:color="auto"/>
            <w:bottom w:val="none" w:sz="0" w:space="0" w:color="auto"/>
            <w:right w:val="none" w:sz="0" w:space="0" w:color="auto"/>
          </w:divBdr>
          <w:divsChild>
            <w:div w:id="2115785116">
              <w:marLeft w:val="0"/>
              <w:marRight w:val="0"/>
              <w:marTop w:val="0"/>
              <w:marBottom w:val="0"/>
              <w:divBdr>
                <w:top w:val="none" w:sz="0" w:space="0" w:color="auto"/>
                <w:left w:val="none" w:sz="0" w:space="0" w:color="auto"/>
                <w:bottom w:val="none" w:sz="0" w:space="0" w:color="auto"/>
                <w:right w:val="none" w:sz="0" w:space="0" w:color="auto"/>
              </w:divBdr>
              <w:divsChild>
                <w:div w:id="564991031">
                  <w:marLeft w:val="0"/>
                  <w:marRight w:val="0"/>
                  <w:marTop w:val="0"/>
                  <w:marBottom w:val="0"/>
                  <w:divBdr>
                    <w:top w:val="none" w:sz="0" w:space="0" w:color="auto"/>
                    <w:left w:val="none" w:sz="0" w:space="0" w:color="auto"/>
                    <w:bottom w:val="none" w:sz="0" w:space="0" w:color="auto"/>
                    <w:right w:val="none" w:sz="0" w:space="0" w:color="auto"/>
                  </w:divBdr>
                  <w:divsChild>
                    <w:div w:id="1459643980">
                      <w:marLeft w:val="0"/>
                      <w:marRight w:val="0"/>
                      <w:marTop w:val="0"/>
                      <w:marBottom w:val="0"/>
                      <w:divBdr>
                        <w:top w:val="none" w:sz="0" w:space="0" w:color="auto"/>
                        <w:left w:val="none" w:sz="0" w:space="0" w:color="auto"/>
                        <w:bottom w:val="none" w:sz="0" w:space="0" w:color="auto"/>
                        <w:right w:val="none" w:sz="0" w:space="0" w:color="auto"/>
                      </w:divBdr>
                      <w:divsChild>
                        <w:div w:id="124919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436973">
          <w:marLeft w:val="0"/>
          <w:marRight w:val="0"/>
          <w:marTop w:val="0"/>
          <w:marBottom w:val="0"/>
          <w:divBdr>
            <w:top w:val="none" w:sz="0" w:space="0" w:color="auto"/>
            <w:left w:val="none" w:sz="0" w:space="0" w:color="auto"/>
            <w:bottom w:val="none" w:sz="0" w:space="0" w:color="auto"/>
            <w:right w:val="none" w:sz="0" w:space="0" w:color="auto"/>
          </w:divBdr>
          <w:divsChild>
            <w:div w:id="1396931270">
              <w:marLeft w:val="0"/>
              <w:marRight w:val="0"/>
              <w:marTop w:val="0"/>
              <w:marBottom w:val="0"/>
              <w:divBdr>
                <w:top w:val="none" w:sz="0" w:space="0" w:color="auto"/>
                <w:left w:val="none" w:sz="0" w:space="0" w:color="auto"/>
                <w:bottom w:val="none" w:sz="0" w:space="0" w:color="auto"/>
                <w:right w:val="none" w:sz="0" w:space="0" w:color="auto"/>
              </w:divBdr>
              <w:divsChild>
                <w:div w:id="59992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114165">
      <w:bodyDiv w:val="1"/>
      <w:marLeft w:val="0"/>
      <w:marRight w:val="0"/>
      <w:marTop w:val="0"/>
      <w:marBottom w:val="0"/>
      <w:divBdr>
        <w:top w:val="none" w:sz="0" w:space="0" w:color="auto"/>
        <w:left w:val="none" w:sz="0" w:space="0" w:color="auto"/>
        <w:bottom w:val="none" w:sz="0" w:space="0" w:color="auto"/>
        <w:right w:val="none" w:sz="0" w:space="0" w:color="auto"/>
      </w:divBdr>
    </w:div>
    <w:div w:id="1220166638">
      <w:bodyDiv w:val="1"/>
      <w:marLeft w:val="0"/>
      <w:marRight w:val="0"/>
      <w:marTop w:val="0"/>
      <w:marBottom w:val="0"/>
      <w:divBdr>
        <w:top w:val="none" w:sz="0" w:space="0" w:color="auto"/>
        <w:left w:val="none" w:sz="0" w:space="0" w:color="auto"/>
        <w:bottom w:val="none" w:sz="0" w:space="0" w:color="auto"/>
        <w:right w:val="none" w:sz="0" w:space="0" w:color="auto"/>
      </w:divBdr>
    </w:div>
    <w:div w:id="1266765036">
      <w:bodyDiv w:val="1"/>
      <w:marLeft w:val="0"/>
      <w:marRight w:val="0"/>
      <w:marTop w:val="0"/>
      <w:marBottom w:val="0"/>
      <w:divBdr>
        <w:top w:val="none" w:sz="0" w:space="0" w:color="auto"/>
        <w:left w:val="none" w:sz="0" w:space="0" w:color="auto"/>
        <w:bottom w:val="none" w:sz="0" w:space="0" w:color="auto"/>
        <w:right w:val="none" w:sz="0" w:space="0" w:color="auto"/>
      </w:divBdr>
      <w:divsChild>
        <w:div w:id="745031076">
          <w:marLeft w:val="0"/>
          <w:marRight w:val="0"/>
          <w:marTop w:val="0"/>
          <w:marBottom w:val="0"/>
          <w:divBdr>
            <w:top w:val="none" w:sz="0" w:space="0" w:color="auto"/>
            <w:left w:val="none" w:sz="0" w:space="0" w:color="auto"/>
            <w:bottom w:val="none" w:sz="0" w:space="0" w:color="auto"/>
            <w:right w:val="none" w:sz="0" w:space="0" w:color="auto"/>
          </w:divBdr>
        </w:div>
      </w:divsChild>
    </w:div>
    <w:div w:id="1275870585">
      <w:bodyDiv w:val="1"/>
      <w:marLeft w:val="0"/>
      <w:marRight w:val="0"/>
      <w:marTop w:val="0"/>
      <w:marBottom w:val="0"/>
      <w:divBdr>
        <w:top w:val="none" w:sz="0" w:space="0" w:color="auto"/>
        <w:left w:val="none" w:sz="0" w:space="0" w:color="auto"/>
        <w:bottom w:val="none" w:sz="0" w:space="0" w:color="auto"/>
        <w:right w:val="none" w:sz="0" w:space="0" w:color="auto"/>
      </w:divBdr>
    </w:div>
    <w:div w:id="1339964500">
      <w:bodyDiv w:val="1"/>
      <w:marLeft w:val="0"/>
      <w:marRight w:val="0"/>
      <w:marTop w:val="0"/>
      <w:marBottom w:val="0"/>
      <w:divBdr>
        <w:top w:val="none" w:sz="0" w:space="0" w:color="auto"/>
        <w:left w:val="none" w:sz="0" w:space="0" w:color="auto"/>
        <w:bottom w:val="none" w:sz="0" w:space="0" w:color="auto"/>
        <w:right w:val="none" w:sz="0" w:space="0" w:color="auto"/>
      </w:divBdr>
    </w:div>
    <w:div w:id="1359351696">
      <w:bodyDiv w:val="1"/>
      <w:marLeft w:val="0"/>
      <w:marRight w:val="0"/>
      <w:marTop w:val="0"/>
      <w:marBottom w:val="0"/>
      <w:divBdr>
        <w:top w:val="none" w:sz="0" w:space="0" w:color="auto"/>
        <w:left w:val="none" w:sz="0" w:space="0" w:color="auto"/>
        <w:bottom w:val="none" w:sz="0" w:space="0" w:color="auto"/>
        <w:right w:val="none" w:sz="0" w:space="0" w:color="auto"/>
      </w:divBdr>
    </w:div>
    <w:div w:id="1373847243">
      <w:bodyDiv w:val="1"/>
      <w:marLeft w:val="0"/>
      <w:marRight w:val="0"/>
      <w:marTop w:val="0"/>
      <w:marBottom w:val="0"/>
      <w:divBdr>
        <w:top w:val="none" w:sz="0" w:space="0" w:color="auto"/>
        <w:left w:val="none" w:sz="0" w:space="0" w:color="auto"/>
        <w:bottom w:val="none" w:sz="0" w:space="0" w:color="auto"/>
        <w:right w:val="none" w:sz="0" w:space="0" w:color="auto"/>
      </w:divBdr>
    </w:div>
    <w:div w:id="1404834578">
      <w:bodyDiv w:val="1"/>
      <w:marLeft w:val="0"/>
      <w:marRight w:val="0"/>
      <w:marTop w:val="0"/>
      <w:marBottom w:val="0"/>
      <w:divBdr>
        <w:top w:val="none" w:sz="0" w:space="0" w:color="auto"/>
        <w:left w:val="none" w:sz="0" w:space="0" w:color="auto"/>
        <w:bottom w:val="none" w:sz="0" w:space="0" w:color="auto"/>
        <w:right w:val="none" w:sz="0" w:space="0" w:color="auto"/>
      </w:divBdr>
    </w:div>
    <w:div w:id="1416706106">
      <w:bodyDiv w:val="1"/>
      <w:marLeft w:val="0"/>
      <w:marRight w:val="0"/>
      <w:marTop w:val="0"/>
      <w:marBottom w:val="0"/>
      <w:divBdr>
        <w:top w:val="none" w:sz="0" w:space="0" w:color="auto"/>
        <w:left w:val="none" w:sz="0" w:space="0" w:color="auto"/>
        <w:bottom w:val="none" w:sz="0" w:space="0" w:color="auto"/>
        <w:right w:val="none" w:sz="0" w:space="0" w:color="auto"/>
      </w:divBdr>
    </w:div>
    <w:div w:id="1464418868">
      <w:bodyDiv w:val="1"/>
      <w:marLeft w:val="0"/>
      <w:marRight w:val="0"/>
      <w:marTop w:val="0"/>
      <w:marBottom w:val="0"/>
      <w:divBdr>
        <w:top w:val="none" w:sz="0" w:space="0" w:color="auto"/>
        <w:left w:val="none" w:sz="0" w:space="0" w:color="auto"/>
        <w:bottom w:val="none" w:sz="0" w:space="0" w:color="auto"/>
        <w:right w:val="none" w:sz="0" w:space="0" w:color="auto"/>
      </w:divBdr>
      <w:divsChild>
        <w:div w:id="1172261244">
          <w:marLeft w:val="0"/>
          <w:marRight w:val="0"/>
          <w:marTop w:val="0"/>
          <w:marBottom w:val="0"/>
          <w:divBdr>
            <w:top w:val="none" w:sz="0" w:space="0" w:color="auto"/>
            <w:left w:val="none" w:sz="0" w:space="0" w:color="auto"/>
            <w:bottom w:val="none" w:sz="0" w:space="0" w:color="auto"/>
            <w:right w:val="none" w:sz="0" w:space="0" w:color="auto"/>
          </w:divBdr>
          <w:divsChild>
            <w:div w:id="1674524031">
              <w:marLeft w:val="0"/>
              <w:marRight w:val="0"/>
              <w:marTop w:val="0"/>
              <w:marBottom w:val="0"/>
              <w:divBdr>
                <w:top w:val="none" w:sz="0" w:space="0" w:color="auto"/>
                <w:left w:val="none" w:sz="0" w:space="0" w:color="auto"/>
                <w:bottom w:val="none" w:sz="0" w:space="0" w:color="auto"/>
                <w:right w:val="none" w:sz="0" w:space="0" w:color="auto"/>
              </w:divBdr>
              <w:divsChild>
                <w:div w:id="1221361452">
                  <w:marLeft w:val="0"/>
                  <w:marRight w:val="0"/>
                  <w:marTop w:val="0"/>
                  <w:marBottom w:val="0"/>
                  <w:divBdr>
                    <w:top w:val="none" w:sz="0" w:space="0" w:color="auto"/>
                    <w:left w:val="none" w:sz="0" w:space="0" w:color="auto"/>
                    <w:bottom w:val="none" w:sz="0" w:space="0" w:color="auto"/>
                    <w:right w:val="none" w:sz="0" w:space="0" w:color="auto"/>
                  </w:divBdr>
                  <w:divsChild>
                    <w:div w:id="64474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658129">
              <w:marLeft w:val="0"/>
              <w:marRight w:val="0"/>
              <w:marTop w:val="0"/>
              <w:marBottom w:val="0"/>
              <w:divBdr>
                <w:top w:val="none" w:sz="0" w:space="0" w:color="auto"/>
                <w:left w:val="none" w:sz="0" w:space="0" w:color="auto"/>
                <w:bottom w:val="none" w:sz="0" w:space="0" w:color="auto"/>
                <w:right w:val="none" w:sz="0" w:space="0" w:color="auto"/>
              </w:divBdr>
            </w:div>
          </w:divsChild>
        </w:div>
        <w:div w:id="1866824983">
          <w:marLeft w:val="0"/>
          <w:marRight w:val="0"/>
          <w:marTop w:val="0"/>
          <w:marBottom w:val="0"/>
          <w:divBdr>
            <w:top w:val="none" w:sz="0" w:space="0" w:color="auto"/>
            <w:left w:val="none" w:sz="0" w:space="0" w:color="auto"/>
            <w:bottom w:val="none" w:sz="0" w:space="0" w:color="auto"/>
            <w:right w:val="none" w:sz="0" w:space="0" w:color="auto"/>
          </w:divBdr>
          <w:divsChild>
            <w:div w:id="2055304910">
              <w:marLeft w:val="0"/>
              <w:marRight w:val="0"/>
              <w:marTop w:val="0"/>
              <w:marBottom w:val="0"/>
              <w:divBdr>
                <w:top w:val="none" w:sz="0" w:space="0" w:color="auto"/>
                <w:left w:val="none" w:sz="0" w:space="0" w:color="auto"/>
                <w:bottom w:val="none" w:sz="0" w:space="0" w:color="auto"/>
                <w:right w:val="none" w:sz="0" w:space="0" w:color="auto"/>
              </w:divBdr>
              <w:divsChild>
                <w:div w:id="79626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21697">
          <w:marLeft w:val="0"/>
          <w:marRight w:val="0"/>
          <w:marTop w:val="0"/>
          <w:marBottom w:val="0"/>
          <w:divBdr>
            <w:top w:val="none" w:sz="0" w:space="0" w:color="auto"/>
            <w:left w:val="none" w:sz="0" w:space="0" w:color="auto"/>
            <w:bottom w:val="none" w:sz="0" w:space="0" w:color="auto"/>
            <w:right w:val="none" w:sz="0" w:space="0" w:color="auto"/>
          </w:divBdr>
        </w:div>
        <w:div w:id="1473213771">
          <w:marLeft w:val="0"/>
          <w:marRight w:val="0"/>
          <w:marTop w:val="0"/>
          <w:marBottom w:val="0"/>
          <w:divBdr>
            <w:top w:val="none" w:sz="0" w:space="0" w:color="auto"/>
            <w:left w:val="none" w:sz="0" w:space="0" w:color="auto"/>
            <w:bottom w:val="none" w:sz="0" w:space="0" w:color="auto"/>
            <w:right w:val="none" w:sz="0" w:space="0" w:color="auto"/>
          </w:divBdr>
          <w:divsChild>
            <w:div w:id="1114053827">
              <w:marLeft w:val="0"/>
              <w:marRight w:val="0"/>
              <w:marTop w:val="0"/>
              <w:marBottom w:val="0"/>
              <w:divBdr>
                <w:top w:val="none" w:sz="0" w:space="0" w:color="auto"/>
                <w:left w:val="none" w:sz="0" w:space="0" w:color="auto"/>
                <w:bottom w:val="none" w:sz="0" w:space="0" w:color="auto"/>
                <w:right w:val="none" w:sz="0" w:space="0" w:color="auto"/>
              </w:divBdr>
            </w:div>
            <w:div w:id="1375471986">
              <w:marLeft w:val="0"/>
              <w:marRight w:val="0"/>
              <w:marTop w:val="0"/>
              <w:marBottom w:val="0"/>
              <w:divBdr>
                <w:top w:val="none" w:sz="0" w:space="0" w:color="auto"/>
                <w:left w:val="none" w:sz="0" w:space="0" w:color="auto"/>
                <w:bottom w:val="none" w:sz="0" w:space="0" w:color="auto"/>
                <w:right w:val="none" w:sz="0" w:space="0" w:color="auto"/>
              </w:divBdr>
            </w:div>
          </w:divsChild>
        </w:div>
        <w:div w:id="1274676780">
          <w:marLeft w:val="0"/>
          <w:marRight w:val="0"/>
          <w:marTop w:val="0"/>
          <w:marBottom w:val="0"/>
          <w:divBdr>
            <w:top w:val="none" w:sz="0" w:space="0" w:color="auto"/>
            <w:left w:val="none" w:sz="0" w:space="0" w:color="auto"/>
            <w:bottom w:val="none" w:sz="0" w:space="0" w:color="auto"/>
            <w:right w:val="none" w:sz="0" w:space="0" w:color="auto"/>
          </w:divBdr>
          <w:divsChild>
            <w:div w:id="321466734">
              <w:marLeft w:val="0"/>
              <w:marRight w:val="0"/>
              <w:marTop w:val="0"/>
              <w:marBottom w:val="0"/>
              <w:divBdr>
                <w:top w:val="none" w:sz="0" w:space="0" w:color="auto"/>
                <w:left w:val="none" w:sz="0" w:space="0" w:color="auto"/>
                <w:bottom w:val="none" w:sz="0" w:space="0" w:color="auto"/>
                <w:right w:val="none" w:sz="0" w:space="0" w:color="auto"/>
              </w:divBdr>
              <w:divsChild>
                <w:div w:id="1145508108">
                  <w:marLeft w:val="0"/>
                  <w:marRight w:val="0"/>
                  <w:marTop w:val="0"/>
                  <w:marBottom w:val="0"/>
                  <w:divBdr>
                    <w:top w:val="none" w:sz="0" w:space="0" w:color="auto"/>
                    <w:left w:val="none" w:sz="0" w:space="0" w:color="auto"/>
                    <w:bottom w:val="none" w:sz="0" w:space="0" w:color="auto"/>
                    <w:right w:val="none" w:sz="0" w:space="0" w:color="auto"/>
                  </w:divBdr>
                  <w:divsChild>
                    <w:div w:id="766582224">
                      <w:marLeft w:val="0"/>
                      <w:marRight w:val="0"/>
                      <w:marTop w:val="0"/>
                      <w:marBottom w:val="0"/>
                      <w:divBdr>
                        <w:top w:val="none" w:sz="0" w:space="0" w:color="auto"/>
                        <w:left w:val="none" w:sz="0" w:space="0" w:color="auto"/>
                        <w:bottom w:val="none" w:sz="0" w:space="0" w:color="auto"/>
                        <w:right w:val="none" w:sz="0" w:space="0" w:color="auto"/>
                      </w:divBdr>
                      <w:divsChild>
                        <w:div w:id="648823126">
                          <w:marLeft w:val="0"/>
                          <w:marRight w:val="0"/>
                          <w:marTop w:val="0"/>
                          <w:marBottom w:val="0"/>
                          <w:divBdr>
                            <w:top w:val="none" w:sz="0" w:space="0" w:color="auto"/>
                            <w:left w:val="none" w:sz="0" w:space="0" w:color="auto"/>
                            <w:bottom w:val="none" w:sz="0" w:space="0" w:color="auto"/>
                            <w:right w:val="none" w:sz="0" w:space="0" w:color="auto"/>
                          </w:divBdr>
                          <w:divsChild>
                            <w:div w:id="143316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574595">
              <w:marLeft w:val="0"/>
              <w:marRight w:val="0"/>
              <w:marTop w:val="0"/>
              <w:marBottom w:val="0"/>
              <w:divBdr>
                <w:top w:val="none" w:sz="0" w:space="0" w:color="auto"/>
                <w:left w:val="none" w:sz="0" w:space="0" w:color="auto"/>
                <w:bottom w:val="none" w:sz="0" w:space="0" w:color="auto"/>
                <w:right w:val="none" w:sz="0" w:space="0" w:color="auto"/>
              </w:divBdr>
              <w:divsChild>
                <w:div w:id="1671759176">
                  <w:marLeft w:val="0"/>
                  <w:marRight w:val="0"/>
                  <w:marTop w:val="0"/>
                  <w:marBottom w:val="0"/>
                  <w:divBdr>
                    <w:top w:val="none" w:sz="0" w:space="0" w:color="auto"/>
                    <w:left w:val="none" w:sz="0" w:space="0" w:color="auto"/>
                    <w:bottom w:val="none" w:sz="0" w:space="0" w:color="auto"/>
                    <w:right w:val="none" w:sz="0" w:space="0" w:color="auto"/>
                  </w:divBdr>
                  <w:divsChild>
                    <w:div w:id="173231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0649">
      <w:bodyDiv w:val="1"/>
      <w:marLeft w:val="0"/>
      <w:marRight w:val="0"/>
      <w:marTop w:val="0"/>
      <w:marBottom w:val="0"/>
      <w:divBdr>
        <w:top w:val="none" w:sz="0" w:space="0" w:color="auto"/>
        <w:left w:val="none" w:sz="0" w:space="0" w:color="auto"/>
        <w:bottom w:val="none" w:sz="0" w:space="0" w:color="auto"/>
        <w:right w:val="none" w:sz="0" w:space="0" w:color="auto"/>
      </w:divBdr>
    </w:div>
    <w:div w:id="1492453800">
      <w:bodyDiv w:val="1"/>
      <w:marLeft w:val="0"/>
      <w:marRight w:val="0"/>
      <w:marTop w:val="0"/>
      <w:marBottom w:val="0"/>
      <w:divBdr>
        <w:top w:val="none" w:sz="0" w:space="0" w:color="auto"/>
        <w:left w:val="none" w:sz="0" w:space="0" w:color="auto"/>
        <w:bottom w:val="none" w:sz="0" w:space="0" w:color="auto"/>
        <w:right w:val="none" w:sz="0" w:space="0" w:color="auto"/>
      </w:divBdr>
    </w:div>
    <w:div w:id="1500543136">
      <w:bodyDiv w:val="1"/>
      <w:marLeft w:val="0"/>
      <w:marRight w:val="0"/>
      <w:marTop w:val="0"/>
      <w:marBottom w:val="0"/>
      <w:divBdr>
        <w:top w:val="none" w:sz="0" w:space="0" w:color="auto"/>
        <w:left w:val="none" w:sz="0" w:space="0" w:color="auto"/>
        <w:bottom w:val="none" w:sz="0" w:space="0" w:color="auto"/>
        <w:right w:val="none" w:sz="0" w:space="0" w:color="auto"/>
      </w:divBdr>
    </w:div>
    <w:div w:id="1513640627">
      <w:bodyDiv w:val="1"/>
      <w:marLeft w:val="0"/>
      <w:marRight w:val="0"/>
      <w:marTop w:val="0"/>
      <w:marBottom w:val="0"/>
      <w:divBdr>
        <w:top w:val="none" w:sz="0" w:space="0" w:color="auto"/>
        <w:left w:val="none" w:sz="0" w:space="0" w:color="auto"/>
        <w:bottom w:val="none" w:sz="0" w:space="0" w:color="auto"/>
        <w:right w:val="none" w:sz="0" w:space="0" w:color="auto"/>
      </w:divBdr>
    </w:div>
    <w:div w:id="1548758689">
      <w:bodyDiv w:val="1"/>
      <w:marLeft w:val="0"/>
      <w:marRight w:val="0"/>
      <w:marTop w:val="0"/>
      <w:marBottom w:val="0"/>
      <w:divBdr>
        <w:top w:val="none" w:sz="0" w:space="0" w:color="auto"/>
        <w:left w:val="none" w:sz="0" w:space="0" w:color="auto"/>
        <w:bottom w:val="none" w:sz="0" w:space="0" w:color="auto"/>
        <w:right w:val="none" w:sz="0" w:space="0" w:color="auto"/>
      </w:divBdr>
    </w:div>
    <w:div w:id="1578132348">
      <w:bodyDiv w:val="1"/>
      <w:marLeft w:val="0"/>
      <w:marRight w:val="0"/>
      <w:marTop w:val="0"/>
      <w:marBottom w:val="0"/>
      <w:divBdr>
        <w:top w:val="none" w:sz="0" w:space="0" w:color="auto"/>
        <w:left w:val="none" w:sz="0" w:space="0" w:color="auto"/>
        <w:bottom w:val="none" w:sz="0" w:space="0" w:color="auto"/>
        <w:right w:val="none" w:sz="0" w:space="0" w:color="auto"/>
      </w:divBdr>
    </w:div>
    <w:div w:id="1579948805">
      <w:bodyDiv w:val="1"/>
      <w:marLeft w:val="0"/>
      <w:marRight w:val="0"/>
      <w:marTop w:val="0"/>
      <w:marBottom w:val="0"/>
      <w:divBdr>
        <w:top w:val="none" w:sz="0" w:space="0" w:color="auto"/>
        <w:left w:val="none" w:sz="0" w:space="0" w:color="auto"/>
        <w:bottom w:val="none" w:sz="0" w:space="0" w:color="auto"/>
        <w:right w:val="none" w:sz="0" w:space="0" w:color="auto"/>
      </w:divBdr>
    </w:div>
    <w:div w:id="1598252968">
      <w:bodyDiv w:val="1"/>
      <w:marLeft w:val="0"/>
      <w:marRight w:val="0"/>
      <w:marTop w:val="0"/>
      <w:marBottom w:val="0"/>
      <w:divBdr>
        <w:top w:val="none" w:sz="0" w:space="0" w:color="auto"/>
        <w:left w:val="none" w:sz="0" w:space="0" w:color="auto"/>
        <w:bottom w:val="none" w:sz="0" w:space="0" w:color="auto"/>
        <w:right w:val="none" w:sz="0" w:space="0" w:color="auto"/>
      </w:divBdr>
      <w:divsChild>
        <w:div w:id="1160461579">
          <w:marLeft w:val="0"/>
          <w:marRight w:val="0"/>
          <w:marTop w:val="0"/>
          <w:marBottom w:val="0"/>
          <w:divBdr>
            <w:top w:val="none" w:sz="0" w:space="0" w:color="auto"/>
            <w:left w:val="none" w:sz="0" w:space="0" w:color="auto"/>
            <w:bottom w:val="none" w:sz="0" w:space="0" w:color="auto"/>
            <w:right w:val="none" w:sz="0" w:space="0" w:color="auto"/>
          </w:divBdr>
        </w:div>
        <w:div w:id="1860509120">
          <w:marLeft w:val="0"/>
          <w:marRight w:val="0"/>
          <w:marTop w:val="0"/>
          <w:marBottom w:val="0"/>
          <w:divBdr>
            <w:top w:val="none" w:sz="0" w:space="0" w:color="auto"/>
            <w:left w:val="none" w:sz="0" w:space="0" w:color="auto"/>
            <w:bottom w:val="none" w:sz="0" w:space="0" w:color="auto"/>
            <w:right w:val="none" w:sz="0" w:space="0" w:color="auto"/>
          </w:divBdr>
        </w:div>
      </w:divsChild>
    </w:div>
    <w:div w:id="1614903831">
      <w:bodyDiv w:val="1"/>
      <w:marLeft w:val="0"/>
      <w:marRight w:val="0"/>
      <w:marTop w:val="0"/>
      <w:marBottom w:val="0"/>
      <w:divBdr>
        <w:top w:val="none" w:sz="0" w:space="0" w:color="auto"/>
        <w:left w:val="none" w:sz="0" w:space="0" w:color="auto"/>
        <w:bottom w:val="none" w:sz="0" w:space="0" w:color="auto"/>
        <w:right w:val="none" w:sz="0" w:space="0" w:color="auto"/>
      </w:divBdr>
    </w:div>
    <w:div w:id="1618216426">
      <w:bodyDiv w:val="1"/>
      <w:marLeft w:val="0"/>
      <w:marRight w:val="0"/>
      <w:marTop w:val="0"/>
      <w:marBottom w:val="0"/>
      <w:divBdr>
        <w:top w:val="none" w:sz="0" w:space="0" w:color="auto"/>
        <w:left w:val="none" w:sz="0" w:space="0" w:color="auto"/>
        <w:bottom w:val="none" w:sz="0" w:space="0" w:color="auto"/>
        <w:right w:val="none" w:sz="0" w:space="0" w:color="auto"/>
      </w:divBdr>
    </w:div>
    <w:div w:id="1649897786">
      <w:bodyDiv w:val="1"/>
      <w:marLeft w:val="0"/>
      <w:marRight w:val="0"/>
      <w:marTop w:val="0"/>
      <w:marBottom w:val="0"/>
      <w:divBdr>
        <w:top w:val="none" w:sz="0" w:space="0" w:color="auto"/>
        <w:left w:val="none" w:sz="0" w:space="0" w:color="auto"/>
        <w:bottom w:val="none" w:sz="0" w:space="0" w:color="auto"/>
        <w:right w:val="none" w:sz="0" w:space="0" w:color="auto"/>
      </w:divBdr>
      <w:divsChild>
        <w:div w:id="27805116">
          <w:marLeft w:val="0"/>
          <w:marRight w:val="0"/>
          <w:marTop w:val="0"/>
          <w:marBottom w:val="0"/>
          <w:divBdr>
            <w:top w:val="none" w:sz="0" w:space="0" w:color="auto"/>
            <w:left w:val="none" w:sz="0" w:space="0" w:color="auto"/>
            <w:bottom w:val="none" w:sz="0" w:space="0" w:color="auto"/>
            <w:right w:val="none" w:sz="0" w:space="0" w:color="auto"/>
          </w:divBdr>
        </w:div>
      </w:divsChild>
    </w:div>
    <w:div w:id="1715500777">
      <w:bodyDiv w:val="1"/>
      <w:marLeft w:val="0"/>
      <w:marRight w:val="0"/>
      <w:marTop w:val="0"/>
      <w:marBottom w:val="0"/>
      <w:divBdr>
        <w:top w:val="none" w:sz="0" w:space="0" w:color="auto"/>
        <w:left w:val="none" w:sz="0" w:space="0" w:color="auto"/>
        <w:bottom w:val="none" w:sz="0" w:space="0" w:color="auto"/>
        <w:right w:val="none" w:sz="0" w:space="0" w:color="auto"/>
      </w:divBdr>
    </w:div>
    <w:div w:id="1727143268">
      <w:bodyDiv w:val="1"/>
      <w:marLeft w:val="0"/>
      <w:marRight w:val="0"/>
      <w:marTop w:val="0"/>
      <w:marBottom w:val="0"/>
      <w:divBdr>
        <w:top w:val="none" w:sz="0" w:space="0" w:color="auto"/>
        <w:left w:val="none" w:sz="0" w:space="0" w:color="auto"/>
        <w:bottom w:val="none" w:sz="0" w:space="0" w:color="auto"/>
        <w:right w:val="none" w:sz="0" w:space="0" w:color="auto"/>
      </w:divBdr>
    </w:div>
    <w:div w:id="1734624606">
      <w:bodyDiv w:val="1"/>
      <w:marLeft w:val="0"/>
      <w:marRight w:val="0"/>
      <w:marTop w:val="0"/>
      <w:marBottom w:val="0"/>
      <w:divBdr>
        <w:top w:val="none" w:sz="0" w:space="0" w:color="auto"/>
        <w:left w:val="none" w:sz="0" w:space="0" w:color="auto"/>
        <w:bottom w:val="none" w:sz="0" w:space="0" w:color="auto"/>
        <w:right w:val="none" w:sz="0" w:space="0" w:color="auto"/>
      </w:divBdr>
      <w:divsChild>
        <w:div w:id="2087529687">
          <w:marLeft w:val="0"/>
          <w:marRight w:val="0"/>
          <w:marTop w:val="0"/>
          <w:marBottom w:val="0"/>
          <w:divBdr>
            <w:top w:val="none" w:sz="0" w:space="0" w:color="auto"/>
            <w:left w:val="none" w:sz="0" w:space="0" w:color="auto"/>
            <w:bottom w:val="none" w:sz="0" w:space="0" w:color="auto"/>
            <w:right w:val="none" w:sz="0" w:space="0" w:color="auto"/>
          </w:divBdr>
        </w:div>
        <w:div w:id="1078210402">
          <w:marLeft w:val="0"/>
          <w:marRight w:val="0"/>
          <w:marTop w:val="0"/>
          <w:marBottom w:val="0"/>
          <w:divBdr>
            <w:top w:val="none" w:sz="0" w:space="0" w:color="auto"/>
            <w:left w:val="none" w:sz="0" w:space="0" w:color="auto"/>
            <w:bottom w:val="none" w:sz="0" w:space="0" w:color="auto"/>
            <w:right w:val="none" w:sz="0" w:space="0" w:color="auto"/>
          </w:divBdr>
        </w:div>
      </w:divsChild>
    </w:div>
    <w:div w:id="1758362985">
      <w:bodyDiv w:val="1"/>
      <w:marLeft w:val="0"/>
      <w:marRight w:val="0"/>
      <w:marTop w:val="0"/>
      <w:marBottom w:val="0"/>
      <w:divBdr>
        <w:top w:val="none" w:sz="0" w:space="0" w:color="auto"/>
        <w:left w:val="none" w:sz="0" w:space="0" w:color="auto"/>
        <w:bottom w:val="none" w:sz="0" w:space="0" w:color="auto"/>
        <w:right w:val="none" w:sz="0" w:space="0" w:color="auto"/>
      </w:divBdr>
    </w:div>
    <w:div w:id="1778062710">
      <w:bodyDiv w:val="1"/>
      <w:marLeft w:val="0"/>
      <w:marRight w:val="0"/>
      <w:marTop w:val="0"/>
      <w:marBottom w:val="0"/>
      <w:divBdr>
        <w:top w:val="none" w:sz="0" w:space="0" w:color="auto"/>
        <w:left w:val="none" w:sz="0" w:space="0" w:color="auto"/>
        <w:bottom w:val="none" w:sz="0" w:space="0" w:color="auto"/>
        <w:right w:val="none" w:sz="0" w:space="0" w:color="auto"/>
      </w:divBdr>
    </w:div>
    <w:div w:id="1803959485">
      <w:bodyDiv w:val="1"/>
      <w:marLeft w:val="0"/>
      <w:marRight w:val="0"/>
      <w:marTop w:val="0"/>
      <w:marBottom w:val="0"/>
      <w:divBdr>
        <w:top w:val="none" w:sz="0" w:space="0" w:color="auto"/>
        <w:left w:val="none" w:sz="0" w:space="0" w:color="auto"/>
        <w:bottom w:val="none" w:sz="0" w:space="0" w:color="auto"/>
        <w:right w:val="none" w:sz="0" w:space="0" w:color="auto"/>
      </w:divBdr>
    </w:div>
    <w:div w:id="1813910189">
      <w:bodyDiv w:val="1"/>
      <w:marLeft w:val="0"/>
      <w:marRight w:val="0"/>
      <w:marTop w:val="0"/>
      <w:marBottom w:val="0"/>
      <w:divBdr>
        <w:top w:val="none" w:sz="0" w:space="0" w:color="auto"/>
        <w:left w:val="none" w:sz="0" w:space="0" w:color="auto"/>
        <w:bottom w:val="none" w:sz="0" w:space="0" w:color="auto"/>
        <w:right w:val="none" w:sz="0" w:space="0" w:color="auto"/>
      </w:divBdr>
    </w:div>
    <w:div w:id="1817843708">
      <w:bodyDiv w:val="1"/>
      <w:marLeft w:val="0"/>
      <w:marRight w:val="0"/>
      <w:marTop w:val="0"/>
      <w:marBottom w:val="0"/>
      <w:divBdr>
        <w:top w:val="none" w:sz="0" w:space="0" w:color="auto"/>
        <w:left w:val="none" w:sz="0" w:space="0" w:color="auto"/>
        <w:bottom w:val="none" w:sz="0" w:space="0" w:color="auto"/>
        <w:right w:val="none" w:sz="0" w:space="0" w:color="auto"/>
      </w:divBdr>
    </w:div>
    <w:div w:id="1849127297">
      <w:bodyDiv w:val="1"/>
      <w:marLeft w:val="0"/>
      <w:marRight w:val="0"/>
      <w:marTop w:val="0"/>
      <w:marBottom w:val="0"/>
      <w:divBdr>
        <w:top w:val="none" w:sz="0" w:space="0" w:color="auto"/>
        <w:left w:val="none" w:sz="0" w:space="0" w:color="auto"/>
        <w:bottom w:val="none" w:sz="0" w:space="0" w:color="auto"/>
        <w:right w:val="none" w:sz="0" w:space="0" w:color="auto"/>
      </w:divBdr>
    </w:div>
    <w:div w:id="1885365585">
      <w:bodyDiv w:val="1"/>
      <w:marLeft w:val="0"/>
      <w:marRight w:val="0"/>
      <w:marTop w:val="0"/>
      <w:marBottom w:val="0"/>
      <w:divBdr>
        <w:top w:val="none" w:sz="0" w:space="0" w:color="auto"/>
        <w:left w:val="none" w:sz="0" w:space="0" w:color="auto"/>
        <w:bottom w:val="none" w:sz="0" w:space="0" w:color="auto"/>
        <w:right w:val="none" w:sz="0" w:space="0" w:color="auto"/>
      </w:divBdr>
    </w:div>
    <w:div w:id="1888296906">
      <w:bodyDiv w:val="1"/>
      <w:marLeft w:val="0"/>
      <w:marRight w:val="0"/>
      <w:marTop w:val="0"/>
      <w:marBottom w:val="0"/>
      <w:divBdr>
        <w:top w:val="none" w:sz="0" w:space="0" w:color="auto"/>
        <w:left w:val="none" w:sz="0" w:space="0" w:color="auto"/>
        <w:bottom w:val="none" w:sz="0" w:space="0" w:color="auto"/>
        <w:right w:val="none" w:sz="0" w:space="0" w:color="auto"/>
      </w:divBdr>
    </w:div>
    <w:div w:id="1920091337">
      <w:bodyDiv w:val="1"/>
      <w:marLeft w:val="0"/>
      <w:marRight w:val="0"/>
      <w:marTop w:val="0"/>
      <w:marBottom w:val="0"/>
      <w:divBdr>
        <w:top w:val="none" w:sz="0" w:space="0" w:color="auto"/>
        <w:left w:val="none" w:sz="0" w:space="0" w:color="auto"/>
        <w:bottom w:val="none" w:sz="0" w:space="0" w:color="auto"/>
        <w:right w:val="none" w:sz="0" w:space="0" w:color="auto"/>
      </w:divBdr>
    </w:div>
    <w:div w:id="1992441610">
      <w:bodyDiv w:val="1"/>
      <w:marLeft w:val="0"/>
      <w:marRight w:val="0"/>
      <w:marTop w:val="0"/>
      <w:marBottom w:val="0"/>
      <w:divBdr>
        <w:top w:val="none" w:sz="0" w:space="0" w:color="auto"/>
        <w:left w:val="none" w:sz="0" w:space="0" w:color="auto"/>
        <w:bottom w:val="none" w:sz="0" w:space="0" w:color="auto"/>
        <w:right w:val="none" w:sz="0" w:space="0" w:color="auto"/>
      </w:divBdr>
    </w:div>
    <w:div w:id="1992907184">
      <w:bodyDiv w:val="1"/>
      <w:marLeft w:val="0"/>
      <w:marRight w:val="0"/>
      <w:marTop w:val="0"/>
      <w:marBottom w:val="0"/>
      <w:divBdr>
        <w:top w:val="none" w:sz="0" w:space="0" w:color="auto"/>
        <w:left w:val="none" w:sz="0" w:space="0" w:color="auto"/>
        <w:bottom w:val="none" w:sz="0" w:space="0" w:color="auto"/>
        <w:right w:val="none" w:sz="0" w:space="0" w:color="auto"/>
      </w:divBdr>
    </w:div>
    <w:div w:id="2004116757">
      <w:bodyDiv w:val="1"/>
      <w:marLeft w:val="0"/>
      <w:marRight w:val="0"/>
      <w:marTop w:val="0"/>
      <w:marBottom w:val="0"/>
      <w:divBdr>
        <w:top w:val="none" w:sz="0" w:space="0" w:color="auto"/>
        <w:left w:val="none" w:sz="0" w:space="0" w:color="auto"/>
        <w:bottom w:val="none" w:sz="0" w:space="0" w:color="auto"/>
        <w:right w:val="none" w:sz="0" w:space="0" w:color="auto"/>
      </w:divBdr>
    </w:div>
    <w:div w:id="2012095947">
      <w:bodyDiv w:val="1"/>
      <w:marLeft w:val="0"/>
      <w:marRight w:val="0"/>
      <w:marTop w:val="0"/>
      <w:marBottom w:val="0"/>
      <w:divBdr>
        <w:top w:val="none" w:sz="0" w:space="0" w:color="auto"/>
        <w:left w:val="none" w:sz="0" w:space="0" w:color="auto"/>
        <w:bottom w:val="none" w:sz="0" w:space="0" w:color="auto"/>
        <w:right w:val="none" w:sz="0" w:space="0" w:color="auto"/>
      </w:divBdr>
    </w:div>
    <w:div w:id="2083677724">
      <w:bodyDiv w:val="1"/>
      <w:marLeft w:val="0"/>
      <w:marRight w:val="0"/>
      <w:marTop w:val="0"/>
      <w:marBottom w:val="0"/>
      <w:divBdr>
        <w:top w:val="none" w:sz="0" w:space="0" w:color="auto"/>
        <w:left w:val="none" w:sz="0" w:space="0" w:color="auto"/>
        <w:bottom w:val="none" w:sz="0" w:space="0" w:color="auto"/>
        <w:right w:val="none" w:sz="0" w:space="0" w:color="auto"/>
      </w:divBdr>
    </w:div>
    <w:div w:id="2085255687">
      <w:bodyDiv w:val="1"/>
      <w:marLeft w:val="0"/>
      <w:marRight w:val="0"/>
      <w:marTop w:val="0"/>
      <w:marBottom w:val="0"/>
      <w:divBdr>
        <w:top w:val="none" w:sz="0" w:space="0" w:color="auto"/>
        <w:left w:val="none" w:sz="0" w:space="0" w:color="auto"/>
        <w:bottom w:val="none" w:sz="0" w:space="0" w:color="auto"/>
        <w:right w:val="none" w:sz="0" w:space="0" w:color="auto"/>
      </w:divBdr>
    </w:div>
    <w:div w:id="2105107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1000.com/work/citation?ids=462788&amp;pre=&amp;suf=&amp;sa=0" TargetMode="External"/><Relationship Id="rId13" Type="http://schemas.openxmlformats.org/officeDocument/2006/relationships/hyperlink" Target="http://f1000.com/work/citation?ids=463493&amp;pre=&amp;suf=&amp;sa=0"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f1000.com/work/citation?ids=23986&amp;pre=&amp;suf=&amp;sa=0" TargetMode="External"/><Relationship Id="rId12" Type="http://schemas.openxmlformats.org/officeDocument/2006/relationships/hyperlink" Target="http://f1000.com/work/citation?ids=4081215&amp;pre=&amp;suf=&amp;sa=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f1000.com/work/citation?ids=316451&amp;pre=&amp;suf=&amp;sa=0" TargetMode="External"/><Relationship Id="rId5" Type="http://schemas.openxmlformats.org/officeDocument/2006/relationships/footnotes" Target="footnotes.xml"/><Relationship Id="rId15" Type="http://schemas.openxmlformats.org/officeDocument/2006/relationships/hyperlink" Target="http://f1000.com/work/citation?ids=111772&amp;pre=&amp;suf=&amp;sa=0" TargetMode="External"/><Relationship Id="rId10" Type="http://schemas.openxmlformats.org/officeDocument/2006/relationships/hyperlink" Target="http://fantom.gsc.riken.jp/5/suppl/Alam_et_al_20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1000.com/work/citation?ids=3419764&amp;pre=&amp;suf=&amp;sa=0" TargetMode="External"/><Relationship Id="rId14" Type="http://schemas.openxmlformats.org/officeDocument/2006/relationships/hyperlink" Target="http://f1000.com/work/citation?ids=4081215&amp;pre=&amp;suf=&amp;s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F3434-9E04-8549-BB3C-8ECAD374E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1469</TotalTime>
  <Pages>5</Pages>
  <Words>1233</Words>
  <Characters>7030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Michiel</cp:lastModifiedBy>
  <cp:revision>290</cp:revision>
  <cp:lastPrinted>2019-08-06T10:05:00Z</cp:lastPrinted>
  <dcterms:created xsi:type="dcterms:W3CDTF">2019-08-06T10:05:00Z</dcterms:created>
  <dcterms:modified xsi:type="dcterms:W3CDTF">2020-06-07T05:37:00Z</dcterms:modified>
</cp:coreProperties>
</file>