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2DC9B" w14:textId="36AB4EAE" w:rsidR="00472E3F" w:rsidRPr="00EB4D6A" w:rsidRDefault="008D31E3" w:rsidP="002E14D7">
      <w:pPr>
        <w:spacing w:line="480" w:lineRule="auto"/>
        <w:rPr>
          <w:rFonts w:asciiTheme="majorBidi" w:hAnsiTheme="majorBidi" w:cstheme="majorBidi"/>
          <w:b/>
          <w:bCs/>
        </w:rPr>
      </w:pPr>
      <w:r w:rsidRPr="00EB4D6A">
        <w:rPr>
          <w:rFonts w:asciiTheme="majorBidi" w:hAnsiTheme="majorBidi" w:cstheme="majorBidi"/>
          <w:b/>
          <w:bCs/>
        </w:rPr>
        <w:t>Supplementary material</w:t>
      </w:r>
    </w:p>
    <w:p w14:paraId="6BB7BEE3" w14:textId="77777777" w:rsidR="001F47A0" w:rsidRPr="001F47A0" w:rsidRDefault="001F47A0" w:rsidP="001F47A0">
      <w:pPr>
        <w:tabs>
          <w:tab w:val="left" w:pos="0"/>
        </w:tabs>
        <w:spacing w:before="100" w:beforeAutospacing="1" w:after="100" w:afterAutospacing="1" w:line="360" w:lineRule="auto"/>
        <w:jc w:val="both"/>
        <w:outlineLvl w:val="0"/>
        <w:rPr>
          <w:rFonts w:ascii="Times New Roman" w:eastAsia="Times New Roman" w:hAnsi="Times New Roman" w:cs="Times New Roman"/>
          <w:b/>
          <w:bCs/>
          <w:kern w:val="36"/>
        </w:rPr>
      </w:pPr>
      <w:r w:rsidRPr="001F47A0">
        <w:rPr>
          <w:rFonts w:ascii="Times New Roman" w:eastAsia="Times New Roman" w:hAnsi="Times New Roman" w:cs="Times New Roman"/>
          <w:b/>
          <w:bCs/>
          <w:kern w:val="36"/>
        </w:rPr>
        <w:t xml:space="preserve">High plasma </w:t>
      </w:r>
      <w:proofErr w:type="gramStart"/>
      <w:r w:rsidRPr="001F47A0">
        <w:rPr>
          <w:rFonts w:ascii="Times New Roman" w:eastAsia="Times New Roman" w:hAnsi="Times New Roman" w:cs="Times New Roman"/>
          <w:b/>
          <w:bCs/>
          <w:kern w:val="36"/>
        </w:rPr>
        <w:t>Salivary</w:t>
      </w:r>
      <w:proofErr w:type="gramEnd"/>
      <w:r w:rsidRPr="001F47A0">
        <w:rPr>
          <w:rFonts w:ascii="Times New Roman" w:eastAsia="Times New Roman" w:hAnsi="Times New Roman" w:cs="Times New Roman"/>
          <w:b/>
          <w:bCs/>
          <w:kern w:val="36"/>
        </w:rPr>
        <w:t xml:space="preserve"> α-amylase, but not high AMY1 copy number, associated with low obesity rate in Qatari adults: cross-sectional study </w:t>
      </w:r>
    </w:p>
    <w:p w14:paraId="329FFB54" w14:textId="77777777" w:rsidR="002E14D7" w:rsidRPr="00F81A55" w:rsidRDefault="002E14D7" w:rsidP="002E14D7">
      <w:pPr>
        <w:tabs>
          <w:tab w:val="left" w:pos="0"/>
        </w:tabs>
        <w:spacing w:line="360" w:lineRule="auto"/>
        <w:rPr>
          <w:rFonts w:asciiTheme="majorBidi" w:hAnsiTheme="majorBidi" w:cstheme="majorBidi"/>
          <w:color w:val="000000" w:themeColor="text1"/>
        </w:rPr>
      </w:pPr>
    </w:p>
    <w:p w14:paraId="3E7981AF" w14:textId="77777777" w:rsidR="002E14D7" w:rsidRPr="00F81A55" w:rsidRDefault="002E14D7" w:rsidP="002E14D7">
      <w:pPr>
        <w:tabs>
          <w:tab w:val="left" w:pos="0"/>
        </w:tabs>
        <w:spacing w:line="360" w:lineRule="auto"/>
        <w:rPr>
          <w:rFonts w:asciiTheme="majorBidi" w:hAnsiTheme="majorBidi" w:cstheme="majorBidi"/>
          <w:color w:val="000000" w:themeColor="text1"/>
          <w:vertAlign w:val="superscript"/>
        </w:rPr>
      </w:pPr>
      <w:proofErr w:type="spellStart"/>
      <w:r w:rsidRPr="00F81A55">
        <w:rPr>
          <w:rFonts w:asciiTheme="majorBidi" w:hAnsiTheme="majorBidi" w:cstheme="majorBidi"/>
          <w:color w:val="000000" w:themeColor="text1"/>
        </w:rPr>
        <w:t>N</w:t>
      </w:r>
      <w:r>
        <w:rPr>
          <w:rFonts w:asciiTheme="majorBidi" w:hAnsiTheme="majorBidi" w:cstheme="majorBidi"/>
          <w:color w:val="000000" w:themeColor="text1"/>
        </w:rPr>
        <w:t>a</w:t>
      </w:r>
      <w:r w:rsidRPr="00F81A55">
        <w:rPr>
          <w:rFonts w:asciiTheme="majorBidi" w:hAnsiTheme="majorBidi" w:cstheme="majorBidi"/>
          <w:color w:val="000000" w:themeColor="text1"/>
        </w:rPr>
        <w:t>yla</w:t>
      </w:r>
      <w:proofErr w:type="spellEnd"/>
      <w:r w:rsidRPr="00F81A55">
        <w:rPr>
          <w:rFonts w:asciiTheme="majorBidi" w:hAnsiTheme="majorBidi" w:cstheme="majorBidi"/>
          <w:color w:val="000000" w:themeColor="text1"/>
        </w:rPr>
        <w:t xml:space="preserve"> </w:t>
      </w:r>
      <w:r>
        <w:rPr>
          <w:rFonts w:asciiTheme="majorBidi" w:hAnsiTheme="majorBidi" w:cstheme="majorBidi"/>
          <w:color w:val="000000" w:themeColor="text1"/>
        </w:rPr>
        <w:t xml:space="preserve">S. </w:t>
      </w:r>
      <w:r w:rsidRPr="00F81A55">
        <w:rPr>
          <w:rFonts w:asciiTheme="majorBidi" w:hAnsiTheme="majorBidi" w:cstheme="majorBidi"/>
          <w:color w:val="000000" w:themeColor="text1"/>
        </w:rPr>
        <w:t>Al-Akl</w:t>
      </w:r>
      <w:r w:rsidRPr="00F81A55">
        <w:rPr>
          <w:rFonts w:asciiTheme="majorBidi" w:hAnsiTheme="majorBidi" w:cstheme="majorBidi"/>
          <w:color w:val="000000" w:themeColor="text1"/>
          <w:vertAlign w:val="superscript"/>
        </w:rPr>
        <w:t>1</w:t>
      </w:r>
      <w:r w:rsidRPr="00F81A55">
        <w:rPr>
          <w:rFonts w:asciiTheme="majorBidi" w:hAnsiTheme="majorBidi" w:cstheme="majorBidi"/>
          <w:color w:val="000000" w:themeColor="text1"/>
        </w:rPr>
        <w:t>, Richard I. Thompson</w:t>
      </w:r>
      <w:r w:rsidRPr="00F81A55">
        <w:rPr>
          <w:rFonts w:asciiTheme="majorBidi" w:hAnsiTheme="majorBidi" w:cstheme="majorBidi"/>
          <w:color w:val="000000" w:themeColor="text1"/>
          <w:vertAlign w:val="superscript"/>
        </w:rPr>
        <w:t>1</w:t>
      </w:r>
      <w:r w:rsidRPr="00F81A55">
        <w:rPr>
          <w:rFonts w:asciiTheme="majorBidi" w:hAnsiTheme="majorBidi" w:cstheme="majorBidi"/>
          <w:color w:val="000000" w:themeColor="text1"/>
        </w:rPr>
        <w:t>, Abdelilah Arredouani</w:t>
      </w:r>
      <w:r w:rsidRPr="00F81A55">
        <w:rPr>
          <w:rFonts w:asciiTheme="majorBidi" w:hAnsiTheme="majorBidi" w:cstheme="majorBidi"/>
          <w:color w:val="000000" w:themeColor="text1"/>
          <w:vertAlign w:val="superscript"/>
        </w:rPr>
        <w:t>1*</w:t>
      </w:r>
    </w:p>
    <w:p w14:paraId="5670EAF1" w14:textId="77777777" w:rsidR="002E14D7" w:rsidRPr="00F81A55" w:rsidRDefault="002E14D7" w:rsidP="002E14D7">
      <w:pPr>
        <w:tabs>
          <w:tab w:val="left" w:pos="0"/>
        </w:tabs>
        <w:spacing w:line="360" w:lineRule="auto"/>
        <w:rPr>
          <w:rFonts w:asciiTheme="majorBidi" w:hAnsiTheme="majorBidi" w:cstheme="majorBidi"/>
          <w:color w:val="000000" w:themeColor="text1"/>
          <w:vertAlign w:val="superscript"/>
        </w:rPr>
      </w:pPr>
    </w:p>
    <w:p w14:paraId="44F20D9F" w14:textId="77777777" w:rsidR="002E14D7" w:rsidRPr="00F81A55" w:rsidRDefault="002E14D7" w:rsidP="002E14D7">
      <w:pPr>
        <w:pStyle w:val="ListParagraph"/>
        <w:tabs>
          <w:tab w:val="left" w:pos="0"/>
          <w:tab w:val="left" w:pos="8931"/>
          <w:tab w:val="left" w:pos="9072"/>
          <w:tab w:val="left" w:pos="9214"/>
          <w:tab w:val="left" w:pos="9360"/>
        </w:tabs>
        <w:bidi/>
        <w:spacing w:line="360" w:lineRule="auto"/>
        <w:jc w:val="right"/>
        <w:rPr>
          <w:rFonts w:asciiTheme="majorBidi" w:hAnsiTheme="majorBidi" w:cstheme="majorBidi"/>
          <w:color w:val="000000" w:themeColor="text1"/>
        </w:rPr>
      </w:pPr>
      <w:r w:rsidRPr="00F81A55">
        <w:rPr>
          <w:rFonts w:asciiTheme="majorBidi" w:hAnsiTheme="majorBidi" w:cstheme="majorBidi"/>
          <w:color w:val="000000" w:themeColor="text1"/>
          <w:vertAlign w:val="superscript"/>
        </w:rPr>
        <w:t>1</w:t>
      </w:r>
      <w:r w:rsidRPr="00F81A55">
        <w:rPr>
          <w:rFonts w:asciiTheme="majorBidi" w:hAnsiTheme="majorBidi" w:cstheme="majorBidi"/>
          <w:color w:val="000000" w:themeColor="text1"/>
        </w:rPr>
        <w:t xml:space="preserve"> Qatar Biomedical Research Institute/ Hamad Ben Khalifa University, </w:t>
      </w:r>
      <w:r>
        <w:rPr>
          <w:rFonts w:asciiTheme="majorBidi" w:hAnsiTheme="majorBidi" w:cstheme="majorBidi"/>
          <w:color w:val="000000" w:themeColor="text1"/>
        </w:rPr>
        <w:t xml:space="preserve">Education City, </w:t>
      </w:r>
      <w:r w:rsidRPr="00F81A55">
        <w:rPr>
          <w:rFonts w:asciiTheme="majorBidi" w:hAnsiTheme="majorBidi" w:cstheme="majorBidi"/>
          <w:color w:val="000000" w:themeColor="text1"/>
        </w:rPr>
        <w:t>Doha, Qata</w:t>
      </w:r>
      <w:r>
        <w:rPr>
          <w:rFonts w:asciiTheme="majorBidi" w:hAnsiTheme="majorBidi" w:cstheme="majorBidi"/>
          <w:color w:val="000000" w:themeColor="text1"/>
        </w:rPr>
        <w:t>r</w:t>
      </w:r>
    </w:p>
    <w:p w14:paraId="15016016" w14:textId="77777777" w:rsidR="002E14D7" w:rsidRPr="00F81A55" w:rsidRDefault="002E14D7" w:rsidP="002E14D7">
      <w:pPr>
        <w:pStyle w:val="ListParagraph"/>
        <w:tabs>
          <w:tab w:val="left" w:pos="0"/>
        </w:tabs>
        <w:bidi/>
        <w:spacing w:line="360" w:lineRule="auto"/>
        <w:rPr>
          <w:rFonts w:asciiTheme="majorBidi" w:hAnsiTheme="majorBidi" w:cstheme="majorBidi"/>
          <w:color w:val="000000" w:themeColor="text1"/>
        </w:rPr>
      </w:pPr>
    </w:p>
    <w:p w14:paraId="70CFDEDE" w14:textId="77777777" w:rsidR="002E14D7" w:rsidRPr="00F81A55" w:rsidRDefault="002E14D7" w:rsidP="002E14D7">
      <w:pPr>
        <w:tabs>
          <w:tab w:val="left" w:pos="0"/>
        </w:tabs>
        <w:bidi/>
        <w:spacing w:line="360" w:lineRule="auto"/>
        <w:rPr>
          <w:rStyle w:val="Hyperlink"/>
          <w:rFonts w:asciiTheme="majorBidi" w:hAnsiTheme="majorBidi" w:cstheme="majorBidi"/>
          <w:color w:val="000000" w:themeColor="text1"/>
        </w:rPr>
      </w:pPr>
    </w:p>
    <w:p w14:paraId="71A5D14C" w14:textId="77777777" w:rsidR="002E14D7" w:rsidRPr="00F81A55" w:rsidRDefault="002E14D7" w:rsidP="002E14D7">
      <w:pPr>
        <w:pStyle w:val="ListParagraph"/>
        <w:tabs>
          <w:tab w:val="left" w:pos="0"/>
        </w:tabs>
        <w:bidi/>
        <w:spacing w:line="360" w:lineRule="auto"/>
        <w:rPr>
          <w:rStyle w:val="Hyperlink"/>
          <w:rFonts w:asciiTheme="majorBidi" w:hAnsiTheme="majorBidi" w:cstheme="majorBidi"/>
          <w:color w:val="000000" w:themeColor="text1"/>
        </w:rPr>
      </w:pPr>
    </w:p>
    <w:p w14:paraId="255D9B6F" w14:textId="77777777" w:rsidR="002E14D7" w:rsidRDefault="002E14D7" w:rsidP="0017672D">
      <w:pPr>
        <w:spacing w:line="480" w:lineRule="auto"/>
        <w:rPr>
          <w:rFonts w:asciiTheme="majorBidi" w:hAnsiTheme="majorBidi" w:cstheme="majorBidi"/>
          <w:b/>
          <w:bCs/>
          <w:color w:val="000000" w:themeColor="text1"/>
          <w:w w:val="110"/>
        </w:rPr>
      </w:pPr>
    </w:p>
    <w:p w14:paraId="66A13B2B" w14:textId="77777777" w:rsidR="002E14D7" w:rsidRDefault="002E14D7" w:rsidP="0017672D">
      <w:pPr>
        <w:spacing w:line="480" w:lineRule="auto"/>
        <w:rPr>
          <w:rFonts w:asciiTheme="majorBidi" w:hAnsiTheme="majorBidi" w:cstheme="majorBidi"/>
          <w:b/>
          <w:bCs/>
          <w:color w:val="000000" w:themeColor="text1"/>
          <w:w w:val="110"/>
        </w:rPr>
      </w:pPr>
    </w:p>
    <w:p w14:paraId="7362D044" w14:textId="77777777" w:rsidR="002E14D7" w:rsidRDefault="002E14D7" w:rsidP="0017672D">
      <w:pPr>
        <w:spacing w:line="480" w:lineRule="auto"/>
        <w:rPr>
          <w:rFonts w:asciiTheme="majorBidi" w:hAnsiTheme="majorBidi" w:cstheme="majorBidi"/>
          <w:b/>
          <w:bCs/>
          <w:color w:val="000000" w:themeColor="text1"/>
          <w:w w:val="110"/>
        </w:rPr>
      </w:pPr>
    </w:p>
    <w:p w14:paraId="1D2115CA" w14:textId="77777777" w:rsidR="002E14D7" w:rsidRDefault="002E14D7" w:rsidP="0017672D">
      <w:pPr>
        <w:spacing w:line="480" w:lineRule="auto"/>
        <w:rPr>
          <w:rFonts w:asciiTheme="majorBidi" w:hAnsiTheme="majorBidi" w:cstheme="majorBidi"/>
          <w:b/>
          <w:bCs/>
          <w:color w:val="000000" w:themeColor="text1"/>
          <w:w w:val="110"/>
        </w:rPr>
      </w:pPr>
    </w:p>
    <w:p w14:paraId="54EE523C" w14:textId="77777777" w:rsidR="002E14D7" w:rsidRDefault="002E14D7" w:rsidP="0017672D">
      <w:pPr>
        <w:spacing w:line="480" w:lineRule="auto"/>
        <w:rPr>
          <w:rFonts w:asciiTheme="majorBidi" w:hAnsiTheme="majorBidi" w:cstheme="majorBidi"/>
          <w:b/>
          <w:bCs/>
          <w:color w:val="000000" w:themeColor="text1"/>
          <w:w w:val="110"/>
        </w:rPr>
      </w:pPr>
    </w:p>
    <w:p w14:paraId="00789273" w14:textId="77777777" w:rsidR="002E14D7" w:rsidRDefault="002E14D7" w:rsidP="0017672D">
      <w:pPr>
        <w:spacing w:line="480" w:lineRule="auto"/>
        <w:rPr>
          <w:rFonts w:asciiTheme="majorBidi" w:hAnsiTheme="majorBidi" w:cstheme="majorBidi"/>
          <w:b/>
          <w:bCs/>
          <w:color w:val="000000" w:themeColor="text1"/>
          <w:w w:val="110"/>
        </w:rPr>
      </w:pPr>
    </w:p>
    <w:p w14:paraId="37BC9A96" w14:textId="77777777" w:rsidR="002E14D7" w:rsidRDefault="002E14D7" w:rsidP="0017672D">
      <w:pPr>
        <w:spacing w:line="480" w:lineRule="auto"/>
        <w:rPr>
          <w:rFonts w:asciiTheme="majorBidi" w:hAnsiTheme="majorBidi" w:cstheme="majorBidi"/>
          <w:b/>
          <w:bCs/>
          <w:color w:val="000000" w:themeColor="text1"/>
          <w:w w:val="110"/>
        </w:rPr>
      </w:pPr>
    </w:p>
    <w:p w14:paraId="1D829D31" w14:textId="77777777" w:rsidR="002E14D7" w:rsidRDefault="002E14D7" w:rsidP="0017672D">
      <w:pPr>
        <w:spacing w:line="480" w:lineRule="auto"/>
        <w:rPr>
          <w:rFonts w:asciiTheme="majorBidi" w:hAnsiTheme="majorBidi" w:cstheme="majorBidi"/>
          <w:b/>
          <w:bCs/>
          <w:color w:val="000000" w:themeColor="text1"/>
          <w:w w:val="110"/>
        </w:rPr>
      </w:pPr>
    </w:p>
    <w:p w14:paraId="286EEE58" w14:textId="77777777" w:rsidR="002E14D7" w:rsidRDefault="002E14D7" w:rsidP="0017672D">
      <w:pPr>
        <w:spacing w:line="480" w:lineRule="auto"/>
        <w:rPr>
          <w:rFonts w:asciiTheme="majorBidi" w:hAnsiTheme="majorBidi" w:cstheme="majorBidi"/>
          <w:b/>
          <w:bCs/>
          <w:color w:val="000000" w:themeColor="text1"/>
          <w:w w:val="110"/>
        </w:rPr>
      </w:pPr>
    </w:p>
    <w:p w14:paraId="06560A6E" w14:textId="77777777" w:rsidR="002E14D7" w:rsidRDefault="002E14D7" w:rsidP="0017672D">
      <w:pPr>
        <w:spacing w:line="480" w:lineRule="auto"/>
        <w:rPr>
          <w:rFonts w:asciiTheme="majorBidi" w:hAnsiTheme="majorBidi" w:cstheme="majorBidi"/>
          <w:b/>
          <w:bCs/>
          <w:color w:val="000000" w:themeColor="text1"/>
          <w:w w:val="110"/>
        </w:rPr>
      </w:pPr>
    </w:p>
    <w:p w14:paraId="3D2058B1" w14:textId="77777777" w:rsidR="002E14D7" w:rsidRDefault="002E14D7" w:rsidP="0017672D">
      <w:pPr>
        <w:spacing w:line="480" w:lineRule="auto"/>
        <w:rPr>
          <w:rFonts w:asciiTheme="majorBidi" w:hAnsiTheme="majorBidi" w:cstheme="majorBidi"/>
          <w:b/>
          <w:bCs/>
          <w:color w:val="000000" w:themeColor="text1"/>
          <w:w w:val="110"/>
        </w:rPr>
      </w:pPr>
    </w:p>
    <w:p w14:paraId="5470D79E" w14:textId="77777777" w:rsidR="002E14D7" w:rsidRDefault="002E14D7" w:rsidP="0017672D">
      <w:pPr>
        <w:spacing w:line="480" w:lineRule="auto"/>
        <w:rPr>
          <w:rFonts w:asciiTheme="majorBidi" w:hAnsiTheme="majorBidi" w:cstheme="majorBidi"/>
          <w:b/>
          <w:bCs/>
          <w:color w:val="000000" w:themeColor="text1"/>
          <w:w w:val="110"/>
        </w:rPr>
      </w:pPr>
    </w:p>
    <w:p w14:paraId="6757143A" w14:textId="77777777" w:rsidR="002E14D7" w:rsidRDefault="002E14D7" w:rsidP="0017672D">
      <w:pPr>
        <w:spacing w:line="480" w:lineRule="auto"/>
        <w:rPr>
          <w:rFonts w:asciiTheme="majorBidi" w:hAnsiTheme="majorBidi" w:cstheme="majorBidi"/>
          <w:b/>
          <w:bCs/>
          <w:color w:val="000000" w:themeColor="text1"/>
          <w:w w:val="110"/>
        </w:rPr>
      </w:pPr>
    </w:p>
    <w:p w14:paraId="015067E7" w14:textId="77777777" w:rsidR="002E14D7" w:rsidRDefault="002E14D7" w:rsidP="0017672D">
      <w:pPr>
        <w:spacing w:line="480" w:lineRule="auto"/>
        <w:rPr>
          <w:rFonts w:asciiTheme="majorBidi" w:hAnsiTheme="majorBidi" w:cstheme="majorBidi"/>
          <w:b/>
          <w:bCs/>
          <w:color w:val="000000" w:themeColor="text1"/>
          <w:w w:val="110"/>
        </w:rPr>
      </w:pPr>
    </w:p>
    <w:p w14:paraId="11723E59" w14:textId="12AFE77D" w:rsidR="008D31E3" w:rsidRPr="00EB4D6A" w:rsidRDefault="008D31E3" w:rsidP="0017672D">
      <w:pPr>
        <w:spacing w:line="480" w:lineRule="auto"/>
        <w:rPr>
          <w:rFonts w:asciiTheme="majorBidi" w:hAnsiTheme="majorBidi" w:cstheme="majorBidi"/>
          <w:b/>
          <w:bCs/>
        </w:rPr>
      </w:pPr>
      <w:r w:rsidRPr="00EB4D6A">
        <w:rPr>
          <w:rFonts w:asciiTheme="majorBidi" w:hAnsiTheme="majorBidi" w:cstheme="majorBidi"/>
          <w:b/>
          <w:bCs/>
        </w:rPr>
        <w:lastRenderedPageBreak/>
        <w:t>Methods</w:t>
      </w:r>
    </w:p>
    <w:p w14:paraId="787AF0B3" w14:textId="77777777" w:rsidR="008D31E3" w:rsidRPr="00EB4D6A" w:rsidRDefault="008D31E3" w:rsidP="0017672D">
      <w:pPr>
        <w:spacing w:before="100" w:beforeAutospacing="1" w:after="100" w:afterAutospacing="1" w:line="480" w:lineRule="auto"/>
        <w:jc w:val="both"/>
        <w:rPr>
          <w:rFonts w:asciiTheme="majorBidi" w:hAnsiTheme="majorBidi" w:cstheme="majorBidi"/>
          <w:b/>
          <w:bCs/>
          <w:color w:val="000000" w:themeColor="text1"/>
        </w:rPr>
      </w:pPr>
      <w:r w:rsidRPr="00EB4D6A">
        <w:rPr>
          <w:rFonts w:asciiTheme="majorBidi" w:hAnsiTheme="majorBidi" w:cstheme="majorBidi"/>
          <w:b/>
          <w:bCs/>
          <w:color w:val="000000" w:themeColor="text1"/>
        </w:rPr>
        <w:t xml:space="preserve">Quantification of plasma </w:t>
      </w:r>
      <w:proofErr w:type="spellStart"/>
      <w:r w:rsidRPr="00EB4D6A">
        <w:rPr>
          <w:rFonts w:asciiTheme="majorBidi" w:hAnsiTheme="majorBidi" w:cstheme="majorBidi"/>
          <w:b/>
          <w:bCs/>
          <w:color w:val="000000" w:themeColor="text1"/>
        </w:rPr>
        <w:t>sAA</w:t>
      </w:r>
      <w:proofErr w:type="spellEnd"/>
      <w:r w:rsidRPr="00EB4D6A">
        <w:rPr>
          <w:rFonts w:asciiTheme="majorBidi" w:hAnsiTheme="majorBidi" w:cstheme="majorBidi"/>
          <w:b/>
          <w:bCs/>
          <w:color w:val="000000" w:themeColor="text1"/>
        </w:rPr>
        <w:t xml:space="preserve"> activity </w:t>
      </w:r>
    </w:p>
    <w:p w14:paraId="596758F9" w14:textId="3766A955" w:rsidR="008D31E3" w:rsidRDefault="008D31E3" w:rsidP="0017672D">
      <w:pPr>
        <w:spacing w:before="100" w:beforeAutospacing="1" w:after="100" w:afterAutospacing="1" w:line="480" w:lineRule="auto"/>
        <w:jc w:val="both"/>
        <w:rPr>
          <w:rFonts w:asciiTheme="majorBidi" w:hAnsiTheme="majorBidi" w:cstheme="majorBidi"/>
          <w:color w:val="000000" w:themeColor="text1"/>
        </w:rPr>
      </w:pPr>
      <w:r w:rsidRPr="00EB4D6A">
        <w:rPr>
          <w:rFonts w:asciiTheme="majorBidi" w:hAnsiTheme="majorBidi" w:cstheme="majorBidi"/>
          <w:color w:val="000000" w:themeColor="text1"/>
        </w:rPr>
        <w:t xml:space="preserve">The quantification of the plasma </w:t>
      </w:r>
      <w:proofErr w:type="spellStart"/>
      <w:r w:rsidRPr="00EB4D6A">
        <w:rPr>
          <w:rFonts w:asciiTheme="majorBidi" w:hAnsiTheme="majorBidi" w:cstheme="majorBidi"/>
          <w:color w:val="000000" w:themeColor="text1"/>
        </w:rPr>
        <w:t>sAA</w:t>
      </w:r>
      <w:proofErr w:type="spellEnd"/>
      <w:r w:rsidRPr="00EB4D6A">
        <w:rPr>
          <w:rFonts w:asciiTheme="majorBidi" w:hAnsiTheme="majorBidi" w:cstheme="majorBidi"/>
          <w:color w:val="000000" w:themeColor="text1"/>
        </w:rPr>
        <w:t xml:space="preserve"> activity (</w:t>
      </w:r>
      <w:proofErr w:type="spellStart"/>
      <w:r w:rsidRPr="00EB4D6A">
        <w:rPr>
          <w:rFonts w:asciiTheme="majorBidi" w:hAnsiTheme="majorBidi" w:cstheme="majorBidi"/>
          <w:color w:val="000000" w:themeColor="text1"/>
        </w:rPr>
        <w:t>psAAa</w:t>
      </w:r>
      <w:proofErr w:type="spellEnd"/>
      <w:r w:rsidRPr="00EB4D6A">
        <w:rPr>
          <w:rFonts w:asciiTheme="majorBidi" w:hAnsiTheme="majorBidi" w:cstheme="majorBidi"/>
          <w:color w:val="000000" w:themeColor="text1"/>
        </w:rPr>
        <w:t xml:space="preserve">) was estimated by an enzymatic colorimetric assay with an </w:t>
      </w:r>
      <w:proofErr w:type="spellStart"/>
      <w:r w:rsidRPr="00EB4D6A">
        <w:rPr>
          <w:rFonts w:asciiTheme="majorBidi" w:hAnsiTheme="majorBidi" w:cstheme="majorBidi"/>
          <w:color w:val="000000" w:themeColor="text1"/>
        </w:rPr>
        <w:t>autoanalyzer</w:t>
      </w:r>
      <w:proofErr w:type="spellEnd"/>
      <w:r w:rsidRPr="00EB4D6A">
        <w:rPr>
          <w:rFonts w:asciiTheme="majorBidi" w:hAnsiTheme="majorBidi" w:cstheme="majorBidi"/>
          <w:color w:val="000000" w:themeColor="text1"/>
        </w:rPr>
        <w:t xml:space="preserve"> (ARCHITECT c4000; kits # 6K22-30 and #7D58-21; ABBOTT laboratories, Bluff, Illinoi, USA). The procedure consists of two reactions to measure the enzymatic activities of the total α-amylase (</w:t>
      </w:r>
      <w:proofErr w:type="spellStart"/>
      <w:r w:rsidRPr="00EB4D6A">
        <w:rPr>
          <w:rFonts w:asciiTheme="majorBidi" w:hAnsiTheme="majorBidi" w:cstheme="majorBidi"/>
          <w:color w:val="000000" w:themeColor="text1"/>
        </w:rPr>
        <w:t>tAA</w:t>
      </w:r>
      <w:proofErr w:type="spellEnd"/>
      <w:r w:rsidRPr="00EB4D6A">
        <w:rPr>
          <w:rFonts w:asciiTheme="majorBidi" w:hAnsiTheme="majorBidi" w:cstheme="majorBidi"/>
          <w:color w:val="000000" w:themeColor="text1"/>
        </w:rPr>
        <w:t>) and the pancreatic α-amylase (</w:t>
      </w:r>
      <w:proofErr w:type="spellStart"/>
      <w:r w:rsidRPr="00EB4D6A">
        <w:rPr>
          <w:rFonts w:asciiTheme="majorBidi" w:hAnsiTheme="majorBidi" w:cstheme="majorBidi"/>
          <w:color w:val="000000" w:themeColor="text1"/>
        </w:rPr>
        <w:t>pAA</w:t>
      </w:r>
      <w:proofErr w:type="spellEnd"/>
      <w:r w:rsidRPr="00EB4D6A">
        <w:rPr>
          <w:rFonts w:asciiTheme="majorBidi" w:hAnsiTheme="majorBidi" w:cstheme="majorBidi"/>
          <w:color w:val="000000" w:themeColor="text1"/>
        </w:rPr>
        <w:t xml:space="preserve">). The activity of the </w:t>
      </w:r>
      <w:proofErr w:type="spellStart"/>
      <w:r w:rsidRPr="00EB4D6A">
        <w:rPr>
          <w:rFonts w:asciiTheme="majorBidi" w:hAnsiTheme="majorBidi" w:cstheme="majorBidi"/>
          <w:color w:val="000000" w:themeColor="text1"/>
        </w:rPr>
        <w:t>sAA</w:t>
      </w:r>
      <w:proofErr w:type="spellEnd"/>
      <w:r w:rsidRPr="00EB4D6A">
        <w:rPr>
          <w:rFonts w:asciiTheme="majorBidi" w:hAnsiTheme="majorBidi" w:cstheme="majorBidi"/>
          <w:color w:val="000000" w:themeColor="text1"/>
        </w:rPr>
        <w:t xml:space="preserve"> is obtained by subtracting the activity of the </w:t>
      </w:r>
      <w:proofErr w:type="spellStart"/>
      <w:r w:rsidRPr="00EB4D6A">
        <w:rPr>
          <w:rFonts w:asciiTheme="majorBidi" w:hAnsiTheme="majorBidi" w:cstheme="majorBidi"/>
          <w:color w:val="000000" w:themeColor="text1"/>
        </w:rPr>
        <w:t>pAA</w:t>
      </w:r>
      <w:proofErr w:type="spellEnd"/>
      <w:r w:rsidRPr="00EB4D6A">
        <w:rPr>
          <w:rFonts w:asciiTheme="majorBidi" w:hAnsiTheme="majorBidi" w:cstheme="majorBidi"/>
          <w:color w:val="000000" w:themeColor="text1"/>
        </w:rPr>
        <w:t xml:space="preserve"> from that of the </w:t>
      </w:r>
      <w:proofErr w:type="spellStart"/>
      <w:r w:rsidRPr="00EB4D6A">
        <w:rPr>
          <w:rFonts w:asciiTheme="majorBidi" w:hAnsiTheme="majorBidi" w:cstheme="majorBidi"/>
          <w:color w:val="000000" w:themeColor="text1"/>
        </w:rPr>
        <w:t>tAA</w:t>
      </w:r>
      <w:proofErr w:type="spellEnd"/>
      <w:r w:rsidRPr="00EB4D6A">
        <w:rPr>
          <w:rFonts w:asciiTheme="majorBidi" w:hAnsiTheme="majorBidi" w:cstheme="majorBidi"/>
          <w:color w:val="000000" w:themeColor="text1"/>
        </w:rPr>
        <w:t xml:space="preserve">.  To obtain the </w:t>
      </w:r>
      <w:proofErr w:type="spellStart"/>
      <w:r w:rsidRPr="00EB4D6A">
        <w:rPr>
          <w:rFonts w:asciiTheme="majorBidi" w:hAnsiTheme="majorBidi" w:cstheme="majorBidi"/>
          <w:color w:val="000000" w:themeColor="text1"/>
        </w:rPr>
        <w:t>pAA</w:t>
      </w:r>
      <w:proofErr w:type="spellEnd"/>
      <w:r w:rsidRPr="00EB4D6A">
        <w:rPr>
          <w:rFonts w:asciiTheme="majorBidi" w:hAnsiTheme="majorBidi" w:cstheme="majorBidi"/>
          <w:color w:val="000000" w:themeColor="text1"/>
        </w:rPr>
        <w:t xml:space="preserve"> activity the assay is performed in two successive steps (kit # 6K22-30). In the first step, the activity of the </w:t>
      </w:r>
      <w:proofErr w:type="spellStart"/>
      <w:r w:rsidRPr="00EB4D6A">
        <w:rPr>
          <w:rFonts w:asciiTheme="majorBidi" w:hAnsiTheme="majorBidi" w:cstheme="majorBidi"/>
          <w:color w:val="000000" w:themeColor="text1"/>
        </w:rPr>
        <w:t>sAA</w:t>
      </w:r>
      <w:proofErr w:type="spellEnd"/>
      <w:r w:rsidRPr="00EB4D6A">
        <w:rPr>
          <w:rFonts w:asciiTheme="majorBidi" w:hAnsiTheme="majorBidi" w:cstheme="majorBidi"/>
          <w:color w:val="000000" w:themeColor="text1"/>
        </w:rPr>
        <w:t xml:space="preserve"> is inhibited using two different monoclonal antibodies with no effect on the </w:t>
      </w:r>
      <w:proofErr w:type="spellStart"/>
      <w:r w:rsidRPr="00EB4D6A">
        <w:rPr>
          <w:rFonts w:asciiTheme="majorBidi" w:hAnsiTheme="majorBidi" w:cstheme="majorBidi"/>
          <w:color w:val="000000" w:themeColor="text1"/>
        </w:rPr>
        <w:t>pAA</w:t>
      </w:r>
      <w:proofErr w:type="spellEnd"/>
      <w:r w:rsidRPr="00EB4D6A">
        <w:rPr>
          <w:rFonts w:asciiTheme="majorBidi" w:hAnsiTheme="majorBidi" w:cstheme="majorBidi"/>
          <w:color w:val="000000" w:themeColor="text1"/>
        </w:rPr>
        <w:t xml:space="preserve">. In the second reaction step, the </w:t>
      </w:r>
      <w:proofErr w:type="spellStart"/>
      <w:r w:rsidRPr="00EB4D6A">
        <w:rPr>
          <w:rFonts w:asciiTheme="majorBidi" w:hAnsiTheme="majorBidi" w:cstheme="majorBidi"/>
          <w:color w:val="000000" w:themeColor="text1"/>
        </w:rPr>
        <w:t>pAA</w:t>
      </w:r>
      <w:proofErr w:type="spellEnd"/>
      <w:r w:rsidRPr="00EB4D6A">
        <w:rPr>
          <w:rFonts w:asciiTheme="majorBidi" w:hAnsiTheme="majorBidi" w:cstheme="majorBidi"/>
          <w:color w:val="000000" w:themeColor="text1"/>
        </w:rPr>
        <w:t xml:space="preserve"> catalyzes the hydrolysis of the EPS substrate (</w:t>
      </w:r>
      <w:proofErr w:type="spellStart"/>
      <w:r w:rsidRPr="00EB4D6A">
        <w:rPr>
          <w:rFonts w:asciiTheme="majorBidi" w:hAnsiTheme="majorBidi" w:cstheme="majorBidi"/>
          <w:color w:val="000000" w:themeColor="text1"/>
        </w:rPr>
        <w:t>Ethydien</w:t>
      </w:r>
      <w:proofErr w:type="spellEnd"/>
      <w:r w:rsidRPr="00EB4D6A">
        <w:rPr>
          <w:rFonts w:asciiTheme="majorBidi" w:hAnsiTheme="majorBidi" w:cstheme="majorBidi"/>
          <w:i/>
          <w:color w:val="000000" w:themeColor="text1"/>
        </w:rPr>
        <w:t xml:space="preserve"> </w:t>
      </w:r>
      <w:r w:rsidRPr="00EB4D6A">
        <w:rPr>
          <w:rFonts w:asciiTheme="majorBidi" w:hAnsiTheme="majorBidi" w:cstheme="majorBidi"/>
          <w:color w:val="000000" w:themeColor="text1"/>
        </w:rPr>
        <w:t>Protected Substrate)</w:t>
      </w:r>
      <w:r w:rsidRPr="00EB4D6A">
        <w:rPr>
          <w:rFonts w:asciiTheme="majorBidi" w:hAnsiTheme="majorBidi" w:cstheme="majorBidi"/>
          <w:i/>
          <w:color w:val="000000" w:themeColor="text1"/>
        </w:rPr>
        <w:t xml:space="preserve"> </w:t>
      </w:r>
      <w:r w:rsidRPr="00EB4D6A">
        <w:rPr>
          <w:rStyle w:val="Emphasis"/>
          <w:rFonts w:asciiTheme="majorBidi" w:eastAsia="Times New Roman" w:hAnsiTheme="majorBidi" w:cstheme="majorBidi"/>
          <w:color w:val="000000" w:themeColor="text1"/>
        </w:rPr>
        <w:t>p</w:t>
      </w:r>
      <w:r w:rsidRPr="00EB4D6A">
        <w:rPr>
          <w:rStyle w:val="st"/>
          <w:rFonts w:asciiTheme="majorBidi" w:eastAsia="Times New Roman" w:hAnsiTheme="majorBidi" w:cstheme="majorBidi"/>
          <w:i/>
          <w:color w:val="000000" w:themeColor="text1"/>
        </w:rPr>
        <w:t>-</w:t>
      </w:r>
      <w:proofErr w:type="spellStart"/>
      <w:r w:rsidRPr="00EB4D6A">
        <w:rPr>
          <w:rStyle w:val="Emphasis"/>
          <w:rFonts w:asciiTheme="majorBidi" w:eastAsia="Times New Roman" w:hAnsiTheme="majorBidi" w:cstheme="majorBidi"/>
          <w:color w:val="000000" w:themeColor="text1"/>
        </w:rPr>
        <w:t>Nitrophenyl</w:t>
      </w:r>
      <w:proofErr w:type="spellEnd"/>
      <w:r w:rsidRPr="00EB4D6A">
        <w:rPr>
          <w:rStyle w:val="st"/>
          <w:rFonts w:asciiTheme="majorBidi" w:eastAsia="Times New Roman" w:hAnsiTheme="majorBidi" w:cstheme="majorBidi"/>
          <w:i/>
          <w:color w:val="000000" w:themeColor="text1"/>
        </w:rPr>
        <w:t>-</w:t>
      </w:r>
      <w:proofErr w:type="spellStart"/>
      <w:r w:rsidRPr="00EB4D6A">
        <w:rPr>
          <w:rStyle w:val="Emphasis"/>
          <w:rFonts w:asciiTheme="majorBidi" w:eastAsia="Times New Roman" w:hAnsiTheme="majorBidi" w:cstheme="majorBidi"/>
          <w:color w:val="000000" w:themeColor="text1"/>
        </w:rPr>
        <w:t>maltoheptaoside</w:t>
      </w:r>
      <w:proofErr w:type="spellEnd"/>
      <w:r w:rsidRPr="00EB4D6A">
        <w:rPr>
          <w:rStyle w:val="Emphasis"/>
          <w:rFonts w:asciiTheme="majorBidi" w:eastAsia="Times New Roman" w:hAnsiTheme="majorBidi" w:cstheme="majorBidi"/>
          <w:color w:val="000000" w:themeColor="text1"/>
        </w:rPr>
        <w:t xml:space="preserve"> 4</w:t>
      </w:r>
      <w:proofErr w:type="gramStart"/>
      <w:r w:rsidRPr="00EB4D6A">
        <w:rPr>
          <w:rStyle w:val="Emphasis"/>
          <w:rFonts w:asciiTheme="majorBidi" w:eastAsia="Times New Roman" w:hAnsiTheme="majorBidi" w:cstheme="majorBidi"/>
          <w:color w:val="000000" w:themeColor="text1"/>
        </w:rPr>
        <w:t>,6</w:t>
      </w:r>
      <w:proofErr w:type="gramEnd"/>
      <w:r w:rsidRPr="00EB4D6A">
        <w:rPr>
          <w:rStyle w:val="Emphasis"/>
          <w:rFonts w:asciiTheme="majorBidi" w:eastAsia="Times New Roman" w:hAnsiTheme="majorBidi" w:cstheme="majorBidi"/>
          <w:color w:val="000000" w:themeColor="text1"/>
        </w:rPr>
        <w:t xml:space="preserve">-ethylidene-blocked (ethylidene-G7PNP) forming 2 ethylidene-G5 + 2 G2PNP + 2 ethylidene-G4 + 2 G3PNP + ethylidene-G3 + G4PNP. The α-glycosidase hydrolyzes all the fragments of the G2PNP, G3PNP, and G4PNP into phenol (PNP) and glucose (G). The increase of absorbance due to PNP formation is proportional to the activity of </w:t>
      </w:r>
      <w:proofErr w:type="spellStart"/>
      <w:r w:rsidRPr="00EB4D6A">
        <w:rPr>
          <w:rStyle w:val="Emphasis"/>
          <w:rFonts w:asciiTheme="majorBidi" w:eastAsia="Times New Roman" w:hAnsiTheme="majorBidi" w:cstheme="majorBidi"/>
          <w:color w:val="000000" w:themeColor="text1"/>
        </w:rPr>
        <w:t>pAA</w:t>
      </w:r>
      <w:proofErr w:type="spellEnd"/>
      <w:r w:rsidRPr="00EB4D6A">
        <w:rPr>
          <w:rStyle w:val="Emphasis"/>
          <w:rFonts w:asciiTheme="majorBidi" w:eastAsia="Times New Roman" w:hAnsiTheme="majorBidi" w:cstheme="majorBidi"/>
          <w:color w:val="000000" w:themeColor="text1"/>
        </w:rPr>
        <w:t xml:space="preserve"> in the examined sample. For the </w:t>
      </w:r>
      <w:proofErr w:type="spellStart"/>
      <w:r w:rsidRPr="00EB4D6A">
        <w:rPr>
          <w:rStyle w:val="Emphasis"/>
          <w:rFonts w:asciiTheme="majorBidi" w:eastAsia="Times New Roman" w:hAnsiTheme="majorBidi" w:cstheme="majorBidi"/>
          <w:color w:val="000000" w:themeColor="text1"/>
        </w:rPr>
        <w:t>tAA</w:t>
      </w:r>
      <w:proofErr w:type="spellEnd"/>
      <w:r w:rsidRPr="00EB4D6A">
        <w:rPr>
          <w:rStyle w:val="Emphasis"/>
          <w:rFonts w:asciiTheme="majorBidi" w:eastAsia="Times New Roman" w:hAnsiTheme="majorBidi" w:cstheme="majorBidi"/>
          <w:color w:val="000000" w:themeColor="text1"/>
        </w:rPr>
        <w:t xml:space="preserve"> activity, </w:t>
      </w:r>
      <w:r w:rsidRPr="00EB4D6A">
        <w:rPr>
          <w:rFonts w:asciiTheme="majorBidi" w:hAnsiTheme="majorBidi" w:cstheme="majorBidi"/>
          <w:color w:val="000000" w:themeColor="text1"/>
        </w:rPr>
        <w:t>α-amylase hydrolyzes the 2-chloro-4-nitrophenyl-α-D-</w:t>
      </w:r>
      <w:proofErr w:type="spellStart"/>
      <w:r w:rsidRPr="00EB4D6A">
        <w:rPr>
          <w:rFonts w:asciiTheme="majorBidi" w:hAnsiTheme="majorBidi" w:cstheme="majorBidi"/>
          <w:color w:val="000000" w:themeColor="text1"/>
        </w:rPr>
        <w:t>maltotrioside</w:t>
      </w:r>
      <w:proofErr w:type="spellEnd"/>
      <w:r w:rsidRPr="00EB4D6A">
        <w:rPr>
          <w:rFonts w:asciiTheme="majorBidi" w:hAnsiTheme="majorBidi" w:cstheme="majorBidi"/>
          <w:color w:val="000000" w:themeColor="text1"/>
        </w:rPr>
        <w:t xml:space="preserve"> (CNPG3) substrate to release 2-chloro-4-nitrophenol (CPNP) and form 2-chloro-4-nitrophenyl-α-D-</w:t>
      </w:r>
      <w:proofErr w:type="spellStart"/>
      <w:r w:rsidRPr="00EB4D6A">
        <w:rPr>
          <w:rFonts w:asciiTheme="majorBidi" w:hAnsiTheme="majorBidi" w:cstheme="majorBidi"/>
          <w:color w:val="000000" w:themeColor="text1"/>
        </w:rPr>
        <w:t>maltoside</w:t>
      </w:r>
      <w:proofErr w:type="spellEnd"/>
      <w:r w:rsidRPr="00EB4D6A">
        <w:rPr>
          <w:rFonts w:asciiTheme="majorBidi" w:hAnsiTheme="majorBidi" w:cstheme="majorBidi"/>
          <w:color w:val="000000" w:themeColor="text1"/>
        </w:rPr>
        <w:t xml:space="preserve"> (CNPG2), </w:t>
      </w:r>
      <w:proofErr w:type="spellStart"/>
      <w:r w:rsidRPr="00EB4D6A">
        <w:rPr>
          <w:rFonts w:asciiTheme="majorBidi" w:hAnsiTheme="majorBidi" w:cstheme="majorBidi"/>
          <w:color w:val="000000" w:themeColor="text1"/>
        </w:rPr>
        <w:t>maltotriose</w:t>
      </w:r>
      <w:proofErr w:type="spellEnd"/>
      <w:r w:rsidRPr="00EB4D6A">
        <w:rPr>
          <w:rFonts w:asciiTheme="majorBidi" w:hAnsiTheme="majorBidi" w:cstheme="majorBidi"/>
          <w:color w:val="000000" w:themeColor="text1"/>
        </w:rPr>
        <w:t xml:space="preserve">, and glucose. The rate of formation of the 2-chloro-4-nitrophenol can be detected </w:t>
      </w:r>
      <w:proofErr w:type="spellStart"/>
      <w:r w:rsidRPr="00EB4D6A">
        <w:rPr>
          <w:rFonts w:asciiTheme="majorBidi" w:hAnsiTheme="majorBidi" w:cstheme="majorBidi"/>
          <w:color w:val="000000" w:themeColor="text1"/>
        </w:rPr>
        <w:t>spectrophotometrically</w:t>
      </w:r>
      <w:proofErr w:type="spellEnd"/>
      <w:r w:rsidRPr="00EB4D6A">
        <w:rPr>
          <w:rFonts w:asciiTheme="majorBidi" w:hAnsiTheme="majorBidi" w:cstheme="majorBidi"/>
          <w:color w:val="000000" w:themeColor="text1"/>
        </w:rPr>
        <w:t xml:space="preserve"> at 404 nm to give a direct measurement of the total α-amylase activity in the sample. Plasma </w:t>
      </w:r>
      <w:proofErr w:type="spellStart"/>
      <w:r w:rsidRPr="00EB4D6A">
        <w:rPr>
          <w:rFonts w:asciiTheme="majorBidi" w:hAnsiTheme="majorBidi" w:cstheme="majorBidi"/>
          <w:color w:val="000000" w:themeColor="text1"/>
        </w:rPr>
        <w:t>sAA</w:t>
      </w:r>
      <w:proofErr w:type="spellEnd"/>
      <w:r w:rsidRPr="00EB4D6A">
        <w:rPr>
          <w:rFonts w:asciiTheme="majorBidi" w:hAnsiTheme="majorBidi" w:cstheme="majorBidi"/>
          <w:color w:val="000000" w:themeColor="text1"/>
        </w:rPr>
        <w:t xml:space="preserve"> enzymatic activity was calculated by subtracting the activity of the </w:t>
      </w:r>
      <w:proofErr w:type="spellStart"/>
      <w:r w:rsidRPr="00EB4D6A">
        <w:rPr>
          <w:rFonts w:asciiTheme="majorBidi" w:hAnsiTheme="majorBidi" w:cstheme="majorBidi"/>
          <w:color w:val="000000" w:themeColor="text1"/>
        </w:rPr>
        <w:t>pAA</w:t>
      </w:r>
      <w:proofErr w:type="spellEnd"/>
      <w:r w:rsidRPr="00EB4D6A">
        <w:rPr>
          <w:rFonts w:asciiTheme="majorBidi" w:hAnsiTheme="majorBidi" w:cstheme="majorBidi"/>
          <w:color w:val="000000" w:themeColor="text1"/>
        </w:rPr>
        <w:t xml:space="preserve"> from the activity of </w:t>
      </w:r>
      <w:proofErr w:type="spellStart"/>
      <w:r w:rsidRPr="00EB4D6A">
        <w:rPr>
          <w:rFonts w:asciiTheme="majorBidi" w:hAnsiTheme="majorBidi" w:cstheme="majorBidi"/>
          <w:color w:val="000000" w:themeColor="text1"/>
        </w:rPr>
        <w:t>tAA</w:t>
      </w:r>
      <w:proofErr w:type="spellEnd"/>
      <w:r w:rsidRPr="00EB4D6A">
        <w:rPr>
          <w:rFonts w:asciiTheme="majorBidi" w:hAnsiTheme="majorBidi" w:cstheme="majorBidi"/>
          <w:color w:val="000000" w:themeColor="text1"/>
        </w:rPr>
        <w:t xml:space="preserve"> (</w:t>
      </w:r>
      <w:proofErr w:type="spellStart"/>
      <w:r w:rsidRPr="00EB4D6A">
        <w:rPr>
          <w:rFonts w:asciiTheme="majorBidi" w:hAnsiTheme="majorBidi" w:cstheme="majorBidi"/>
          <w:color w:val="000000" w:themeColor="text1"/>
        </w:rPr>
        <w:t>psAA</w:t>
      </w:r>
      <w:proofErr w:type="spellEnd"/>
      <w:r w:rsidRPr="00EB4D6A">
        <w:rPr>
          <w:rFonts w:asciiTheme="majorBidi" w:hAnsiTheme="majorBidi" w:cstheme="majorBidi"/>
          <w:color w:val="000000" w:themeColor="text1"/>
        </w:rPr>
        <w:t xml:space="preserve"> = </w:t>
      </w:r>
      <w:proofErr w:type="spellStart"/>
      <w:r w:rsidRPr="00EB4D6A">
        <w:rPr>
          <w:rFonts w:asciiTheme="majorBidi" w:hAnsiTheme="majorBidi" w:cstheme="majorBidi"/>
          <w:color w:val="000000" w:themeColor="text1"/>
        </w:rPr>
        <w:t>tAA-pAA</w:t>
      </w:r>
      <w:proofErr w:type="spellEnd"/>
      <w:r w:rsidRPr="00EB4D6A">
        <w:rPr>
          <w:rFonts w:asciiTheme="majorBidi" w:hAnsiTheme="majorBidi" w:cstheme="majorBidi"/>
          <w:color w:val="000000" w:themeColor="text1"/>
        </w:rPr>
        <w:t xml:space="preserve">).  </w:t>
      </w:r>
    </w:p>
    <w:p w14:paraId="1225E158" w14:textId="77777777" w:rsidR="005A26E9" w:rsidRPr="00EB4D6A" w:rsidRDefault="005A26E9" w:rsidP="0017672D">
      <w:pPr>
        <w:spacing w:before="100" w:beforeAutospacing="1" w:after="100" w:afterAutospacing="1" w:line="480" w:lineRule="auto"/>
        <w:jc w:val="both"/>
        <w:rPr>
          <w:rFonts w:asciiTheme="majorBidi" w:hAnsiTheme="majorBidi" w:cstheme="majorBidi"/>
          <w:color w:val="000000" w:themeColor="text1"/>
        </w:rPr>
      </w:pPr>
    </w:p>
    <w:p w14:paraId="274AE02A" w14:textId="27E0B146" w:rsidR="008D31E3" w:rsidRPr="00EB4D6A" w:rsidRDefault="008D31E3" w:rsidP="0017672D">
      <w:pPr>
        <w:spacing w:line="480" w:lineRule="auto"/>
        <w:rPr>
          <w:rFonts w:asciiTheme="majorBidi" w:hAnsiTheme="majorBidi" w:cstheme="majorBidi"/>
          <w:b/>
          <w:bCs/>
        </w:rPr>
      </w:pPr>
      <w:r w:rsidRPr="00EB4D6A">
        <w:rPr>
          <w:rFonts w:asciiTheme="majorBidi" w:hAnsiTheme="majorBidi" w:cstheme="majorBidi"/>
          <w:b/>
          <w:bCs/>
        </w:rPr>
        <w:lastRenderedPageBreak/>
        <w:t>Results</w:t>
      </w:r>
    </w:p>
    <w:p w14:paraId="4205B59B" w14:textId="77777777" w:rsidR="008D31E3" w:rsidRPr="00EB4D6A" w:rsidRDefault="008D31E3" w:rsidP="008D31E3">
      <w:pPr>
        <w:rPr>
          <w:rFonts w:asciiTheme="majorBidi" w:hAnsiTheme="majorBidi" w:cstheme="majorBidi"/>
        </w:rPr>
      </w:pPr>
    </w:p>
    <w:tbl>
      <w:tblPr>
        <w:tblW w:w="9498" w:type="dxa"/>
        <w:jc w:val="center"/>
        <w:tblCellMar>
          <w:left w:w="0" w:type="dxa"/>
          <w:right w:w="0" w:type="dxa"/>
        </w:tblCellMar>
        <w:tblLook w:val="04A0" w:firstRow="1" w:lastRow="0" w:firstColumn="1" w:lastColumn="0" w:noHBand="0" w:noVBand="1"/>
      </w:tblPr>
      <w:tblGrid>
        <w:gridCol w:w="2466"/>
        <w:gridCol w:w="750"/>
        <w:gridCol w:w="852"/>
        <w:gridCol w:w="750"/>
        <w:gridCol w:w="896"/>
        <w:gridCol w:w="721"/>
        <w:gridCol w:w="925"/>
        <w:gridCol w:w="808"/>
        <w:gridCol w:w="1330"/>
      </w:tblGrid>
      <w:tr w:rsidR="0017672D" w:rsidRPr="00EB4D6A" w14:paraId="178DCEC9" w14:textId="77777777" w:rsidTr="007438C0">
        <w:trPr>
          <w:trHeight w:val="425"/>
          <w:jc w:val="center"/>
        </w:trPr>
        <w:tc>
          <w:tcPr>
            <w:tcW w:w="9498" w:type="dxa"/>
            <w:gridSpan w:val="9"/>
            <w:tcBorders>
              <w:bottom w:val="single" w:sz="4" w:space="0" w:color="auto"/>
            </w:tcBorders>
            <w:shd w:val="clear" w:color="auto" w:fill="auto"/>
            <w:tcMar>
              <w:top w:w="15" w:type="dxa"/>
              <w:left w:w="15" w:type="dxa"/>
              <w:bottom w:w="0" w:type="dxa"/>
              <w:right w:w="15" w:type="dxa"/>
            </w:tcMar>
            <w:vAlign w:val="center"/>
          </w:tcPr>
          <w:p w14:paraId="4CD4DD75" w14:textId="77777777" w:rsidR="0017672D" w:rsidRPr="00EB4D6A" w:rsidRDefault="0017672D" w:rsidP="0017672D">
            <w:pPr>
              <w:rPr>
                <w:rFonts w:asciiTheme="majorBidi" w:hAnsiTheme="majorBidi" w:cstheme="majorBidi"/>
              </w:rPr>
            </w:pPr>
            <w:r w:rsidRPr="00EB4D6A">
              <w:rPr>
                <w:rFonts w:asciiTheme="majorBidi" w:hAnsiTheme="majorBidi" w:cstheme="majorBidi"/>
                <w:b/>
                <w:bCs/>
              </w:rPr>
              <w:t xml:space="preserve">Table S1 </w:t>
            </w:r>
            <w:r w:rsidRPr="00EB4D6A">
              <w:rPr>
                <w:rFonts w:asciiTheme="majorBidi" w:hAnsiTheme="majorBidi" w:cstheme="majorBidi"/>
              </w:rPr>
              <w:t xml:space="preserve">Correlations between </w:t>
            </w:r>
            <w:proofErr w:type="spellStart"/>
            <w:r w:rsidRPr="00EB4D6A">
              <w:rPr>
                <w:rFonts w:asciiTheme="majorBidi" w:hAnsiTheme="majorBidi" w:cstheme="majorBidi"/>
              </w:rPr>
              <w:t>psAAa</w:t>
            </w:r>
            <w:proofErr w:type="spellEnd"/>
            <w:r w:rsidRPr="00EB4D6A">
              <w:rPr>
                <w:rFonts w:asciiTheme="majorBidi" w:hAnsiTheme="majorBidi" w:cstheme="majorBidi"/>
              </w:rPr>
              <w:t xml:space="preserve"> or AMY1 CN and adiposity markers by gender</w:t>
            </w:r>
          </w:p>
          <w:p w14:paraId="46507463" w14:textId="3EDE23B5" w:rsidR="0017672D" w:rsidRPr="00EB4D6A" w:rsidRDefault="0017672D" w:rsidP="0017672D">
            <w:pPr>
              <w:rPr>
                <w:rFonts w:asciiTheme="majorBidi" w:hAnsiTheme="majorBidi" w:cstheme="majorBidi"/>
                <w:b/>
                <w:bCs/>
              </w:rPr>
            </w:pPr>
            <w:proofErr w:type="gramStart"/>
            <w:r w:rsidRPr="00EB4D6A">
              <w:rPr>
                <w:rFonts w:asciiTheme="majorBidi" w:hAnsiTheme="majorBidi" w:cstheme="majorBidi"/>
              </w:rPr>
              <w:t>r</w:t>
            </w:r>
            <w:proofErr w:type="gramEnd"/>
            <w:r w:rsidRPr="00EB4D6A">
              <w:rPr>
                <w:rFonts w:asciiTheme="majorBidi" w:hAnsiTheme="majorBidi" w:cstheme="majorBidi"/>
              </w:rPr>
              <w:t xml:space="preserve">: Pearson coefficient. Significant p values at 5% level are in bold  </w:t>
            </w:r>
          </w:p>
        </w:tc>
      </w:tr>
      <w:tr w:rsidR="008D31E3" w:rsidRPr="00EB4D6A" w14:paraId="603D0A58" w14:textId="77777777" w:rsidTr="007438C0">
        <w:trPr>
          <w:trHeight w:val="425"/>
          <w:jc w:val="center"/>
        </w:trPr>
        <w:tc>
          <w:tcPr>
            <w:tcW w:w="2466" w:type="dxa"/>
            <w:vMerge w:val="restart"/>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04FE170" w14:textId="7014C543" w:rsidR="008D31E3" w:rsidRPr="00EB4D6A" w:rsidRDefault="008D31E3" w:rsidP="008D31E3">
            <w:pPr>
              <w:jc w:val="center"/>
              <w:rPr>
                <w:rFonts w:asciiTheme="majorBidi" w:hAnsiTheme="majorBidi" w:cstheme="majorBidi"/>
              </w:rPr>
            </w:pPr>
          </w:p>
          <w:p w14:paraId="03885A23" w14:textId="67E07FE4" w:rsidR="008D31E3" w:rsidRPr="00EB4D6A" w:rsidRDefault="008D31E3" w:rsidP="008D31E3">
            <w:pPr>
              <w:jc w:val="center"/>
              <w:rPr>
                <w:rFonts w:asciiTheme="majorBidi" w:hAnsiTheme="majorBidi" w:cstheme="majorBidi"/>
              </w:rPr>
            </w:pPr>
            <w:r w:rsidRPr="00EB4D6A">
              <w:rPr>
                <w:rFonts w:asciiTheme="majorBidi" w:hAnsiTheme="majorBidi" w:cstheme="majorBidi"/>
              </w:rPr>
              <w:t>Variables</w:t>
            </w:r>
          </w:p>
          <w:p w14:paraId="20F69907" w14:textId="2A97450A" w:rsidR="008D31E3" w:rsidRPr="00EB4D6A" w:rsidRDefault="008D31E3" w:rsidP="008D31E3">
            <w:pPr>
              <w:jc w:val="center"/>
              <w:rPr>
                <w:rFonts w:asciiTheme="majorBidi" w:hAnsiTheme="majorBidi" w:cstheme="majorBidi"/>
              </w:rPr>
            </w:pPr>
          </w:p>
        </w:tc>
        <w:tc>
          <w:tcPr>
            <w:tcW w:w="3248" w:type="dxa"/>
            <w:gridSpan w:val="4"/>
            <w:tcBorders>
              <w:top w:val="single" w:sz="4" w:space="0" w:color="auto"/>
              <w:left w:val="single" w:sz="8" w:space="0" w:color="000000"/>
              <w:bottom w:val="single" w:sz="8" w:space="0" w:color="000000"/>
              <w:right w:val="single" w:sz="8" w:space="0" w:color="000000"/>
            </w:tcBorders>
            <w:shd w:val="clear" w:color="auto" w:fill="A5A5A5"/>
            <w:tcMar>
              <w:top w:w="15" w:type="dxa"/>
              <w:left w:w="15" w:type="dxa"/>
              <w:bottom w:w="0" w:type="dxa"/>
              <w:right w:w="15" w:type="dxa"/>
            </w:tcMar>
            <w:vAlign w:val="center"/>
            <w:hideMark/>
          </w:tcPr>
          <w:p w14:paraId="2F5970BE"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 xml:space="preserve">Plasma </w:t>
            </w:r>
            <w:proofErr w:type="spellStart"/>
            <w:r w:rsidRPr="00EB4D6A">
              <w:rPr>
                <w:rFonts w:asciiTheme="majorBidi" w:hAnsiTheme="majorBidi" w:cstheme="majorBidi"/>
                <w:b/>
                <w:bCs/>
              </w:rPr>
              <w:t>sAA</w:t>
            </w:r>
            <w:proofErr w:type="spellEnd"/>
            <w:r w:rsidRPr="00EB4D6A">
              <w:rPr>
                <w:rFonts w:asciiTheme="majorBidi" w:hAnsiTheme="majorBidi" w:cstheme="majorBidi"/>
                <w:b/>
                <w:bCs/>
              </w:rPr>
              <w:t xml:space="preserve"> activity</w:t>
            </w:r>
          </w:p>
        </w:tc>
        <w:tc>
          <w:tcPr>
            <w:tcW w:w="3784" w:type="dxa"/>
            <w:gridSpan w:val="4"/>
            <w:tcBorders>
              <w:top w:val="single" w:sz="4" w:space="0" w:color="auto"/>
              <w:left w:val="single" w:sz="8" w:space="0" w:color="000000"/>
              <w:bottom w:val="single" w:sz="8" w:space="0" w:color="000000"/>
              <w:right w:val="single" w:sz="8" w:space="0" w:color="000000"/>
            </w:tcBorders>
            <w:shd w:val="clear" w:color="auto" w:fill="A5A5A5"/>
            <w:tcMar>
              <w:top w:w="15" w:type="dxa"/>
              <w:left w:w="15" w:type="dxa"/>
              <w:bottom w:w="0" w:type="dxa"/>
              <w:right w:w="15" w:type="dxa"/>
            </w:tcMar>
            <w:vAlign w:val="center"/>
            <w:hideMark/>
          </w:tcPr>
          <w:p w14:paraId="154702A4"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AMY1 gene CN</w:t>
            </w:r>
          </w:p>
        </w:tc>
      </w:tr>
      <w:tr w:rsidR="008D31E3" w:rsidRPr="00EB4D6A" w14:paraId="74F975B5" w14:textId="77777777" w:rsidTr="0017672D">
        <w:trPr>
          <w:trHeight w:val="454"/>
          <w:jc w:val="center"/>
        </w:trPr>
        <w:tc>
          <w:tcPr>
            <w:tcW w:w="2466" w:type="dxa"/>
            <w:vMerge/>
            <w:tcBorders>
              <w:top w:val="single" w:sz="8" w:space="0" w:color="000000"/>
              <w:left w:val="single" w:sz="8" w:space="0" w:color="000000"/>
              <w:bottom w:val="single" w:sz="8" w:space="0" w:color="000000"/>
              <w:right w:val="single" w:sz="8" w:space="0" w:color="000000"/>
            </w:tcBorders>
            <w:vAlign w:val="center"/>
            <w:hideMark/>
          </w:tcPr>
          <w:p w14:paraId="20C2B7B9" w14:textId="77777777" w:rsidR="008D31E3" w:rsidRPr="00EB4D6A" w:rsidRDefault="008D31E3" w:rsidP="008D31E3">
            <w:pPr>
              <w:jc w:val="center"/>
              <w:rPr>
                <w:rFonts w:asciiTheme="majorBidi" w:hAnsiTheme="majorBidi" w:cstheme="majorBidi"/>
              </w:rPr>
            </w:pPr>
          </w:p>
        </w:tc>
        <w:tc>
          <w:tcPr>
            <w:tcW w:w="1602" w:type="dxa"/>
            <w:gridSpan w:val="2"/>
            <w:tcBorders>
              <w:top w:val="single" w:sz="8" w:space="0" w:color="000000"/>
              <w:left w:val="single" w:sz="8" w:space="0" w:color="000000"/>
              <w:bottom w:val="single" w:sz="8" w:space="0" w:color="000000"/>
              <w:right w:val="single" w:sz="8" w:space="0" w:color="000000"/>
            </w:tcBorders>
            <w:shd w:val="clear" w:color="auto" w:fill="E1E1E1"/>
            <w:tcMar>
              <w:top w:w="15" w:type="dxa"/>
              <w:left w:w="15" w:type="dxa"/>
              <w:bottom w:w="0" w:type="dxa"/>
              <w:right w:w="15" w:type="dxa"/>
            </w:tcMar>
            <w:vAlign w:val="center"/>
            <w:hideMark/>
          </w:tcPr>
          <w:p w14:paraId="690F014E"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Men (n=431)</w:t>
            </w:r>
          </w:p>
        </w:tc>
        <w:tc>
          <w:tcPr>
            <w:tcW w:w="1646" w:type="dxa"/>
            <w:gridSpan w:val="2"/>
            <w:tcBorders>
              <w:top w:val="single" w:sz="8" w:space="0" w:color="000000"/>
              <w:left w:val="single" w:sz="8" w:space="0" w:color="000000"/>
              <w:bottom w:val="single" w:sz="8" w:space="0" w:color="000000"/>
              <w:right w:val="single" w:sz="8" w:space="0" w:color="000000"/>
            </w:tcBorders>
            <w:shd w:val="clear" w:color="auto" w:fill="E1E1E1"/>
            <w:tcMar>
              <w:top w:w="15" w:type="dxa"/>
              <w:left w:w="15" w:type="dxa"/>
              <w:bottom w:w="0" w:type="dxa"/>
              <w:right w:w="15" w:type="dxa"/>
            </w:tcMar>
            <w:vAlign w:val="center"/>
            <w:hideMark/>
          </w:tcPr>
          <w:p w14:paraId="7FB20A03"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Women (n=498)</w:t>
            </w:r>
          </w:p>
        </w:tc>
        <w:tc>
          <w:tcPr>
            <w:tcW w:w="1646" w:type="dxa"/>
            <w:gridSpan w:val="2"/>
            <w:tcBorders>
              <w:top w:val="single" w:sz="8" w:space="0" w:color="000000"/>
              <w:left w:val="single" w:sz="8" w:space="0" w:color="000000"/>
              <w:bottom w:val="single" w:sz="8" w:space="0" w:color="000000"/>
              <w:right w:val="single" w:sz="8" w:space="0" w:color="000000"/>
            </w:tcBorders>
            <w:shd w:val="clear" w:color="auto" w:fill="E1E1E1"/>
            <w:tcMar>
              <w:top w:w="15" w:type="dxa"/>
              <w:left w:w="15" w:type="dxa"/>
              <w:bottom w:w="0" w:type="dxa"/>
              <w:right w:w="15" w:type="dxa"/>
            </w:tcMar>
            <w:vAlign w:val="center"/>
            <w:hideMark/>
          </w:tcPr>
          <w:p w14:paraId="6C371EE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Men (n=431)</w:t>
            </w:r>
          </w:p>
        </w:tc>
        <w:tc>
          <w:tcPr>
            <w:tcW w:w="2138" w:type="dxa"/>
            <w:gridSpan w:val="2"/>
            <w:tcBorders>
              <w:top w:val="single" w:sz="8" w:space="0" w:color="000000"/>
              <w:left w:val="single" w:sz="8" w:space="0" w:color="000000"/>
              <w:bottom w:val="single" w:sz="8" w:space="0" w:color="000000"/>
              <w:right w:val="single" w:sz="8" w:space="0" w:color="000000"/>
            </w:tcBorders>
            <w:shd w:val="clear" w:color="auto" w:fill="E1E1E1"/>
            <w:tcMar>
              <w:top w:w="15" w:type="dxa"/>
              <w:left w:w="15" w:type="dxa"/>
              <w:bottom w:w="0" w:type="dxa"/>
              <w:right w:w="15" w:type="dxa"/>
            </w:tcMar>
            <w:vAlign w:val="center"/>
            <w:hideMark/>
          </w:tcPr>
          <w:p w14:paraId="19A89F7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Women (n=498)</w:t>
            </w:r>
          </w:p>
        </w:tc>
      </w:tr>
      <w:tr w:rsidR="008D31E3" w:rsidRPr="00EB4D6A" w14:paraId="7C0ECCE8" w14:textId="77777777" w:rsidTr="0017672D">
        <w:trPr>
          <w:trHeight w:val="250"/>
          <w:jc w:val="center"/>
        </w:trPr>
        <w:tc>
          <w:tcPr>
            <w:tcW w:w="2466" w:type="dxa"/>
            <w:vMerge/>
            <w:tcBorders>
              <w:top w:val="single" w:sz="8" w:space="0" w:color="000000"/>
              <w:left w:val="single" w:sz="8" w:space="0" w:color="000000"/>
              <w:bottom w:val="single" w:sz="8" w:space="0" w:color="000000"/>
              <w:right w:val="single" w:sz="8" w:space="0" w:color="000000"/>
            </w:tcBorders>
            <w:vAlign w:val="center"/>
            <w:hideMark/>
          </w:tcPr>
          <w:p w14:paraId="2125A1C8" w14:textId="77777777" w:rsidR="008D31E3" w:rsidRPr="00EB4D6A" w:rsidRDefault="008D31E3" w:rsidP="008D31E3">
            <w:pPr>
              <w:jc w:val="center"/>
              <w:rPr>
                <w:rFonts w:asciiTheme="majorBidi" w:hAnsiTheme="majorBidi" w:cstheme="majorBidi"/>
              </w:rPr>
            </w:pPr>
          </w:p>
        </w:tc>
        <w:tc>
          <w:tcPr>
            <w:tcW w:w="750" w:type="dxa"/>
            <w:tcBorders>
              <w:top w:val="single" w:sz="8" w:space="0" w:color="000000"/>
              <w:left w:val="single" w:sz="8" w:space="0" w:color="000000"/>
              <w:bottom w:val="single" w:sz="8" w:space="0" w:color="000000"/>
              <w:right w:val="single" w:sz="8" w:space="0" w:color="000000"/>
            </w:tcBorders>
            <w:shd w:val="clear" w:color="auto" w:fill="F0F0F0"/>
            <w:tcMar>
              <w:top w:w="15" w:type="dxa"/>
              <w:left w:w="15" w:type="dxa"/>
              <w:bottom w:w="0" w:type="dxa"/>
              <w:right w:w="15" w:type="dxa"/>
            </w:tcMar>
            <w:vAlign w:val="center"/>
            <w:hideMark/>
          </w:tcPr>
          <w:p w14:paraId="3BBC476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r</w:t>
            </w:r>
          </w:p>
        </w:tc>
        <w:tc>
          <w:tcPr>
            <w:tcW w:w="852" w:type="dxa"/>
            <w:tcBorders>
              <w:top w:val="single" w:sz="8" w:space="0" w:color="000000"/>
              <w:left w:val="single" w:sz="8" w:space="0" w:color="000000"/>
              <w:bottom w:val="single" w:sz="8" w:space="0" w:color="000000"/>
              <w:right w:val="single" w:sz="8" w:space="0" w:color="000000"/>
            </w:tcBorders>
            <w:shd w:val="clear" w:color="auto" w:fill="F0F0F0"/>
            <w:tcMar>
              <w:top w:w="15" w:type="dxa"/>
              <w:left w:w="15" w:type="dxa"/>
              <w:bottom w:w="0" w:type="dxa"/>
              <w:right w:w="15" w:type="dxa"/>
            </w:tcMar>
            <w:vAlign w:val="center"/>
            <w:hideMark/>
          </w:tcPr>
          <w:p w14:paraId="410C1AC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i/>
                <w:iCs/>
              </w:rPr>
              <w:t>p value</w:t>
            </w:r>
          </w:p>
        </w:tc>
        <w:tc>
          <w:tcPr>
            <w:tcW w:w="750" w:type="dxa"/>
            <w:tcBorders>
              <w:top w:val="single" w:sz="8" w:space="0" w:color="000000"/>
              <w:left w:val="single" w:sz="8" w:space="0" w:color="000000"/>
              <w:bottom w:val="single" w:sz="8" w:space="0" w:color="000000"/>
              <w:right w:val="single" w:sz="8" w:space="0" w:color="000000"/>
            </w:tcBorders>
            <w:shd w:val="clear" w:color="auto" w:fill="F0F0F0"/>
            <w:tcMar>
              <w:top w:w="15" w:type="dxa"/>
              <w:left w:w="15" w:type="dxa"/>
              <w:bottom w:w="0" w:type="dxa"/>
              <w:right w:w="15" w:type="dxa"/>
            </w:tcMar>
            <w:vAlign w:val="center"/>
            <w:hideMark/>
          </w:tcPr>
          <w:p w14:paraId="086C0E6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r</w:t>
            </w:r>
          </w:p>
        </w:tc>
        <w:tc>
          <w:tcPr>
            <w:tcW w:w="896" w:type="dxa"/>
            <w:tcBorders>
              <w:top w:val="single" w:sz="8" w:space="0" w:color="000000"/>
              <w:left w:val="single" w:sz="8" w:space="0" w:color="000000"/>
              <w:bottom w:val="single" w:sz="8" w:space="0" w:color="000000"/>
              <w:right w:val="single" w:sz="8" w:space="0" w:color="000000"/>
            </w:tcBorders>
            <w:shd w:val="clear" w:color="auto" w:fill="F0F0F0"/>
            <w:tcMar>
              <w:top w:w="15" w:type="dxa"/>
              <w:left w:w="15" w:type="dxa"/>
              <w:bottom w:w="0" w:type="dxa"/>
              <w:right w:w="15" w:type="dxa"/>
            </w:tcMar>
            <w:vAlign w:val="center"/>
            <w:hideMark/>
          </w:tcPr>
          <w:p w14:paraId="34712B2F"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i/>
                <w:iCs/>
              </w:rPr>
              <w:t>p value</w:t>
            </w:r>
          </w:p>
        </w:tc>
        <w:tc>
          <w:tcPr>
            <w:tcW w:w="721" w:type="dxa"/>
            <w:tcBorders>
              <w:top w:val="single" w:sz="8" w:space="0" w:color="000000"/>
              <w:left w:val="single" w:sz="8" w:space="0" w:color="000000"/>
              <w:bottom w:val="single" w:sz="8" w:space="0" w:color="000000"/>
              <w:right w:val="single" w:sz="8" w:space="0" w:color="000000"/>
            </w:tcBorders>
            <w:shd w:val="clear" w:color="auto" w:fill="F0F0F0"/>
            <w:tcMar>
              <w:top w:w="15" w:type="dxa"/>
              <w:left w:w="15" w:type="dxa"/>
              <w:bottom w:w="0" w:type="dxa"/>
              <w:right w:w="15" w:type="dxa"/>
            </w:tcMar>
            <w:vAlign w:val="center"/>
            <w:hideMark/>
          </w:tcPr>
          <w:p w14:paraId="7492728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r</w:t>
            </w:r>
          </w:p>
        </w:tc>
        <w:tc>
          <w:tcPr>
            <w:tcW w:w="925" w:type="dxa"/>
            <w:tcBorders>
              <w:top w:val="single" w:sz="8" w:space="0" w:color="000000"/>
              <w:left w:val="single" w:sz="8" w:space="0" w:color="000000"/>
              <w:bottom w:val="single" w:sz="8" w:space="0" w:color="000000"/>
              <w:right w:val="single" w:sz="8" w:space="0" w:color="000000"/>
            </w:tcBorders>
            <w:shd w:val="clear" w:color="auto" w:fill="F0F0F0"/>
            <w:tcMar>
              <w:top w:w="15" w:type="dxa"/>
              <w:left w:w="15" w:type="dxa"/>
              <w:bottom w:w="0" w:type="dxa"/>
              <w:right w:w="15" w:type="dxa"/>
            </w:tcMar>
            <w:vAlign w:val="center"/>
            <w:hideMark/>
          </w:tcPr>
          <w:p w14:paraId="314097AF"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i/>
                <w:iCs/>
              </w:rPr>
              <w:t>p value</w:t>
            </w:r>
          </w:p>
        </w:tc>
        <w:tc>
          <w:tcPr>
            <w:tcW w:w="808" w:type="dxa"/>
            <w:tcBorders>
              <w:top w:val="single" w:sz="8" w:space="0" w:color="000000"/>
              <w:left w:val="single" w:sz="8" w:space="0" w:color="000000"/>
              <w:bottom w:val="single" w:sz="8" w:space="0" w:color="000000"/>
              <w:right w:val="single" w:sz="8" w:space="0" w:color="000000"/>
            </w:tcBorders>
            <w:shd w:val="clear" w:color="auto" w:fill="F0F0F0"/>
            <w:tcMar>
              <w:top w:w="15" w:type="dxa"/>
              <w:left w:w="15" w:type="dxa"/>
              <w:bottom w:w="0" w:type="dxa"/>
              <w:right w:w="15" w:type="dxa"/>
            </w:tcMar>
            <w:vAlign w:val="center"/>
            <w:hideMark/>
          </w:tcPr>
          <w:p w14:paraId="1607EB1F"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r</w:t>
            </w:r>
          </w:p>
        </w:tc>
        <w:tc>
          <w:tcPr>
            <w:tcW w:w="1330" w:type="dxa"/>
            <w:tcBorders>
              <w:top w:val="single" w:sz="8" w:space="0" w:color="000000"/>
              <w:left w:val="single" w:sz="8" w:space="0" w:color="000000"/>
              <w:bottom w:val="single" w:sz="8" w:space="0" w:color="000000"/>
              <w:right w:val="single" w:sz="8" w:space="0" w:color="000000"/>
            </w:tcBorders>
            <w:shd w:val="clear" w:color="auto" w:fill="F0F0F0"/>
            <w:tcMar>
              <w:top w:w="15" w:type="dxa"/>
              <w:left w:w="15" w:type="dxa"/>
              <w:bottom w:w="0" w:type="dxa"/>
              <w:right w:w="15" w:type="dxa"/>
            </w:tcMar>
            <w:vAlign w:val="center"/>
            <w:hideMark/>
          </w:tcPr>
          <w:p w14:paraId="48D3AFDF"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i/>
                <w:iCs/>
              </w:rPr>
              <w:t>p value</w:t>
            </w:r>
          </w:p>
        </w:tc>
      </w:tr>
      <w:tr w:rsidR="008D31E3" w:rsidRPr="00EB4D6A" w14:paraId="7D3776A6"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5ED7EABF"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BMI (Kg/m</w:t>
            </w:r>
            <w:r w:rsidRPr="00EB4D6A">
              <w:rPr>
                <w:rFonts w:asciiTheme="majorBidi" w:hAnsiTheme="majorBidi" w:cstheme="majorBidi"/>
                <w:b/>
                <w:bCs/>
                <w:vertAlign w:val="superscript"/>
              </w:rPr>
              <w:t>2</w:t>
            </w:r>
            <w:r w:rsidRPr="00EB4D6A">
              <w:rPr>
                <w:rFonts w:asciiTheme="majorBidi" w:hAnsiTheme="majorBidi" w:cstheme="majorBidi"/>
                <w:b/>
                <w:bCs/>
              </w:rPr>
              <w:t>)</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C55950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-0.24</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A42054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1D069CC"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-0.12</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377B97C"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0.01</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313A5FD"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-0.11</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3D3898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0.02</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54F660D"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-0.01</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20AA3B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0.78</w:t>
            </w:r>
          </w:p>
        </w:tc>
      </w:tr>
      <w:tr w:rsidR="008D31E3" w:rsidRPr="00EB4D6A" w14:paraId="628D7BB9"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53CFAFF8"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Waist (cm)</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619EAC1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-0.18</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F3BBC0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1A926B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-0.09</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13E3F7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0.03</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C14EEE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-0.08</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3A1CE7E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0.08</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1F8A12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0.01</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3A4ACC54"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0.75</w:t>
            </w:r>
          </w:p>
        </w:tc>
      </w:tr>
      <w:tr w:rsidR="008D31E3" w:rsidRPr="00EB4D6A" w14:paraId="10A41B1F"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68D0447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Hip (cm)</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8DE93E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-0.19</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DDC80CC"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F45EC5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-0.13</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887FA4E"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0.003</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39A473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-0.08</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60AA203B"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0.09</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9A353D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-0.02</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9D377B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0.73</w:t>
            </w:r>
          </w:p>
        </w:tc>
      </w:tr>
      <w:tr w:rsidR="008D31E3" w:rsidRPr="00EB4D6A" w14:paraId="681FC866"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02B128DE"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WHR</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61796D64"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-0.09</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A667DA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0.07</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8EE745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-0.02</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EF1E1D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0.64</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071730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-0.05</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B55EA4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0.27</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3A092B1D"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0.04</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CC7CD68"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0.40</w:t>
            </w:r>
          </w:p>
        </w:tc>
      </w:tr>
      <w:tr w:rsidR="008D31E3" w:rsidRPr="00EB4D6A" w14:paraId="13176352"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2657E50C"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Fat Mass (kg)</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4FAB7BB"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-0.18</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1674783"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22F70D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-0.15</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108B283"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5B50D3B"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-0.12</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DC9486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0.01</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DEB8B8F"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-0.03</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055B54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0.52</w:t>
            </w:r>
          </w:p>
        </w:tc>
      </w:tr>
      <w:tr w:rsidR="008D31E3" w:rsidRPr="00EB4D6A" w14:paraId="190487BA" w14:textId="77777777" w:rsidTr="0017672D">
        <w:trPr>
          <w:trHeight w:val="253"/>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0349F91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FMI  (Kg/m</w:t>
            </w:r>
            <w:r w:rsidRPr="00EB4D6A">
              <w:rPr>
                <w:rFonts w:asciiTheme="majorBidi" w:hAnsiTheme="majorBidi" w:cstheme="majorBidi"/>
                <w:b/>
                <w:bCs/>
                <w:vertAlign w:val="superscript"/>
              </w:rPr>
              <w:t>2</w:t>
            </w:r>
            <w:r w:rsidRPr="00EB4D6A">
              <w:rPr>
                <w:rFonts w:asciiTheme="majorBidi" w:hAnsiTheme="majorBidi" w:cstheme="majorBidi"/>
                <w:b/>
                <w:bCs/>
              </w:rPr>
              <w:t>)</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7E49E19"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-0.21</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892034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49444EA"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-0.14</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724662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0.002</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A6EBE6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-0.15</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658B5B0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E2FB458"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-0.03</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7267286"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0.53</w:t>
            </w:r>
          </w:p>
        </w:tc>
      </w:tr>
      <w:tr w:rsidR="008D31E3" w:rsidRPr="00EB4D6A" w14:paraId="0E6F34A0"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5DD7A696"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BF (%)</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351EB54A"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-0.18</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61DA7D4"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6ABC68F3"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-0.16</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91312B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BC1A13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-0.13</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E519CCE"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0.01</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BF97A07"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-0.05</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CCB4DAA"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0.25</w:t>
            </w:r>
          </w:p>
        </w:tc>
      </w:tr>
      <w:tr w:rsidR="008D31E3" w:rsidRPr="00EB4D6A" w14:paraId="47A7AEA0"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5B4284A3"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BAI</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1E748FE"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-0.17</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0E801B4"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F963088"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-0.11</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FD09896"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0.02</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607AA1C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-0.11</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B9C859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0.02</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EBCC958"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-0.01</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B84FB4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0.74</w:t>
            </w:r>
          </w:p>
        </w:tc>
      </w:tr>
      <w:tr w:rsidR="008D31E3" w:rsidRPr="00EB4D6A" w14:paraId="10EB3C77"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06E30AF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VAT (Kg)</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F2778B8"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-0.14</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84F1B63"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DDA780F"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-0.13</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13CC22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0.003</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2F0F875"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-0.08</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1787361"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0.09</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54EEFFAB"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-0.01</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6FD31C22"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0.84</w:t>
            </w:r>
          </w:p>
        </w:tc>
      </w:tr>
      <w:tr w:rsidR="008D31E3" w:rsidRPr="00EB4D6A" w14:paraId="79A49A76" w14:textId="77777777" w:rsidTr="0017672D">
        <w:trPr>
          <w:trHeight w:val="250"/>
          <w:jc w:val="center"/>
        </w:trPr>
        <w:tc>
          <w:tcPr>
            <w:tcW w:w="2466" w:type="dxa"/>
            <w:tcBorders>
              <w:top w:val="single" w:sz="8" w:space="0" w:color="000000"/>
              <w:left w:val="single" w:sz="8" w:space="0" w:color="000000"/>
              <w:bottom w:val="single" w:sz="8" w:space="0" w:color="000000"/>
              <w:right w:val="single" w:sz="8" w:space="0" w:color="000000"/>
            </w:tcBorders>
            <w:shd w:val="clear" w:color="auto" w:fill="DBDBDB"/>
            <w:tcMar>
              <w:top w:w="15" w:type="dxa"/>
              <w:left w:w="15" w:type="dxa"/>
              <w:bottom w:w="0" w:type="dxa"/>
              <w:right w:w="15" w:type="dxa"/>
            </w:tcMar>
            <w:vAlign w:val="center"/>
            <w:hideMark/>
          </w:tcPr>
          <w:p w14:paraId="2B7B5B4D"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BW (Kg)</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366A6A0C"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-0.22</w:t>
            </w:r>
          </w:p>
        </w:tc>
        <w:tc>
          <w:tcPr>
            <w:tcW w:w="8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B73165E"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&lt;0.001</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792DDCFA"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-0.12</w:t>
            </w:r>
          </w:p>
        </w:tc>
        <w:tc>
          <w:tcPr>
            <w:tcW w:w="89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F8351F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b/>
                <w:bCs/>
              </w:rPr>
              <w:t>0.005</w:t>
            </w:r>
          </w:p>
        </w:tc>
        <w:tc>
          <w:tcPr>
            <w:tcW w:w="72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BEB4C6A"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-0.08</w:t>
            </w:r>
          </w:p>
        </w:tc>
        <w:tc>
          <w:tcPr>
            <w:tcW w:w="925"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CDF4B76"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0.11</w:t>
            </w:r>
          </w:p>
        </w:tc>
        <w:tc>
          <w:tcPr>
            <w:tcW w:w="808"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D5EB64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-0.01</w:t>
            </w:r>
          </w:p>
        </w:tc>
        <w:tc>
          <w:tcPr>
            <w:tcW w:w="1330"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5827A90" w14:textId="77777777" w:rsidR="008D31E3" w:rsidRPr="00EB4D6A" w:rsidRDefault="008D31E3" w:rsidP="008D31E3">
            <w:pPr>
              <w:jc w:val="center"/>
              <w:rPr>
                <w:rFonts w:asciiTheme="majorBidi" w:hAnsiTheme="majorBidi" w:cstheme="majorBidi"/>
              </w:rPr>
            </w:pPr>
            <w:r w:rsidRPr="00EB4D6A">
              <w:rPr>
                <w:rFonts w:asciiTheme="majorBidi" w:hAnsiTheme="majorBidi" w:cstheme="majorBidi"/>
              </w:rPr>
              <w:t>0.86</w:t>
            </w:r>
          </w:p>
        </w:tc>
      </w:tr>
    </w:tbl>
    <w:p w14:paraId="51D1A02A" w14:textId="77777777" w:rsidR="0017672D" w:rsidRPr="00EB4D6A" w:rsidRDefault="0017672D" w:rsidP="000F26CF">
      <w:pPr>
        <w:rPr>
          <w:rFonts w:asciiTheme="majorBidi" w:hAnsiTheme="majorBidi" w:cstheme="majorBidi"/>
        </w:rPr>
      </w:pPr>
    </w:p>
    <w:p w14:paraId="013C7A09" w14:textId="0370DF69" w:rsidR="000F26CF" w:rsidRPr="00EB4D6A" w:rsidRDefault="000F26CF" w:rsidP="000F26CF">
      <w:pPr>
        <w:rPr>
          <w:rFonts w:asciiTheme="majorBidi" w:hAnsiTheme="majorBidi" w:cstheme="majorBidi"/>
        </w:rPr>
      </w:pPr>
    </w:p>
    <w:tbl>
      <w:tblPr>
        <w:tblW w:w="9652" w:type="dxa"/>
        <w:jc w:val="center"/>
        <w:tblCellMar>
          <w:left w:w="0" w:type="dxa"/>
          <w:right w:w="0" w:type="dxa"/>
        </w:tblCellMar>
        <w:tblLook w:val="04A0" w:firstRow="1" w:lastRow="0" w:firstColumn="1" w:lastColumn="0" w:noHBand="0" w:noVBand="1"/>
      </w:tblPr>
      <w:tblGrid>
        <w:gridCol w:w="1867"/>
        <w:gridCol w:w="1867"/>
        <w:gridCol w:w="1867"/>
        <w:gridCol w:w="1261"/>
        <w:gridCol w:w="1916"/>
        <w:gridCol w:w="874"/>
      </w:tblGrid>
      <w:tr w:rsidR="0017672D" w:rsidRPr="00EB4D6A" w14:paraId="067AAEBF" w14:textId="77777777" w:rsidTr="007438C0">
        <w:trPr>
          <w:trHeight w:val="389"/>
          <w:jc w:val="center"/>
        </w:trPr>
        <w:tc>
          <w:tcPr>
            <w:tcW w:w="9652" w:type="dxa"/>
            <w:gridSpan w:val="6"/>
            <w:tcBorders>
              <w:bottom w:val="single" w:sz="4" w:space="0" w:color="auto"/>
            </w:tcBorders>
            <w:shd w:val="clear" w:color="auto" w:fill="auto"/>
            <w:tcMar>
              <w:top w:w="72" w:type="dxa"/>
              <w:left w:w="144" w:type="dxa"/>
              <w:bottom w:w="72" w:type="dxa"/>
              <w:right w:w="144" w:type="dxa"/>
            </w:tcMar>
            <w:vAlign w:val="center"/>
          </w:tcPr>
          <w:p w14:paraId="0604F013" w14:textId="4BBE3CD2" w:rsidR="0017672D" w:rsidRPr="00EB4D6A" w:rsidRDefault="0017672D" w:rsidP="00F93262">
            <w:pPr>
              <w:rPr>
                <w:rFonts w:asciiTheme="majorBidi" w:hAnsiTheme="majorBidi" w:cstheme="majorBidi"/>
                <w:b/>
                <w:bCs/>
              </w:rPr>
            </w:pPr>
            <w:r w:rsidRPr="00EB4D6A">
              <w:rPr>
                <w:rFonts w:asciiTheme="majorBidi" w:hAnsiTheme="majorBidi" w:cstheme="majorBidi"/>
                <w:b/>
                <w:bCs/>
              </w:rPr>
              <w:t>Table S2</w:t>
            </w:r>
            <w:r w:rsidRPr="00EB4D6A">
              <w:rPr>
                <w:rFonts w:asciiTheme="majorBidi" w:hAnsiTheme="majorBidi" w:cstheme="majorBidi"/>
              </w:rPr>
              <w:t xml:space="preserve"> Association between </w:t>
            </w:r>
            <w:proofErr w:type="spellStart"/>
            <w:r w:rsidRPr="00EB4D6A">
              <w:rPr>
                <w:rFonts w:asciiTheme="majorBidi" w:hAnsiTheme="majorBidi" w:cstheme="majorBidi"/>
              </w:rPr>
              <w:t>psAAa</w:t>
            </w:r>
            <w:proofErr w:type="spellEnd"/>
            <w:r w:rsidRPr="00EB4D6A">
              <w:rPr>
                <w:rFonts w:asciiTheme="majorBidi" w:hAnsiTheme="majorBidi" w:cstheme="majorBidi"/>
              </w:rPr>
              <w:t xml:space="preserve"> or AMY1 gene CN and the </w:t>
            </w:r>
            <w:r w:rsidR="00F93262">
              <w:rPr>
                <w:rFonts w:asciiTheme="majorBidi" w:hAnsiTheme="majorBidi" w:cstheme="majorBidi"/>
              </w:rPr>
              <w:t>rate</w:t>
            </w:r>
            <w:r w:rsidRPr="00EB4D6A">
              <w:rPr>
                <w:rFonts w:asciiTheme="majorBidi" w:hAnsiTheme="majorBidi" w:cstheme="majorBidi"/>
              </w:rPr>
              <w:t xml:space="preserve"> of overweight/obesity (OW/OB) in men and women. Data are mean (+/- SD) or mean. The table includes the logistic regression analysis adjusted for age. Cases are the OW/OB individuals while the controls are the normal-weight individuals</w:t>
            </w:r>
          </w:p>
        </w:tc>
      </w:tr>
      <w:tr w:rsidR="000F26CF" w:rsidRPr="00EB4D6A" w14:paraId="34FBA6D2" w14:textId="77777777" w:rsidTr="007438C0">
        <w:trPr>
          <w:trHeight w:val="389"/>
          <w:jc w:val="center"/>
        </w:trPr>
        <w:tc>
          <w:tcPr>
            <w:tcW w:w="1867" w:type="dxa"/>
            <w:vMerge w:val="restart"/>
            <w:tcBorders>
              <w:top w:val="single" w:sz="4" w:space="0" w:color="auto"/>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A4FC786"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b/>
                <w:bCs/>
              </w:rPr>
              <w:t>Predictor variables</w:t>
            </w:r>
          </w:p>
        </w:tc>
        <w:tc>
          <w:tcPr>
            <w:tcW w:w="7785" w:type="dxa"/>
            <w:gridSpan w:val="5"/>
            <w:tcBorders>
              <w:top w:val="single" w:sz="4" w:space="0" w:color="auto"/>
              <w:left w:val="single" w:sz="8" w:space="0" w:color="000000"/>
              <w:bottom w:val="single" w:sz="8" w:space="0" w:color="000000"/>
              <w:right w:val="single" w:sz="8" w:space="0" w:color="000000"/>
            </w:tcBorders>
            <w:shd w:val="clear" w:color="auto" w:fill="E7E6E6"/>
            <w:tcMar>
              <w:top w:w="15" w:type="dxa"/>
              <w:left w:w="15" w:type="dxa"/>
              <w:bottom w:w="0" w:type="dxa"/>
              <w:right w:w="15" w:type="dxa"/>
            </w:tcMar>
            <w:vAlign w:val="center"/>
            <w:hideMark/>
          </w:tcPr>
          <w:p w14:paraId="11A65445"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b/>
                <w:bCs/>
              </w:rPr>
              <w:t>Men (n=431)</w:t>
            </w:r>
          </w:p>
        </w:tc>
      </w:tr>
      <w:tr w:rsidR="000F26CF" w:rsidRPr="00EB4D6A" w14:paraId="5BE69EF8" w14:textId="77777777" w:rsidTr="0017672D">
        <w:trPr>
          <w:trHeight w:val="3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53B9244" w14:textId="77777777" w:rsidR="000F26CF" w:rsidRPr="00EB4D6A" w:rsidRDefault="000F26CF" w:rsidP="000F26CF">
            <w:pPr>
              <w:jc w:val="center"/>
              <w:rPr>
                <w:rFonts w:asciiTheme="majorBidi" w:hAnsiTheme="majorBidi" w:cstheme="majorBidi"/>
              </w:rPr>
            </w:pP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9671B96"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Cases (n=328)</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39A1E04"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Controls (n=103)</w:t>
            </w:r>
          </w:p>
        </w:tc>
        <w:tc>
          <w:tcPr>
            <w:tcW w:w="1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A7E2EBC"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OR</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5D3AD5F"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95 % CI</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4AF15DD"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i/>
                <w:iCs/>
              </w:rPr>
              <w:t>p</w:t>
            </w:r>
          </w:p>
        </w:tc>
      </w:tr>
      <w:tr w:rsidR="000F26CF" w:rsidRPr="00EB4D6A" w14:paraId="0A28B6ED" w14:textId="77777777" w:rsidTr="0017672D">
        <w:trPr>
          <w:trHeight w:val="389"/>
          <w:jc w:val="center"/>
        </w:trPr>
        <w:tc>
          <w:tcPr>
            <w:tcW w:w="1867" w:type="dxa"/>
            <w:tcBorders>
              <w:top w:val="single" w:sz="8" w:space="0" w:color="000000"/>
              <w:left w:val="single" w:sz="8" w:space="0" w:color="000000"/>
              <w:bottom w:val="single" w:sz="8" w:space="0" w:color="000000"/>
              <w:right w:val="single" w:sz="8" w:space="0" w:color="000000"/>
            </w:tcBorders>
            <w:shd w:val="clear" w:color="auto" w:fill="E7E6E6"/>
            <w:tcMar>
              <w:top w:w="15" w:type="dxa"/>
              <w:left w:w="15" w:type="dxa"/>
              <w:bottom w:w="0" w:type="dxa"/>
              <w:right w:w="15" w:type="dxa"/>
            </w:tcMar>
            <w:vAlign w:val="center"/>
            <w:hideMark/>
          </w:tcPr>
          <w:p w14:paraId="396D6836" w14:textId="77777777" w:rsidR="000F26CF" w:rsidRPr="00EB4D6A" w:rsidRDefault="000F26CF" w:rsidP="000F26CF">
            <w:pPr>
              <w:jc w:val="center"/>
              <w:rPr>
                <w:rFonts w:asciiTheme="majorBidi" w:hAnsiTheme="majorBidi" w:cstheme="majorBidi"/>
              </w:rPr>
            </w:pPr>
            <w:proofErr w:type="spellStart"/>
            <w:r w:rsidRPr="00EB4D6A">
              <w:rPr>
                <w:rFonts w:asciiTheme="majorBidi" w:hAnsiTheme="majorBidi" w:cstheme="majorBidi"/>
                <w:b/>
                <w:bCs/>
              </w:rPr>
              <w:t>psAAa</w:t>
            </w:r>
            <w:proofErr w:type="spellEnd"/>
            <w:r w:rsidRPr="00EB4D6A">
              <w:rPr>
                <w:rFonts w:asciiTheme="majorBidi" w:hAnsiTheme="majorBidi" w:cstheme="majorBidi"/>
                <w:b/>
                <w:bCs/>
              </w:rPr>
              <w:t xml:space="preserve"> (U/L)</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543AA79"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32.3 (12.89)</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FEFA90A"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36.1 (12.37)</w:t>
            </w:r>
          </w:p>
        </w:tc>
        <w:tc>
          <w:tcPr>
            <w:tcW w:w="126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2834D09B"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0.976</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D339A69" w14:textId="05F200BF" w:rsidR="000F26CF" w:rsidRPr="00EB4D6A" w:rsidRDefault="000F26CF" w:rsidP="000F26CF">
            <w:pPr>
              <w:jc w:val="center"/>
              <w:rPr>
                <w:rFonts w:asciiTheme="majorBidi" w:hAnsiTheme="majorBidi" w:cstheme="majorBidi"/>
              </w:rPr>
            </w:pPr>
            <w:r w:rsidRPr="00EB4D6A">
              <w:rPr>
                <w:rFonts w:asciiTheme="majorBidi" w:hAnsiTheme="majorBidi" w:cstheme="majorBidi"/>
              </w:rPr>
              <w:t>0.95-0.99</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FB7684B"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b/>
                <w:bCs/>
              </w:rPr>
              <w:t>0.008</w:t>
            </w:r>
          </w:p>
        </w:tc>
      </w:tr>
      <w:tr w:rsidR="000F26CF" w:rsidRPr="00EB4D6A" w14:paraId="22997F31" w14:textId="77777777" w:rsidTr="0017672D">
        <w:trPr>
          <w:trHeight w:val="389"/>
          <w:jc w:val="center"/>
        </w:trPr>
        <w:tc>
          <w:tcPr>
            <w:tcW w:w="1867" w:type="dxa"/>
            <w:tcBorders>
              <w:top w:val="single" w:sz="8" w:space="0" w:color="000000"/>
              <w:left w:val="single" w:sz="8" w:space="0" w:color="000000"/>
              <w:bottom w:val="single" w:sz="8" w:space="0" w:color="000000"/>
              <w:right w:val="single" w:sz="8" w:space="0" w:color="000000"/>
            </w:tcBorders>
            <w:shd w:val="clear" w:color="auto" w:fill="E7E6E6"/>
            <w:tcMar>
              <w:top w:w="15" w:type="dxa"/>
              <w:left w:w="15" w:type="dxa"/>
              <w:bottom w:w="0" w:type="dxa"/>
              <w:right w:w="15" w:type="dxa"/>
            </w:tcMar>
            <w:vAlign w:val="center"/>
            <w:hideMark/>
          </w:tcPr>
          <w:p w14:paraId="56FE65FB"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b/>
                <w:bCs/>
              </w:rPr>
              <w:t>AMY1 CN</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89B3DC0"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7</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69CDA58"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7</w:t>
            </w:r>
          </w:p>
        </w:tc>
        <w:tc>
          <w:tcPr>
            <w:tcW w:w="1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A715BE0"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0.973</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9DE8E98" w14:textId="1C7BD307" w:rsidR="000F26CF" w:rsidRPr="00EB4D6A" w:rsidRDefault="000F26CF" w:rsidP="000F26CF">
            <w:pPr>
              <w:jc w:val="center"/>
              <w:rPr>
                <w:rFonts w:asciiTheme="majorBidi" w:hAnsiTheme="majorBidi" w:cstheme="majorBidi"/>
              </w:rPr>
            </w:pPr>
            <w:r w:rsidRPr="00EB4D6A">
              <w:rPr>
                <w:rFonts w:asciiTheme="majorBidi" w:hAnsiTheme="majorBidi" w:cstheme="majorBidi"/>
              </w:rPr>
              <w:t>0.90- 1.05</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A113E8E"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0.496</w:t>
            </w:r>
          </w:p>
        </w:tc>
      </w:tr>
      <w:tr w:rsidR="000F26CF" w:rsidRPr="00EB4D6A" w14:paraId="3DBD6BD8" w14:textId="77777777" w:rsidTr="000F26CF">
        <w:trPr>
          <w:trHeight w:val="389"/>
          <w:jc w:val="center"/>
        </w:trPr>
        <w:tc>
          <w:tcPr>
            <w:tcW w:w="1867"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5B137B7" w14:textId="77777777" w:rsidR="000F26CF" w:rsidRPr="00EB4D6A" w:rsidRDefault="000F26CF" w:rsidP="000F26CF">
            <w:pPr>
              <w:jc w:val="center"/>
              <w:rPr>
                <w:rFonts w:asciiTheme="majorBidi" w:hAnsiTheme="majorBidi" w:cstheme="majorBidi"/>
              </w:rPr>
            </w:pPr>
          </w:p>
        </w:tc>
        <w:tc>
          <w:tcPr>
            <w:tcW w:w="7785" w:type="dxa"/>
            <w:gridSpan w:val="5"/>
            <w:tcBorders>
              <w:top w:val="single" w:sz="8" w:space="0" w:color="000000"/>
              <w:left w:val="single" w:sz="8" w:space="0" w:color="000000"/>
              <w:bottom w:val="single" w:sz="8" w:space="0" w:color="000000"/>
              <w:right w:val="single" w:sz="8" w:space="0" w:color="000000"/>
            </w:tcBorders>
            <w:shd w:val="clear" w:color="auto" w:fill="E7E6E6"/>
            <w:tcMar>
              <w:top w:w="15" w:type="dxa"/>
              <w:left w:w="15" w:type="dxa"/>
              <w:bottom w:w="0" w:type="dxa"/>
              <w:right w:w="15" w:type="dxa"/>
            </w:tcMar>
            <w:vAlign w:val="center"/>
            <w:hideMark/>
          </w:tcPr>
          <w:p w14:paraId="2AB35B2C"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b/>
                <w:bCs/>
              </w:rPr>
              <w:t>Women (n=498)</w:t>
            </w:r>
          </w:p>
        </w:tc>
      </w:tr>
      <w:tr w:rsidR="000F26CF" w:rsidRPr="00EB4D6A" w14:paraId="0097B940" w14:textId="77777777" w:rsidTr="0017672D">
        <w:trPr>
          <w:trHeight w:val="389"/>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6DF148A" w14:textId="77777777" w:rsidR="000F26CF" w:rsidRPr="00EB4D6A" w:rsidRDefault="000F26CF" w:rsidP="000F26CF">
            <w:pPr>
              <w:jc w:val="center"/>
              <w:rPr>
                <w:rFonts w:asciiTheme="majorBidi" w:hAnsiTheme="majorBidi" w:cstheme="majorBidi"/>
              </w:rPr>
            </w:pP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723A828"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Cases (n=385)</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DF6DEF3"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Controls (n=113)</w:t>
            </w:r>
          </w:p>
        </w:tc>
        <w:tc>
          <w:tcPr>
            <w:tcW w:w="1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2D3D0A4"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OR</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2F7FE8B"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95 % CI</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EECE19B"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i/>
                <w:iCs/>
              </w:rPr>
              <w:t>p</w:t>
            </w:r>
          </w:p>
        </w:tc>
      </w:tr>
      <w:tr w:rsidR="000F26CF" w:rsidRPr="00EB4D6A" w14:paraId="59F9C4CE" w14:textId="77777777" w:rsidTr="0017672D">
        <w:trPr>
          <w:trHeight w:val="389"/>
          <w:jc w:val="center"/>
        </w:trPr>
        <w:tc>
          <w:tcPr>
            <w:tcW w:w="1867" w:type="dxa"/>
            <w:tcBorders>
              <w:top w:val="single" w:sz="8" w:space="0" w:color="000000"/>
              <w:left w:val="single" w:sz="8" w:space="0" w:color="000000"/>
              <w:bottom w:val="single" w:sz="8" w:space="0" w:color="000000"/>
              <w:right w:val="single" w:sz="8" w:space="0" w:color="000000"/>
            </w:tcBorders>
            <w:shd w:val="clear" w:color="auto" w:fill="E7E6E6"/>
            <w:tcMar>
              <w:top w:w="15" w:type="dxa"/>
              <w:left w:w="15" w:type="dxa"/>
              <w:bottom w:w="0" w:type="dxa"/>
              <w:right w:w="15" w:type="dxa"/>
            </w:tcMar>
            <w:vAlign w:val="center"/>
            <w:hideMark/>
          </w:tcPr>
          <w:p w14:paraId="57AA79BB" w14:textId="77777777" w:rsidR="000F26CF" w:rsidRPr="00EB4D6A" w:rsidRDefault="000F26CF" w:rsidP="000F26CF">
            <w:pPr>
              <w:jc w:val="center"/>
              <w:rPr>
                <w:rFonts w:asciiTheme="majorBidi" w:hAnsiTheme="majorBidi" w:cstheme="majorBidi"/>
              </w:rPr>
            </w:pPr>
            <w:proofErr w:type="spellStart"/>
            <w:r w:rsidRPr="00EB4D6A">
              <w:rPr>
                <w:rFonts w:asciiTheme="majorBidi" w:hAnsiTheme="majorBidi" w:cstheme="majorBidi"/>
                <w:b/>
                <w:bCs/>
              </w:rPr>
              <w:t>psAAa</w:t>
            </w:r>
            <w:proofErr w:type="spellEnd"/>
            <w:r w:rsidRPr="00EB4D6A">
              <w:rPr>
                <w:rFonts w:asciiTheme="majorBidi" w:hAnsiTheme="majorBidi" w:cstheme="majorBidi"/>
                <w:b/>
                <w:bCs/>
              </w:rPr>
              <w:t xml:space="preserve"> (U/L)</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420CDE97"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29.3(11.78)</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02C41C21"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32.47 (14.32)</w:t>
            </w:r>
          </w:p>
        </w:tc>
        <w:tc>
          <w:tcPr>
            <w:tcW w:w="1261"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3877C63A"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0.982</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65FC674D" w14:textId="4F726264" w:rsidR="000F26CF" w:rsidRPr="00EB4D6A" w:rsidRDefault="000F26CF" w:rsidP="000F26CF">
            <w:pPr>
              <w:jc w:val="center"/>
              <w:rPr>
                <w:rFonts w:asciiTheme="majorBidi" w:hAnsiTheme="majorBidi" w:cstheme="majorBidi"/>
              </w:rPr>
            </w:pPr>
            <w:r w:rsidRPr="00EB4D6A">
              <w:rPr>
                <w:rFonts w:asciiTheme="majorBidi" w:hAnsiTheme="majorBidi" w:cstheme="majorBidi"/>
              </w:rPr>
              <w:t>0.96-1.00</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8" w:type="dxa"/>
              <w:left w:w="8" w:type="dxa"/>
              <w:bottom w:w="0" w:type="dxa"/>
              <w:right w:w="8" w:type="dxa"/>
            </w:tcMar>
            <w:vAlign w:val="center"/>
            <w:hideMark/>
          </w:tcPr>
          <w:p w14:paraId="1F13E9B7"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0.067</w:t>
            </w:r>
          </w:p>
        </w:tc>
      </w:tr>
      <w:tr w:rsidR="000F26CF" w:rsidRPr="00EB4D6A" w14:paraId="709596A8" w14:textId="77777777" w:rsidTr="0017672D">
        <w:trPr>
          <w:trHeight w:val="389"/>
          <w:jc w:val="center"/>
        </w:trPr>
        <w:tc>
          <w:tcPr>
            <w:tcW w:w="1867" w:type="dxa"/>
            <w:tcBorders>
              <w:top w:val="single" w:sz="8" w:space="0" w:color="000000"/>
              <w:left w:val="single" w:sz="8" w:space="0" w:color="000000"/>
              <w:bottom w:val="single" w:sz="8" w:space="0" w:color="000000"/>
              <w:right w:val="single" w:sz="8" w:space="0" w:color="000000"/>
            </w:tcBorders>
            <w:shd w:val="clear" w:color="auto" w:fill="E7E6E6"/>
            <w:tcMar>
              <w:top w:w="15" w:type="dxa"/>
              <w:left w:w="15" w:type="dxa"/>
              <w:bottom w:w="0" w:type="dxa"/>
              <w:right w:w="15" w:type="dxa"/>
            </w:tcMar>
            <w:vAlign w:val="center"/>
            <w:hideMark/>
          </w:tcPr>
          <w:p w14:paraId="5DFFFCEF"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b/>
                <w:bCs/>
              </w:rPr>
              <w:t>AMY1 CN</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0973E75"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7</w:t>
            </w:r>
          </w:p>
        </w:tc>
        <w:tc>
          <w:tcPr>
            <w:tcW w:w="18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543DBFC"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7</w:t>
            </w:r>
          </w:p>
        </w:tc>
        <w:tc>
          <w:tcPr>
            <w:tcW w:w="1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75AFEFB"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0.945</w:t>
            </w:r>
          </w:p>
        </w:tc>
        <w:tc>
          <w:tcPr>
            <w:tcW w:w="19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8F4B203" w14:textId="71502F17" w:rsidR="000F26CF" w:rsidRPr="00EB4D6A" w:rsidRDefault="000F26CF" w:rsidP="000F26CF">
            <w:pPr>
              <w:jc w:val="center"/>
              <w:rPr>
                <w:rFonts w:asciiTheme="majorBidi" w:hAnsiTheme="majorBidi" w:cstheme="majorBidi"/>
              </w:rPr>
            </w:pPr>
            <w:r w:rsidRPr="00EB4D6A">
              <w:rPr>
                <w:rFonts w:asciiTheme="majorBidi" w:hAnsiTheme="majorBidi" w:cstheme="majorBidi"/>
              </w:rPr>
              <w:t>0.87- 1.02</w:t>
            </w:r>
          </w:p>
        </w:tc>
        <w:tc>
          <w:tcPr>
            <w:tcW w:w="87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7E5DD3DC" w14:textId="77777777" w:rsidR="000F26CF" w:rsidRPr="00EB4D6A" w:rsidRDefault="000F26CF" w:rsidP="000F26CF">
            <w:pPr>
              <w:jc w:val="center"/>
              <w:rPr>
                <w:rFonts w:asciiTheme="majorBidi" w:hAnsiTheme="majorBidi" w:cstheme="majorBidi"/>
              </w:rPr>
            </w:pPr>
            <w:r w:rsidRPr="00EB4D6A">
              <w:rPr>
                <w:rFonts w:asciiTheme="majorBidi" w:hAnsiTheme="majorBidi" w:cstheme="majorBidi"/>
              </w:rPr>
              <w:t>0.162</w:t>
            </w:r>
          </w:p>
        </w:tc>
      </w:tr>
    </w:tbl>
    <w:p w14:paraId="1C376297" w14:textId="77777777" w:rsidR="008D31E3" w:rsidRPr="00EB4D6A" w:rsidRDefault="008D31E3" w:rsidP="000F26CF">
      <w:pPr>
        <w:rPr>
          <w:rFonts w:asciiTheme="majorBidi" w:hAnsiTheme="majorBidi" w:cstheme="majorBidi"/>
        </w:rPr>
      </w:pPr>
      <w:bookmarkStart w:id="0" w:name="_GoBack"/>
      <w:bookmarkEnd w:id="0"/>
    </w:p>
    <w:sectPr w:rsidR="008D31E3" w:rsidRPr="00EB4D6A" w:rsidSect="007166F4">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4FC27" w14:textId="77777777" w:rsidR="00E12CD2" w:rsidRDefault="00E12CD2" w:rsidP="001A4B73">
      <w:r>
        <w:separator/>
      </w:r>
    </w:p>
  </w:endnote>
  <w:endnote w:type="continuationSeparator" w:id="0">
    <w:p w14:paraId="64AAB3DC" w14:textId="77777777" w:rsidR="00E12CD2" w:rsidRDefault="00E12CD2" w:rsidP="001A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17348382"/>
      <w:docPartObj>
        <w:docPartGallery w:val="Page Numbers (Bottom of Page)"/>
        <w:docPartUnique/>
      </w:docPartObj>
    </w:sdtPr>
    <w:sdtEndPr>
      <w:rPr>
        <w:rStyle w:val="PageNumber"/>
      </w:rPr>
    </w:sdtEndPr>
    <w:sdtContent>
      <w:p w14:paraId="6DCA29D5" w14:textId="300DD92F" w:rsidR="001A4B73" w:rsidRDefault="001A4B73" w:rsidP="00502E7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1EC076" w14:textId="77777777" w:rsidR="001A4B73" w:rsidRDefault="001A4B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233541165"/>
      <w:docPartObj>
        <w:docPartGallery w:val="Page Numbers (Bottom of Page)"/>
        <w:docPartUnique/>
      </w:docPartObj>
    </w:sdtPr>
    <w:sdtEndPr>
      <w:rPr>
        <w:rStyle w:val="PageNumber"/>
      </w:rPr>
    </w:sdtEndPr>
    <w:sdtContent>
      <w:p w14:paraId="69AB101D" w14:textId="35D65751" w:rsidR="001A4B73" w:rsidRDefault="001A4B73" w:rsidP="00502E7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A26E9">
          <w:rPr>
            <w:rStyle w:val="PageNumber"/>
            <w:noProof/>
          </w:rPr>
          <w:t>2</w:t>
        </w:r>
        <w:r>
          <w:rPr>
            <w:rStyle w:val="PageNumber"/>
          </w:rPr>
          <w:fldChar w:fldCharType="end"/>
        </w:r>
      </w:p>
    </w:sdtContent>
  </w:sdt>
  <w:p w14:paraId="3CD8F13A" w14:textId="77777777" w:rsidR="001A4B73" w:rsidRDefault="001A4B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49876" w14:textId="77777777" w:rsidR="00E12CD2" w:rsidRDefault="00E12CD2" w:rsidP="001A4B73">
      <w:r>
        <w:separator/>
      </w:r>
    </w:p>
  </w:footnote>
  <w:footnote w:type="continuationSeparator" w:id="0">
    <w:p w14:paraId="76A4F5B5" w14:textId="77777777" w:rsidR="00E12CD2" w:rsidRDefault="00E12CD2" w:rsidP="001A4B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1E3"/>
    <w:rsid w:val="0006547D"/>
    <w:rsid w:val="000F26CF"/>
    <w:rsid w:val="0013094E"/>
    <w:rsid w:val="00156607"/>
    <w:rsid w:val="0017672D"/>
    <w:rsid w:val="001A4B73"/>
    <w:rsid w:val="001E50E2"/>
    <w:rsid w:val="001F47A0"/>
    <w:rsid w:val="0020484A"/>
    <w:rsid w:val="00235411"/>
    <w:rsid w:val="002E14D7"/>
    <w:rsid w:val="0045033A"/>
    <w:rsid w:val="00472E3F"/>
    <w:rsid w:val="00553DFF"/>
    <w:rsid w:val="00594C1A"/>
    <w:rsid w:val="005A26E9"/>
    <w:rsid w:val="00604654"/>
    <w:rsid w:val="007166F4"/>
    <w:rsid w:val="007438C0"/>
    <w:rsid w:val="00770A5D"/>
    <w:rsid w:val="00774535"/>
    <w:rsid w:val="00787212"/>
    <w:rsid w:val="00807038"/>
    <w:rsid w:val="00825F58"/>
    <w:rsid w:val="00832AE9"/>
    <w:rsid w:val="008C20C7"/>
    <w:rsid w:val="008D31E3"/>
    <w:rsid w:val="0095670F"/>
    <w:rsid w:val="009727F5"/>
    <w:rsid w:val="009B1143"/>
    <w:rsid w:val="00A26307"/>
    <w:rsid w:val="00A462B6"/>
    <w:rsid w:val="00C006BC"/>
    <w:rsid w:val="00C178CF"/>
    <w:rsid w:val="00C32CA9"/>
    <w:rsid w:val="00CB5DD2"/>
    <w:rsid w:val="00D24A33"/>
    <w:rsid w:val="00D24AD4"/>
    <w:rsid w:val="00D32AD1"/>
    <w:rsid w:val="00D33E72"/>
    <w:rsid w:val="00DC0500"/>
    <w:rsid w:val="00E12CD2"/>
    <w:rsid w:val="00E940FA"/>
    <w:rsid w:val="00EB4D6A"/>
    <w:rsid w:val="00EC0534"/>
    <w:rsid w:val="00EE5FBE"/>
    <w:rsid w:val="00F054E1"/>
    <w:rsid w:val="00F12FA0"/>
    <w:rsid w:val="00F22666"/>
    <w:rsid w:val="00F4486C"/>
    <w:rsid w:val="00F70982"/>
    <w:rsid w:val="00F93262"/>
    <w:rsid w:val="00F96763"/>
    <w:rsid w:val="00FC26DA"/>
    <w:rsid w:val="00FC3D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20745"/>
  <w15:chartTrackingRefBased/>
  <w15:docId w15:val="{2B05BC15-51D5-6A4A-BF1E-787E9D275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E14D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D31E3"/>
    <w:rPr>
      <w:i/>
      <w:iCs/>
    </w:rPr>
  </w:style>
  <w:style w:type="character" w:customStyle="1" w:styleId="st">
    <w:name w:val="st"/>
    <w:basedOn w:val="DefaultParagraphFont"/>
    <w:rsid w:val="008D31E3"/>
  </w:style>
  <w:style w:type="paragraph" w:styleId="Footer">
    <w:name w:val="footer"/>
    <w:basedOn w:val="Normal"/>
    <w:link w:val="FooterChar"/>
    <w:uiPriority w:val="99"/>
    <w:unhideWhenUsed/>
    <w:rsid w:val="001A4B73"/>
    <w:pPr>
      <w:tabs>
        <w:tab w:val="center" w:pos="4680"/>
        <w:tab w:val="right" w:pos="9360"/>
      </w:tabs>
    </w:pPr>
  </w:style>
  <w:style w:type="character" w:customStyle="1" w:styleId="FooterChar">
    <w:name w:val="Footer Char"/>
    <w:basedOn w:val="DefaultParagraphFont"/>
    <w:link w:val="Footer"/>
    <w:uiPriority w:val="99"/>
    <w:rsid w:val="001A4B73"/>
  </w:style>
  <w:style w:type="character" w:styleId="PageNumber">
    <w:name w:val="page number"/>
    <w:basedOn w:val="DefaultParagraphFont"/>
    <w:uiPriority w:val="99"/>
    <w:semiHidden/>
    <w:unhideWhenUsed/>
    <w:rsid w:val="001A4B73"/>
  </w:style>
  <w:style w:type="character" w:customStyle="1" w:styleId="Heading1Char">
    <w:name w:val="Heading 1 Char"/>
    <w:basedOn w:val="DefaultParagraphFont"/>
    <w:link w:val="Heading1"/>
    <w:uiPriority w:val="9"/>
    <w:rsid w:val="002E14D7"/>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2E14D7"/>
    <w:rPr>
      <w:color w:val="0000FF"/>
      <w:u w:val="single"/>
    </w:rPr>
  </w:style>
  <w:style w:type="paragraph" w:styleId="ListParagraph">
    <w:name w:val="List Paragraph"/>
    <w:basedOn w:val="Normal"/>
    <w:uiPriority w:val="34"/>
    <w:qFormat/>
    <w:rsid w:val="002E14D7"/>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039557">
      <w:bodyDiv w:val="1"/>
      <w:marLeft w:val="0"/>
      <w:marRight w:val="0"/>
      <w:marTop w:val="0"/>
      <w:marBottom w:val="0"/>
      <w:divBdr>
        <w:top w:val="none" w:sz="0" w:space="0" w:color="auto"/>
        <w:left w:val="none" w:sz="0" w:space="0" w:color="auto"/>
        <w:bottom w:val="none" w:sz="0" w:space="0" w:color="auto"/>
        <w:right w:val="none" w:sz="0" w:space="0" w:color="auto"/>
      </w:divBdr>
    </w:div>
    <w:div w:id="843129054">
      <w:bodyDiv w:val="1"/>
      <w:marLeft w:val="0"/>
      <w:marRight w:val="0"/>
      <w:marTop w:val="0"/>
      <w:marBottom w:val="0"/>
      <w:divBdr>
        <w:top w:val="none" w:sz="0" w:space="0" w:color="auto"/>
        <w:left w:val="none" w:sz="0" w:space="0" w:color="auto"/>
        <w:bottom w:val="none" w:sz="0" w:space="0" w:color="auto"/>
        <w:right w:val="none" w:sz="0" w:space="0" w:color="auto"/>
      </w:divBdr>
    </w:div>
    <w:div w:id="899561792">
      <w:bodyDiv w:val="1"/>
      <w:marLeft w:val="0"/>
      <w:marRight w:val="0"/>
      <w:marTop w:val="0"/>
      <w:marBottom w:val="0"/>
      <w:divBdr>
        <w:top w:val="none" w:sz="0" w:space="0" w:color="auto"/>
        <w:left w:val="none" w:sz="0" w:space="0" w:color="auto"/>
        <w:bottom w:val="none" w:sz="0" w:space="0" w:color="auto"/>
        <w:right w:val="none" w:sz="0" w:space="0" w:color="auto"/>
      </w:divBdr>
    </w:div>
    <w:div w:id="1556043863">
      <w:bodyDiv w:val="1"/>
      <w:marLeft w:val="0"/>
      <w:marRight w:val="0"/>
      <w:marTop w:val="0"/>
      <w:marBottom w:val="0"/>
      <w:divBdr>
        <w:top w:val="none" w:sz="0" w:space="0" w:color="auto"/>
        <w:left w:val="none" w:sz="0" w:space="0" w:color="auto"/>
        <w:bottom w:val="none" w:sz="0" w:space="0" w:color="auto"/>
        <w:right w:val="none" w:sz="0" w:space="0" w:color="auto"/>
      </w:divBdr>
    </w:div>
    <w:div w:id="1614748765">
      <w:bodyDiv w:val="1"/>
      <w:marLeft w:val="0"/>
      <w:marRight w:val="0"/>
      <w:marTop w:val="0"/>
      <w:marBottom w:val="0"/>
      <w:divBdr>
        <w:top w:val="none" w:sz="0" w:space="0" w:color="auto"/>
        <w:left w:val="none" w:sz="0" w:space="0" w:color="auto"/>
        <w:bottom w:val="none" w:sz="0" w:space="0" w:color="auto"/>
        <w:right w:val="none" w:sz="0" w:space="0" w:color="auto"/>
      </w:divBdr>
    </w:div>
    <w:div w:id="1763337439">
      <w:bodyDiv w:val="1"/>
      <w:marLeft w:val="0"/>
      <w:marRight w:val="0"/>
      <w:marTop w:val="0"/>
      <w:marBottom w:val="0"/>
      <w:divBdr>
        <w:top w:val="none" w:sz="0" w:space="0" w:color="auto"/>
        <w:left w:val="none" w:sz="0" w:space="0" w:color="auto"/>
        <w:bottom w:val="none" w:sz="0" w:space="0" w:color="auto"/>
        <w:right w:val="none" w:sz="0" w:space="0" w:color="auto"/>
      </w:divBdr>
    </w:div>
    <w:div w:id="207750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Shyam Sundar W.</cp:lastModifiedBy>
  <cp:revision>4</cp:revision>
  <dcterms:created xsi:type="dcterms:W3CDTF">2020-09-08T10:50:00Z</dcterms:created>
  <dcterms:modified xsi:type="dcterms:W3CDTF">2020-10-09T03:34:00Z</dcterms:modified>
</cp:coreProperties>
</file>