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5276" w14:textId="77777777" w:rsidR="00A90B15" w:rsidRPr="00D728C1" w:rsidRDefault="00DF4225">
      <w:pPr>
        <w:rPr>
          <w:rFonts w:ascii="Times New Roman" w:hAnsi="Times New Roman" w:cs="Times New Roman"/>
          <w:b/>
          <w:sz w:val="20"/>
          <w:szCs w:val="20"/>
        </w:rPr>
      </w:pPr>
      <w:r w:rsidRPr="00D728C1">
        <w:rPr>
          <w:rFonts w:ascii="Times New Roman" w:hAnsi="Times New Roman" w:cs="Times New Roman"/>
          <w:b/>
          <w:sz w:val="20"/>
          <w:szCs w:val="20"/>
        </w:rPr>
        <w:t xml:space="preserve">Supplementary Material. </w:t>
      </w:r>
    </w:p>
    <w:p w14:paraId="5A6B6E34" w14:textId="77777777" w:rsidR="009A5E21" w:rsidRPr="00D728C1" w:rsidRDefault="009A5E21">
      <w:pPr>
        <w:rPr>
          <w:rFonts w:ascii="Times New Roman" w:hAnsi="Times New Roman" w:cs="Times New Roman"/>
          <w:b/>
          <w:sz w:val="20"/>
          <w:szCs w:val="20"/>
        </w:rPr>
      </w:pPr>
    </w:p>
    <w:p w14:paraId="437D1AD2" w14:textId="77777777" w:rsidR="005C6056" w:rsidRPr="00D728C1" w:rsidRDefault="005C6056" w:rsidP="005C6056">
      <w:pPr>
        <w:rPr>
          <w:rFonts w:ascii="Times New Roman" w:hAnsi="Times New Roman" w:cs="Times New Roman"/>
          <w:b/>
          <w:sz w:val="20"/>
          <w:szCs w:val="20"/>
        </w:rPr>
      </w:pPr>
      <w:r w:rsidRPr="00D728C1">
        <w:rPr>
          <w:rFonts w:ascii="Times New Roman" w:hAnsi="Times New Roman" w:cs="Times New Roman"/>
          <w:b/>
          <w:sz w:val="20"/>
          <w:szCs w:val="20"/>
        </w:rPr>
        <w:t xml:space="preserve">Supplementary Material. </w:t>
      </w:r>
    </w:p>
    <w:p w14:paraId="317AB25F" w14:textId="77777777" w:rsidR="005C6056" w:rsidRDefault="005C6056" w:rsidP="005C6056">
      <w:pPr>
        <w:rPr>
          <w:rFonts w:ascii="Times New Roman" w:hAnsi="Times New Roman" w:cs="Times New Roman"/>
          <w:b/>
          <w:sz w:val="20"/>
          <w:szCs w:val="20"/>
        </w:rPr>
      </w:pPr>
      <w:r w:rsidRPr="00D728C1">
        <w:rPr>
          <w:rFonts w:ascii="Times New Roman" w:hAnsi="Times New Roman" w:cs="Times New Roman"/>
          <w:b/>
          <w:sz w:val="20"/>
          <w:szCs w:val="20"/>
        </w:rPr>
        <w:t xml:space="preserve">Table S1. </w:t>
      </w:r>
      <w:r>
        <w:rPr>
          <w:rFonts w:ascii="Times New Roman" w:hAnsi="Times New Roman" w:cs="Times New Roman"/>
          <w:b/>
          <w:sz w:val="20"/>
          <w:szCs w:val="20"/>
        </w:rPr>
        <w:t xml:space="preserve">Demographics and clinical characteristics of control and patients with COVID-19.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8"/>
        <w:gridCol w:w="1689"/>
        <w:gridCol w:w="1722"/>
        <w:gridCol w:w="1866"/>
      </w:tblGrid>
      <w:tr w:rsidR="005C6056" w:rsidRPr="00CF1368" w14:paraId="307D80EE" w14:textId="77777777" w:rsidTr="00F20FEC">
        <w:trPr>
          <w:trHeight w:val="19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9B64F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3DFB3" w14:textId="77777777" w:rsidR="005C6056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Healthy Controls</w:t>
            </w:r>
          </w:p>
          <w:p w14:paraId="5C599830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(N=21)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0522F" w14:textId="77777777" w:rsidR="005C6056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COVID-19 (mild)</w:t>
            </w:r>
          </w:p>
          <w:p w14:paraId="7CCDD2B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(N=23)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A1AEF" w14:textId="77777777" w:rsidR="005C6056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COVID-19 (severe)</w:t>
            </w:r>
          </w:p>
          <w:p w14:paraId="27883C49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(N=13)</w:t>
            </w:r>
          </w:p>
        </w:tc>
      </w:tr>
      <w:tr w:rsidR="005C6056" w:rsidRPr="00CF1368" w14:paraId="2854F903" w14:textId="77777777" w:rsidTr="00F20FEC">
        <w:trPr>
          <w:trHeight w:val="9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FE14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3A6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7167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784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0428F518" w14:textId="77777777" w:rsidTr="00F20FEC">
        <w:trPr>
          <w:trHeight w:val="1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AB0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Male: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00B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20:1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F43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21:2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173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12:1</w:t>
            </w:r>
          </w:p>
        </w:tc>
      </w:tr>
      <w:tr w:rsidR="005C6056" w:rsidRPr="00CF1368" w14:paraId="767EEC68" w14:textId="77777777" w:rsidTr="00F20FEC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F4CF9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8A93A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0D57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DCF8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33520AC2" w14:textId="77777777" w:rsidTr="00F20FEC">
        <w:trPr>
          <w:trHeight w:val="1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05B92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</w:t>
            </w:r>
            <w:proofErr w:type="spellStart"/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Mean±SD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5F1BE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38±7.32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7C9AF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38.39±10.47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193E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41.15±12.4</w:t>
            </w:r>
          </w:p>
        </w:tc>
      </w:tr>
      <w:tr w:rsidR="005C6056" w:rsidRPr="00CF1368" w14:paraId="62A1362F" w14:textId="77777777" w:rsidTr="00F20FEC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386E5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R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AF7E8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5245F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18-55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26FB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24-62</w:t>
            </w:r>
          </w:p>
        </w:tc>
      </w:tr>
      <w:tr w:rsidR="005C6056" w:rsidRPr="00CF1368" w14:paraId="47B90740" w14:textId="77777777" w:rsidTr="00F20FEC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8A275" w14:textId="77777777" w:rsidR="005C6056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  <w:p w14:paraId="296D463C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Symptoms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C3C91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C7F8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841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33667A7A" w14:textId="77777777" w:rsidTr="00F20FEC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7F22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Asymptomatic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0813A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A7279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67515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 (0)</w:t>
            </w:r>
          </w:p>
        </w:tc>
      </w:tr>
      <w:tr w:rsidR="005C6056" w:rsidRPr="00CF1368" w14:paraId="517A8579" w14:textId="77777777" w:rsidTr="00F20FEC">
        <w:trPr>
          <w:trHeight w:val="1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5579C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Fever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EEBD8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A6DCC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30B0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(92.3)</w:t>
            </w:r>
          </w:p>
        </w:tc>
      </w:tr>
      <w:tr w:rsidR="005C6056" w:rsidRPr="00CF1368" w14:paraId="57E3C07C" w14:textId="77777777" w:rsidTr="00F20FEC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F57CF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Coryza (flu)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88CC5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D42F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F2965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(53.9)</w:t>
            </w:r>
          </w:p>
        </w:tc>
      </w:tr>
      <w:tr w:rsidR="005C6056" w:rsidRPr="00CF1368" w14:paraId="27D64D32" w14:textId="77777777" w:rsidTr="00F20FEC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C491C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Anosmia &amp; dysgeusia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DAA57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C860D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F6E4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60FFE720" w14:textId="77777777" w:rsidTr="00F20FEC">
        <w:trPr>
          <w:trHeight w:val="22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C41DE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Cough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7BF28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D55BE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F4FA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(92.3)</w:t>
            </w:r>
          </w:p>
        </w:tc>
      </w:tr>
      <w:tr w:rsidR="005C6056" w:rsidRPr="00CF1368" w14:paraId="3C72B38F" w14:textId="77777777" w:rsidTr="00F20FEC">
        <w:trPr>
          <w:trHeight w:val="21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2A392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Difficulty of breath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9F5EE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C4F6C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FE9A1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(92.3)</w:t>
            </w:r>
          </w:p>
        </w:tc>
      </w:tr>
      <w:tr w:rsidR="005C6056" w:rsidRPr="00CF1368" w14:paraId="020E8DE2" w14:textId="77777777" w:rsidTr="00F20FEC">
        <w:trPr>
          <w:trHeight w:val="2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F4859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Gastrointestinal symptoms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7382D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2F8E1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2A41C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(15.4)</w:t>
            </w:r>
          </w:p>
        </w:tc>
      </w:tr>
      <w:tr w:rsidR="005C6056" w:rsidRPr="00CF1368" w14:paraId="563B1991" w14:textId="77777777" w:rsidTr="00F20FEC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5C410" w14:textId="77777777" w:rsidR="005C6056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  <w:p w14:paraId="721F4CB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Organs affected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F995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CAB36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1078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1560614B" w14:textId="77777777" w:rsidTr="00F20FEC">
        <w:trPr>
          <w:trHeight w:val="1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0A0C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Lung (Pneumonia)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ADC2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DB44F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B037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(100)</w:t>
            </w:r>
          </w:p>
        </w:tc>
      </w:tr>
      <w:tr w:rsidR="005C6056" w:rsidRPr="00CF1368" w14:paraId="0A5F0682" w14:textId="77777777" w:rsidTr="00F20FEC">
        <w:trPr>
          <w:trHeight w:val="1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14028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Heart (ACS- NSTEMI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*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041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3C93C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BBA18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(7.7)</w:t>
            </w:r>
          </w:p>
        </w:tc>
      </w:tr>
      <w:tr w:rsidR="005C6056" w:rsidRPr="00CF1368" w14:paraId="6F8766D9" w14:textId="77777777" w:rsidTr="00F20FEC">
        <w:trPr>
          <w:trHeight w:val="1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97041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Liver (elevated liver enzymes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7550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52FBE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(13.0)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54FE9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(15.4)</w:t>
            </w:r>
          </w:p>
        </w:tc>
      </w:tr>
      <w:tr w:rsidR="005C6056" w:rsidRPr="00CF1368" w14:paraId="031E9D93" w14:textId="77777777" w:rsidTr="00F20FEC">
        <w:trPr>
          <w:trHeight w:val="1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17E6E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Kidneys (acute kidney injury)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1581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1E402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4FB0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(7.7)</w:t>
            </w:r>
          </w:p>
        </w:tc>
      </w:tr>
      <w:tr w:rsidR="005C6056" w:rsidRPr="00CF1368" w14:paraId="0727CDC5" w14:textId="77777777" w:rsidTr="00F20FEC">
        <w:trPr>
          <w:trHeight w:val="1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FD111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Multiorgan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49A7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A594B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072FA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(7.7)</w:t>
            </w:r>
          </w:p>
        </w:tc>
      </w:tr>
      <w:tr w:rsidR="005C6056" w:rsidRPr="00CF1368" w14:paraId="65D5FA22" w14:textId="77777777" w:rsidTr="00F20FEC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DB617" w14:textId="77777777" w:rsidR="005C6056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  <w:p w14:paraId="320F5AAF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Outcome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CC9C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438C5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2849B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5C6056" w:rsidRPr="00CF1368" w14:paraId="1F9E88AF" w14:textId="77777777" w:rsidTr="00F20FEC">
        <w:trPr>
          <w:trHeight w:val="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9E3A9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Alife and back to normal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A729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C7E6D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(100)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AEDB8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(92.3)</w:t>
            </w:r>
          </w:p>
        </w:tc>
      </w:tr>
      <w:tr w:rsidR="005C6056" w:rsidRPr="00CF1368" w14:paraId="2936B047" w14:textId="77777777" w:rsidTr="00F20FEC">
        <w:trPr>
          <w:trHeight w:val="22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E5713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Died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1E8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01821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A8254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(7.7)</w:t>
            </w:r>
          </w:p>
        </w:tc>
      </w:tr>
      <w:tr w:rsidR="005C6056" w:rsidRPr="00CF1368" w14:paraId="667E04BA" w14:textId="77777777" w:rsidTr="00F20FEC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54C84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Bacterial c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o-infections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2AAF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36766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27637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(0)</w:t>
            </w:r>
          </w:p>
        </w:tc>
      </w:tr>
      <w:tr w:rsidR="005C6056" w:rsidRPr="00CF1368" w14:paraId="41160891" w14:textId="77777777" w:rsidTr="00F20FEC">
        <w:trPr>
          <w:trHeight w:val="36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8513B" w14:textId="77777777" w:rsidR="005C6056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Interval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from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1st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positive PCR test </w:t>
            </w:r>
          </w:p>
          <w:p w14:paraId="07A0E901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to blood collection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Mean±SD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CF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days)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7710D" w14:textId="77777777" w:rsidR="005C6056" w:rsidRPr="00CF1368" w:rsidRDefault="005C6056" w:rsidP="00F2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8E792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4.78±2.21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8C2CC" w14:textId="77777777" w:rsidR="005C6056" w:rsidRPr="00CF1368" w:rsidRDefault="005C6056" w:rsidP="00F2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CF1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5.54±2.76</w:t>
            </w:r>
          </w:p>
        </w:tc>
      </w:tr>
    </w:tbl>
    <w:p w14:paraId="05537148" w14:textId="77777777" w:rsidR="005C6056" w:rsidRDefault="005C6056" w:rsidP="005C60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*</w:t>
      </w:r>
      <w:r w:rsidRPr="00A102B0">
        <w:rPr>
          <w:rFonts w:ascii="Times New Roman" w:hAnsi="Times New Roman" w:cs="Times New Roman"/>
          <w:b/>
          <w:sz w:val="16"/>
          <w:szCs w:val="16"/>
        </w:rPr>
        <w:t>ACS-NSTEMI</w:t>
      </w:r>
      <w:r>
        <w:rPr>
          <w:rFonts w:ascii="Times New Roman" w:hAnsi="Times New Roman" w:cs="Times New Roman"/>
          <w:b/>
          <w:sz w:val="16"/>
          <w:szCs w:val="16"/>
        </w:rPr>
        <w:t xml:space="preserve">: Acute Coronary Syndrome </w:t>
      </w:r>
      <w:r w:rsidRPr="00A102B0">
        <w:rPr>
          <w:rFonts w:ascii="Times New Roman" w:hAnsi="Times New Roman" w:cs="Times New Roman"/>
          <w:b/>
          <w:sz w:val="16"/>
          <w:szCs w:val="16"/>
        </w:rPr>
        <w:t>without ST-segment elevation</w:t>
      </w:r>
      <w:r>
        <w:rPr>
          <w:rFonts w:ascii="Times New Roman" w:hAnsi="Times New Roman" w:cs="Times New Roman"/>
          <w:b/>
          <w:sz w:val="16"/>
          <w:szCs w:val="16"/>
        </w:rPr>
        <w:t>.</w:t>
      </w:r>
    </w:p>
    <w:p w14:paraId="6D2D7905" w14:textId="77777777" w:rsidR="005C6056" w:rsidRPr="00A102B0" w:rsidRDefault="005C6056" w:rsidP="005C60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Some patients may have more than one symptom.</w:t>
      </w:r>
    </w:p>
    <w:p w14:paraId="0488B8EB" w14:textId="77777777" w:rsidR="005C6056" w:rsidRPr="000125D1" w:rsidRDefault="005C6056" w:rsidP="005C60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0125D1">
        <w:rPr>
          <w:rFonts w:ascii="Times New Roman" w:hAnsi="Times New Roman" w:cs="Times New Roman"/>
          <w:b/>
          <w:sz w:val="16"/>
          <w:szCs w:val="16"/>
        </w:rPr>
        <w:t>Some patients were asymptomatic; however, found accidentally to have pneumonia by chest x-ray in the mild group</w:t>
      </w:r>
      <w:r>
        <w:rPr>
          <w:rFonts w:ascii="Times New Roman" w:hAnsi="Times New Roman" w:cs="Times New Roman"/>
          <w:b/>
          <w:sz w:val="16"/>
          <w:szCs w:val="16"/>
        </w:rPr>
        <w:t xml:space="preserve"> and recovered with no treatment</w:t>
      </w:r>
      <w:r w:rsidRPr="000125D1">
        <w:rPr>
          <w:rFonts w:ascii="Times New Roman" w:hAnsi="Times New Roman" w:cs="Times New Roman"/>
          <w:b/>
          <w:sz w:val="16"/>
          <w:szCs w:val="16"/>
        </w:rPr>
        <w:t>.</w:t>
      </w:r>
    </w:p>
    <w:p w14:paraId="02413610" w14:textId="031D5091" w:rsidR="00CB53F2" w:rsidRDefault="00CB53F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Supplementary Figures</w:t>
      </w:r>
    </w:p>
    <w:p w14:paraId="4FC4A10C" w14:textId="035F10C4" w:rsidR="00693198" w:rsidRPr="00CB53F2" w:rsidRDefault="00CB53F2" w:rsidP="00DF7D7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3ED8736A" wp14:editId="75BDA168">
            <wp:extent cx="8229600" cy="496189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96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8C1">
        <w:rPr>
          <w:rFonts w:ascii="Times New Roman" w:hAnsi="Times New Roman" w:cs="Times New Roman"/>
          <w:b/>
          <w:sz w:val="20"/>
          <w:szCs w:val="20"/>
        </w:rPr>
        <w:t>Fig</w:t>
      </w:r>
      <w:r w:rsidR="005956F3">
        <w:rPr>
          <w:rFonts w:ascii="Times New Roman" w:hAnsi="Times New Roman" w:cs="Times New Roman"/>
          <w:b/>
          <w:sz w:val="20"/>
          <w:szCs w:val="20"/>
        </w:rPr>
        <w:t>ure</w:t>
      </w:r>
      <w:r w:rsidR="00D728C1">
        <w:rPr>
          <w:rFonts w:ascii="Times New Roman" w:hAnsi="Times New Roman" w:cs="Times New Roman"/>
          <w:b/>
          <w:sz w:val="20"/>
          <w:szCs w:val="20"/>
        </w:rPr>
        <w:t xml:space="preserve"> S1</w:t>
      </w:r>
      <w:r w:rsidR="007B7834" w:rsidRPr="00D728C1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693198" w:rsidRPr="00693198">
        <w:rPr>
          <w:rFonts w:ascii="Times New Roman" w:hAnsi="Times New Roman" w:cs="Times New Roman"/>
          <w:bCs/>
          <w:sz w:val="20"/>
          <w:szCs w:val="20"/>
        </w:rPr>
        <w:t xml:space="preserve">FMO </w:t>
      </w:r>
      <w:r w:rsidR="005956F3">
        <w:rPr>
          <w:rFonts w:ascii="Times New Roman" w:hAnsi="Times New Roman" w:cs="Times New Roman"/>
          <w:bCs/>
          <w:sz w:val="20"/>
          <w:szCs w:val="20"/>
        </w:rPr>
        <w:t xml:space="preserve">(top lane) </w:t>
      </w:r>
      <w:r w:rsidR="00693198" w:rsidRPr="00693198">
        <w:rPr>
          <w:rFonts w:ascii="Times New Roman" w:hAnsi="Times New Roman" w:cs="Times New Roman"/>
          <w:bCs/>
          <w:sz w:val="20"/>
          <w:szCs w:val="20"/>
        </w:rPr>
        <w:t xml:space="preserve">and corresponding </w:t>
      </w:r>
      <w:r w:rsidR="003D6CFB">
        <w:rPr>
          <w:rFonts w:ascii="Times New Roman" w:hAnsi="Times New Roman" w:cs="Times New Roman"/>
          <w:bCs/>
          <w:sz w:val="20"/>
          <w:szCs w:val="20"/>
        </w:rPr>
        <w:t>healthy control donor</w:t>
      </w:r>
      <w:r w:rsidR="0069319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956F3">
        <w:rPr>
          <w:rFonts w:ascii="Times New Roman" w:hAnsi="Times New Roman" w:cs="Times New Roman"/>
          <w:bCs/>
          <w:sz w:val="20"/>
          <w:szCs w:val="20"/>
        </w:rPr>
        <w:t xml:space="preserve">(bottom lane) </w:t>
      </w:r>
      <w:r w:rsidR="00693198">
        <w:rPr>
          <w:rFonts w:ascii="Times New Roman" w:hAnsi="Times New Roman" w:cs="Times New Roman"/>
          <w:bCs/>
          <w:sz w:val="20"/>
          <w:szCs w:val="20"/>
        </w:rPr>
        <w:t xml:space="preserve">staining for each </w:t>
      </w:r>
      <w:r w:rsidR="005956F3">
        <w:rPr>
          <w:rFonts w:ascii="Times New Roman" w:hAnsi="Times New Roman" w:cs="Times New Roman"/>
          <w:bCs/>
          <w:sz w:val="20"/>
          <w:szCs w:val="20"/>
        </w:rPr>
        <w:t>marker used. Positiv</w:t>
      </w:r>
      <w:r w:rsidR="007B1DEA">
        <w:rPr>
          <w:rFonts w:ascii="Times New Roman" w:hAnsi="Times New Roman" w:cs="Times New Roman"/>
          <w:bCs/>
          <w:sz w:val="20"/>
          <w:szCs w:val="20"/>
        </w:rPr>
        <w:t>e</w:t>
      </w:r>
      <w:r w:rsidR="005956F3">
        <w:rPr>
          <w:rFonts w:ascii="Times New Roman" w:hAnsi="Times New Roman" w:cs="Times New Roman"/>
          <w:bCs/>
          <w:sz w:val="20"/>
          <w:szCs w:val="20"/>
        </w:rPr>
        <w:t>/negativ</w:t>
      </w:r>
      <w:r w:rsidR="007B1DEA">
        <w:rPr>
          <w:rFonts w:ascii="Times New Roman" w:hAnsi="Times New Roman" w:cs="Times New Roman"/>
          <w:bCs/>
          <w:sz w:val="20"/>
          <w:szCs w:val="20"/>
        </w:rPr>
        <w:t>e</w:t>
      </w:r>
      <w:r w:rsidR="005956F3">
        <w:rPr>
          <w:rFonts w:ascii="Times New Roman" w:hAnsi="Times New Roman" w:cs="Times New Roman"/>
          <w:bCs/>
          <w:sz w:val="20"/>
          <w:szCs w:val="20"/>
        </w:rPr>
        <w:t xml:space="preserve"> gating was defined </w:t>
      </w:r>
      <w:r w:rsidR="007B1DEA">
        <w:rPr>
          <w:rFonts w:ascii="Times New Roman" w:hAnsi="Times New Roman" w:cs="Times New Roman"/>
          <w:bCs/>
          <w:sz w:val="20"/>
          <w:szCs w:val="20"/>
        </w:rPr>
        <w:t xml:space="preserve">based </w:t>
      </w:r>
      <w:r w:rsidR="005956F3">
        <w:rPr>
          <w:rFonts w:ascii="Times New Roman" w:hAnsi="Times New Roman" w:cs="Times New Roman"/>
          <w:bCs/>
          <w:sz w:val="20"/>
          <w:szCs w:val="20"/>
        </w:rPr>
        <w:t xml:space="preserve">on FMO and </w:t>
      </w:r>
      <w:r w:rsidR="007B1DEA">
        <w:rPr>
          <w:rFonts w:ascii="Times New Roman" w:hAnsi="Times New Roman" w:cs="Times New Roman"/>
          <w:bCs/>
          <w:sz w:val="20"/>
          <w:szCs w:val="20"/>
        </w:rPr>
        <w:t xml:space="preserve">separation of </w:t>
      </w:r>
      <w:r w:rsidR="005956F3">
        <w:rPr>
          <w:rFonts w:ascii="Times New Roman" w:hAnsi="Times New Roman" w:cs="Times New Roman"/>
          <w:bCs/>
          <w:sz w:val="20"/>
          <w:szCs w:val="20"/>
        </w:rPr>
        <w:t xml:space="preserve">clear </w:t>
      </w:r>
      <w:r w:rsidR="007B1DEA">
        <w:rPr>
          <w:rFonts w:ascii="Times New Roman" w:hAnsi="Times New Roman" w:cs="Times New Roman"/>
          <w:bCs/>
          <w:sz w:val="20"/>
          <w:szCs w:val="20"/>
        </w:rPr>
        <w:t xml:space="preserve">positive and negative </w:t>
      </w:r>
      <w:r w:rsidR="005956F3">
        <w:rPr>
          <w:rFonts w:ascii="Times New Roman" w:hAnsi="Times New Roman" w:cs="Times New Roman"/>
          <w:bCs/>
          <w:sz w:val="20"/>
          <w:szCs w:val="20"/>
        </w:rPr>
        <w:t>population</w:t>
      </w:r>
      <w:r w:rsidR="007B1DEA">
        <w:rPr>
          <w:rFonts w:ascii="Times New Roman" w:hAnsi="Times New Roman" w:cs="Times New Roman"/>
          <w:bCs/>
          <w:sz w:val="20"/>
          <w:szCs w:val="20"/>
        </w:rPr>
        <w:t>s in the control sample as shown</w:t>
      </w:r>
      <w:r w:rsidR="005956F3">
        <w:rPr>
          <w:rFonts w:ascii="Times New Roman" w:hAnsi="Times New Roman" w:cs="Times New Roman"/>
          <w:bCs/>
          <w:sz w:val="20"/>
          <w:szCs w:val="20"/>
        </w:rPr>
        <w:t>.</w:t>
      </w:r>
    </w:p>
    <w:p w14:paraId="097D93DB" w14:textId="77777777" w:rsidR="00693198" w:rsidRDefault="00693198" w:rsidP="00DF7D76">
      <w:pPr>
        <w:rPr>
          <w:rFonts w:ascii="Times New Roman" w:hAnsi="Times New Roman" w:cs="Times New Roman"/>
          <w:b/>
          <w:sz w:val="20"/>
          <w:szCs w:val="20"/>
        </w:rPr>
      </w:pPr>
    </w:p>
    <w:p w14:paraId="36CBDDED" w14:textId="1E621D00" w:rsidR="00CB53F2" w:rsidRDefault="003D6CFB" w:rsidP="00DF7D7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DEB49E" wp14:editId="278937B8">
            <wp:extent cx="8229600" cy="4629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A89D1" w14:textId="7112CE5F" w:rsidR="00DF7D76" w:rsidRPr="00D728C1" w:rsidRDefault="005956F3" w:rsidP="00DF7D76">
      <w:pPr>
        <w:rPr>
          <w:rFonts w:ascii="Times New Roman" w:hAnsi="Times New Roman" w:cs="Times New Roman"/>
          <w:sz w:val="20"/>
          <w:szCs w:val="20"/>
        </w:rPr>
      </w:pPr>
      <w:r w:rsidRPr="005956F3">
        <w:rPr>
          <w:rFonts w:ascii="Times New Roman" w:hAnsi="Times New Roman" w:cs="Times New Roman"/>
          <w:b/>
          <w:bCs/>
          <w:sz w:val="20"/>
          <w:szCs w:val="20"/>
        </w:rPr>
        <w:t>Figure S2. (A)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005A7" w:rsidRPr="00D728C1">
        <w:rPr>
          <w:rFonts w:ascii="Times New Roman" w:hAnsi="Times New Roman" w:cs="Times New Roman"/>
          <w:sz w:val="20"/>
          <w:szCs w:val="20"/>
        </w:rPr>
        <w:t>Frequency of CD4+</w:t>
      </w:r>
      <w:r w:rsidR="00431269">
        <w:rPr>
          <w:rFonts w:ascii="Times New Roman" w:hAnsi="Times New Roman" w:cs="Times New Roman"/>
          <w:sz w:val="20"/>
          <w:szCs w:val="20"/>
        </w:rPr>
        <w:t>, CD8+</w:t>
      </w:r>
      <w:r w:rsidR="00B8223A" w:rsidRPr="00D728C1">
        <w:rPr>
          <w:rFonts w:ascii="Times New Roman" w:hAnsi="Times New Roman" w:cs="Times New Roman"/>
          <w:sz w:val="20"/>
          <w:szCs w:val="20"/>
        </w:rPr>
        <w:t>, double positive and double negative MAIT cell populations in control and mildly affected COVID-19 patients.</w:t>
      </w:r>
      <w:r w:rsidR="00B8223A" w:rsidRPr="00D728C1">
        <w:rPr>
          <w:sz w:val="20"/>
          <w:szCs w:val="20"/>
        </w:rPr>
        <w:t xml:space="preserve"> </w:t>
      </w:r>
      <w:r w:rsidR="00B8223A" w:rsidRPr="00D728C1">
        <w:rPr>
          <w:rFonts w:ascii="Times New Roman" w:hAnsi="Times New Roman" w:cs="Times New Roman"/>
          <w:sz w:val="20"/>
          <w:szCs w:val="20"/>
        </w:rPr>
        <w:t>Multiple t-tests with Holm-</w:t>
      </w:r>
      <w:proofErr w:type="spellStart"/>
      <w:r w:rsidR="00B8223A" w:rsidRPr="00D728C1">
        <w:rPr>
          <w:rFonts w:ascii="Times New Roman" w:hAnsi="Times New Roman" w:cs="Times New Roman"/>
          <w:sz w:val="20"/>
          <w:szCs w:val="20"/>
        </w:rPr>
        <w:t>Sidak’s</w:t>
      </w:r>
      <w:proofErr w:type="spellEnd"/>
      <w:r w:rsidR="00B8223A" w:rsidRPr="00D728C1">
        <w:rPr>
          <w:rFonts w:ascii="Times New Roman" w:hAnsi="Times New Roman" w:cs="Times New Roman"/>
          <w:sz w:val="20"/>
          <w:szCs w:val="20"/>
        </w:rPr>
        <w:t xml:space="preserve"> correction for multiple comparisons were conducted</w:t>
      </w:r>
      <w:r w:rsidR="00E92D7E" w:rsidRPr="00D728C1">
        <w:rPr>
          <w:rFonts w:ascii="Times New Roman" w:hAnsi="Times New Roman" w:cs="Times New Roman"/>
          <w:sz w:val="20"/>
          <w:szCs w:val="20"/>
        </w:rPr>
        <w:t>; bars show the standard</w:t>
      </w:r>
      <w:r w:rsidR="00B8223A" w:rsidRPr="00D728C1">
        <w:rPr>
          <w:rFonts w:ascii="Times New Roman" w:hAnsi="Times New Roman" w:cs="Times New Roman"/>
          <w:sz w:val="20"/>
          <w:szCs w:val="20"/>
        </w:rPr>
        <w:t xml:space="preserve"> error of the mean.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0359">
        <w:rPr>
          <w:rFonts w:ascii="Times New Roman" w:hAnsi="Times New Roman" w:cs="Times New Roman"/>
          <w:b/>
          <w:bCs/>
          <w:sz w:val="20"/>
          <w:szCs w:val="20"/>
        </w:rPr>
        <w:t xml:space="preserve">(B) </w:t>
      </w:r>
      <w:r w:rsidRPr="00C60359">
        <w:rPr>
          <w:rFonts w:ascii="Times New Roman" w:hAnsi="Times New Roman" w:cs="Times New Roman"/>
          <w:sz w:val="20"/>
          <w:szCs w:val="20"/>
        </w:rPr>
        <w:t xml:space="preserve">Percentage of MAIT cells expressing Granzyme B, TNF-α, IFN-γ or Perforin with or without stimulation by IL-12/18. Paired </w:t>
      </w:r>
      <w:r w:rsidR="00501505">
        <w:rPr>
          <w:rFonts w:ascii="Times New Roman" w:hAnsi="Times New Roman" w:cs="Times New Roman"/>
          <w:sz w:val="20"/>
          <w:szCs w:val="20"/>
        </w:rPr>
        <w:t>t</w:t>
      </w:r>
      <w:r w:rsidRPr="00C60359">
        <w:rPr>
          <w:rFonts w:ascii="Times New Roman" w:hAnsi="Times New Roman" w:cs="Times New Roman"/>
          <w:sz w:val="20"/>
          <w:szCs w:val="20"/>
        </w:rPr>
        <w:t xml:space="preserve">-tests were conducted to determine statistical significance between stimulated and unstimulated groups. </w:t>
      </w:r>
    </w:p>
    <w:p w14:paraId="79C8F523" w14:textId="77777777" w:rsidR="00CB53F2" w:rsidRDefault="00CB53F2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A638680" w14:textId="33BB7822" w:rsidR="00CB53F2" w:rsidRDefault="003D6CFB" w:rsidP="00421428">
      <w:pPr>
        <w:pStyle w:val="Acknowledgement"/>
        <w:ind w:left="0" w:firstLine="0"/>
        <w:rPr>
          <w:rFonts w:eastAsiaTheme="minorHAnsi"/>
          <w:b/>
          <w:bCs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0077C7F" wp14:editId="74C352D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743700" cy="6310630"/>
            <wp:effectExtent l="0" t="0" r="0" b="0"/>
            <wp:wrapTight wrapText="bothSides">
              <wp:wrapPolygon edited="0">
                <wp:start x="0" y="0"/>
                <wp:lineTo x="0" y="21517"/>
                <wp:lineTo x="21539" y="21517"/>
                <wp:lineTo x="2153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0" b="13047"/>
                    <a:stretch/>
                  </pic:blipFill>
                  <pic:spPr bwMode="auto">
                    <a:xfrm>
                      <a:off x="0" y="0"/>
                      <a:ext cx="6743700" cy="631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89795" w14:textId="798401ED" w:rsidR="0074142E" w:rsidRPr="00C60359" w:rsidRDefault="0074142E" w:rsidP="00421428">
      <w:pPr>
        <w:pStyle w:val="Acknowledgement"/>
        <w:ind w:left="0" w:firstLine="0"/>
        <w:rPr>
          <w:rFonts w:eastAsiaTheme="minorHAnsi"/>
          <w:sz w:val="20"/>
          <w:szCs w:val="20"/>
        </w:rPr>
      </w:pPr>
      <w:r w:rsidRPr="00C60359">
        <w:rPr>
          <w:rFonts w:eastAsiaTheme="minorHAnsi"/>
          <w:b/>
          <w:bCs/>
          <w:sz w:val="20"/>
          <w:szCs w:val="20"/>
        </w:rPr>
        <w:lastRenderedPageBreak/>
        <w:t>Fig</w:t>
      </w:r>
      <w:r w:rsidR="005956F3" w:rsidRPr="00C60359">
        <w:rPr>
          <w:rFonts w:eastAsiaTheme="minorHAnsi"/>
          <w:b/>
          <w:bCs/>
          <w:sz w:val="20"/>
          <w:szCs w:val="20"/>
        </w:rPr>
        <w:t>ure</w:t>
      </w:r>
      <w:r w:rsidRPr="00C60359">
        <w:rPr>
          <w:rFonts w:eastAsiaTheme="minorHAnsi"/>
          <w:b/>
          <w:bCs/>
          <w:sz w:val="20"/>
          <w:szCs w:val="20"/>
        </w:rPr>
        <w:t xml:space="preserve"> S</w:t>
      </w:r>
      <w:r w:rsidR="005956F3" w:rsidRPr="00C60359">
        <w:rPr>
          <w:rFonts w:eastAsiaTheme="minorHAnsi"/>
          <w:b/>
          <w:bCs/>
          <w:sz w:val="20"/>
          <w:szCs w:val="20"/>
        </w:rPr>
        <w:t>3</w:t>
      </w:r>
      <w:r w:rsidRPr="00C60359">
        <w:rPr>
          <w:rFonts w:eastAsiaTheme="minorHAnsi"/>
          <w:b/>
          <w:bCs/>
          <w:sz w:val="20"/>
          <w:szCs w:val="20"/>
        </w:rPr>
        <w:t>.</w:t>
      </w:r>
      <w:r w:rsidRPr="00C60359">
        <w:rPr>
          <w:rFonts w:eastAsiaTheme="minorHAnsi"/>
          <w:sz w:val="20"/>
          <w:szCs w:val="20"/>
        </w:rPr>
        <w:t xml:space="preserve">  Flow cytometric analysis of MAIT cells expressing granzyme B, IFN-γ and TNF-α</w:t>
      </w:r>
      <w:r w:rsidR="00C60359">
        <w:rPr>
          <w:rFonts w:eastAsiaTheme="minorHAnsi"/>
          <w:sz w:val="20"/>
          <w:szCs w:val="20"/>
        </w:rPr>
        <w:t>.</w:t>
      </w:r>
      <w:r w:rsidRPr="00C60359">
        <w:rPr>
          <w:rFonts w:eastAsiaTheme="minorHAnsi"/>
          <w:sz w:val="20"/>
          <w:szCs w:val="20"/>
        </w:rPr>
        <w:t xml:space="preserve"> </w:t>
      </w:r>
      <w:r w:rsidRPr="00C60359">
        <w:rPr>
          <w:rFonts w:eastAsiaTheme="minorHAnsi"/>
          <w:b/>
          <w:bCs/>
          <w:sz w:val="20"/>
          <w:szCs w:val="20"/>
        </w:rPr>
        <w:t>(A-C)</w:t>
      </w:r>
      <w:r w:rsidRPr="00C60359">
        <w:rPr>
          <w:rFonts w:eastAsiaTheme="minorHAnsi"/>
          <w:sz w:val="20"/>
          <w:szCs w:val="20"/>
        </w:rPr>
        <w:t xml:space="preserve"> each showing an example of a control individual and a SARS-CoV2 infected patient. </w:t>
      </w:r>
      <w:r w:rsidRPr="00C60359">
        <w:rPr>
          <w:rFonts w:eastAsiaTheme="minorHAnsi"/>
          <w:b/>
          <w:bCs/>
          <w:sz w:val="20"/>
          <w:szCs w:val="20"/>
        </w:rPr>
        <w:t>(D-F)</w:t>
      </w:r>
      <w:r w:rsidRPr="00C60359">
        <w:rPr>
          <w:rFonts w:eastAsiaTheme="minorHAnsi"/>
          <w:sz w:val="20"/>
          <w:szCs w:val="20"/>
        </w:rPr>
        <w:t xml:space="preserve"> Percentage of MAIT cells expressing granzyme B, IFN-γ and TNF-α in the control and patient groups with or without stimulation with IL-12/18 or IL-7 alone. </w:t>
      </w:r>
      <w:r w:rsidR="00421428" w:rsidRPr="00C60359">
        <w:rPr>
          <w:rFonts w:eastAsiaTheme="minorHAnsi"/>
          <w:sz w:val="20"/>
          <w:szCs w:val="20"/>
        </w:rPr>
        <w:t xml:space="preserve">Paired </w:t>
      </w:r>
      <w:r w:rsidR="00BE33A3">
        <w:rPr>
          <w:rFonts w:eastAsiaTheme="minorHAnsi"/>
          <w:sz w:val="20"/>
          <w:szCs w:val="20"/>
        </w:rPr>
        <w:t>t</w:t>
      </w:r>
      <w:r w:rsidR="00421428" w:rsidRPr="00C60359">
        <w:rPr>
          <w:rFonts w:eastAsiaTheme="minorHAnsi"/>
          <w:sz w:val="20"/>
          <w:szCs w:val="20"/>
        </w:rPr>
        <w:t>-tests were conducted to determine statistical significance between stimulated and unstimulated groups.</w:t>
      </w:r>
    </w:p>
    <w:p w14:paraId="00F5FE1B" w14:textId="382729C9" w:rsidR="00DF7D76" w:rsidRPr="00C60359" w:rsidRDefault="00DF7D76" w:rsidP="00DF7D76">
      <w:pPr>
        <w:rPr>
          <w:rFonts w:ascii="Times New Roman" w:hAnsi="Times New Roman" w:cs="Times New Roman"/>
          <w:sz w:val="20"/>
          <w:szCs w:val="20"/>
        </w:rPr>
      </w:pPr>
    </w:p>
    <w:p w14:paraId="782209DA" w14:textId="77777777" w:rsidR="00DF7D76" w:rsidRPr="00D728C1" w:rsidRDefault="00DF7D76" w:rsidP="00DF7D76">
      <w:pPr>
        <w:rPr>
          <w:rFonts w:ascii="Times New Roman" w:hAnsi="Times New Roman" w:cs="Times New Roman"/>
          <w:b/>
          <w:sz w:val="20"/>
          <w:szCs w:val="20"/>
        </w:rPr>
      </w:pPr>
    </w:p>
    <w:p w14:paraId="4CE0EB4E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6BAFDF22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55100659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62D06CDB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70ECF64E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4DB20BFD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p w14:paraId="4282DA47" w14:textId="77777777" w:rsidR="00DF7D76" w:rsidRPr="00DF7D76" w:rsidRDefault="00DF7D76" w:rsidP="00DF7D76">
      <w:pPr>
        <w:rPr>
          <w:rFonts w:ascii="Times New Roman" w:hAnsi="Times New Roman" w:cs="Times New Roman"/>
          <w:b/>
          <w:sz w:val="24"/>
          <w:szCs w:val="24"/>
        </w:rPr>
      </w:pPr>
    </w:p>
    <w:sectPr w:rsidR="00DF7D76" w:rsidRPr="00DF7D76" w:rsidSect="00E372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2NgBSJmaWRqYWBko6SsGpxcWZ+XkgBYa1ANfQGzosAAAA"/>
  </w:docVars>
  <w:rsids>
    <w:rsidRoot w:val="00DF4225"/>
    <w:rsid w:val="000029DC"/>
    <w:rsid w:val="00012C2C"/>
    <w:rsid w:val="001616E4"/>
    <w:rsid w:val="001C32E5"/>
    <w:rsid w:val="003408F6"/>
    <w:rsid w:val="003D6CFB"/>
    <w:rsid w:val="00405910"/>
    <w:rsid w:val="00421428"/>
    <w:rsid w:val="00431269"/>
    <w:rsid w:val="00490DE5"/>
    <w:rsid w:val="004C27FE"/>
    <w:rsid w:val="00501505"/>
    <w:rsid w:val="005956F3"/>
    <w:rsid w:val="005C0E07"/>
    <w:rsid w:val="005C6056"/>
    <w:rsid w:val="00693198"/>
    <w:rsid w:val="0074142E"/>
    <w:rsid w:val="00771F49"/>
    <w:rsid w:val="00780A2B"/>
    <w:rsid w:val="007B1DEA"/>
    <w:rsid w:val="007B7834"/>
    <w:rsid w:val="008B1713"/>
    <w:rsid w:val="009A0D1D"/>
    <w:rsid w:val="009A5E21"/>
    <w:rsid w:val="00A148B4"/>
    <w:rsid w:val="00A90B15"/>
    <w:rsid w:val="00B005A7"/>
    <w:rsid w:val="00B03C61"/>
    <w:rsid w:val="00B367C2"/>
    <w:rsid w:val="00B8223A"/>
    <w:rsid w:val="00BE33A3"/>
    <w:rsid w:val="00C60359"/>
    <w:rsid w:val="00CB53F2"/>
    <w:rsid w:val="00D07A2F"/>
    <w:rsid w:val="00D728C1"/>
    <w:rsid w:val="00DC1DE5"/>
    <w:rsid w:val="00DF4225"/>
    <w:rsid w:val="00DF7D76"/>
    <w:rsid w:val="00E372E2"/>
    <w:rsid w:val="00E92D7E"/>
    <w:rsid w:val="00F202DC"/>
    <w:rsid w:val="00F34FCA"/>
    <w:rsid w:val="00F64902"/>
    <w:rsid w:val="00F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5174A"/>
  <w15:chartTrackingRefBased/>
  <w15:docId w15:val="{70407482-AA8B-404F-9BAB-D534918B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D1D"/>
    <w:rPr>
      <w:rFonts w:ascii="Segoe UI" w:hAnsi="Segoe UI" w:cs="Segoe UI"/>
      <w:sz w:val="18"/>
      <w:szCs w:val="18"/>
    </w:rPr>
  </w:style>
  <w:style w:type="paragraph" w:customStyle="1" w:styleId="Acknowledgement">
    <w:name w:val="Acknowledgement"/>
    <w:basedOn w:val="Normal"/>
    <w:rsid w:val="0074142E"/>
    <w:pPr>
      <w:spacing w:before="12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7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A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A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Satanay Hubrack</dc:creator>
  <cp:keywords/>
  <dc:description/>
  <cp:lastModifiedBy>Christophe Raynaud</cp:lastModifiedBy>
  <cp:revision>6</cp:revision>
  <dcterms:created xsi:type="dcterms:W3CDTF">2021-05-22T15:58:00Z</dcterms:created>
  <dcterms:modified xsi:type="dcterms:W3CDTF">2021-05-24T11:56:00Z</dcterms:modified>
</cp:coreProperties>
</file>