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5E4989" w14:textId="77777777" w:rsidR="001B0821" w:rsidRPr="00E90D8B" w:rsidRDefault="001B0821" w:rsidP="001B0821">
      <w:pPr>
        <w:spacing w:line="276" w:lineRule="auto"/>
        <w:jc w:val="center"/>
        <w:rPr>
          <w:rFonts w:ascii="Times New Roman" w:hAnsi="Times New Roman" w:cs="Times New Roman"/>
          <w:b/>
          <w:bCs/>
        </w:rPr>
      </w:pPr>
      <w:r w:rsidRPr="00E90D8B">
        <w:rPr>
          <w:rFonts w:ascii="Times New Roman" w:hAnsi="Times New Roman" w:cs="Times New Roman"/>
          <w:b/>
          <w:bCs/>
        </w:rPr>
        <w:t>Waste-Derived Activated Carbons for Effective Adsorptive Removal of Strontium, Barium, and Binary Contaminants: A Response Surface Methodology Study</w:t>
      </w:r>
    </w:p>
    <w:p w14:paraId="4B37E58F" w14:textId="77777777" w:rsidR="001B0821" w:rsidRPr="00E90D8B" w:rsidRDefault="001B0821" w:rsidP="001B0821">
      <w:pPr>
        <w:spacing w:line="276" w:lineRule="auto"/>
        <w:jc w:val="center"/>
        <w:rPr>
          <w:rFonts w:ascii="Times New Roman" w:hAnsi="Times New Roman" w:cs="Times New Roman"/>
        </w:rPr>
      </w:pPr>
      <w:r w:rsidRPr="00E90D8B">
        <w:rPr>
          <w:rFonts w:ascii="Times New Roman" w:hAnsi="Times New Roman" w:cs="Times New Roman"/>
        </w:rPr>
        <w:t>Shifa Zuhara</w:t>
      </w:r>
      <w:r w:rsidRPr="00E90D8B">
        <w:rPr>
          <w:rFonts w:ascii="Times New Roman" w:hAnsi="Times New Roman" w:cs="Times New Roman"/>
          <w:vertAlign w:val="superscript"/>
        </w:rPr>
        <w:t>1</w:t>
      </w:r>
      <w:r w:rsidRPr="00E90D8B">
        <w:rPr>
          <w:rFonts w:ascii="Times New Roman" w:hAnsi="Times New Roman" w:cs="Times New Roman"/>
        </w:rPr>
        <w:t xml:space="preserve"> and Gordon McKay</w:t>
      </w:r>
      <w:r w:rsidRPr="00E90D8B">
        <w:rPr>
          <w:rFonts w:ascii="Times New Roman" w:hAnsi="Times New Roman" w:cs="Times New Roman"/>
          <w:vertAlign w:val="superscript"/>
        </w:rPr>
        <w:t>1</w:t>
      </w:r>
    </w:p>
    <w:p w14:paraId="3A6E8228" w14:textId="77777777" w:rsidR="001B0821" w:rsidRPr="00E90D8B" w:rsidRDefault="001B0821" w:rsidP="001B0821">
      <w:pPr>
        <w:spacing w:line="240" w:lineRule="auto"/>
        <w:jc w:val="center"/>
        <w:rPr>
          <w:rFonts w:ascii="Times New Roman" w:hAnsi="Times New Roman" w:cs="Times New Roman"/>
        </w:rPr>
      </w:pPr>
      <w:r w:rsidRPr="00E90D8B">
        <w:rPr>
          <w:rFonts w:ascii="Times New Roman" w:hAnsi="Times New Roman" w:cs="Times New Roman"/>
          <w:vertAlign w:val="superscript"/>
        </w:rPr>
        <w:t xml:space="preserve">1 </w:t>
      </w:r>
      <w:r w:rsidRPr="00E90D8B">
        <w:rPr>
          <w:rFonts w:ascii="Times New Roman" w:hAnsi="Times New Roman" w:cs="Times New Roman"/>
        </w:rPr>
        <w:t>Division of Sustainable Development, College of Science and Engineering, Hamad Bin Khalifa University, Education City,</w:t>
      </w:r>
    </w:p>
    <w:p w14:paraId="3C83FEE4" w14:textId="77777777" w:rsidR="001B0821" w:rsidRPr="00E90D8B" w:rsidRDefault="001B0821" w:rsidP="001B0821">
      <w:pPr>
        <w:spacing w:line="240" w:lineRule="auto"/>
        <w:jc w:val="center"/>
        <w:rPr>
          <w:rFonts w:ascii="Times New Roman" w:hAnsi="Times New Roman" w:cs="Times New Roman"/>
        </w:rPr>
      </w:pPr>
      <w:r w:rsidRPr="00E90D8B">
        <w:rPr>
          <w:rFonts w:ascii="Times New Roman" w:hAnsi="Times New Roman" w:cs="Times New Roman"/>
        </w:rPr>
        <w:t>Qatar Foundation, Doha, Qatar.</w:t>
      </w:r>
    </w:p>
    <w:p w14:paraId="2ED639CF" w14:textId="77777777" w:rsidR="001B0821" w:rsidRPr="00E90D8B" w:rsidRDefault="001B0821" w:rsidP="001B0821">
      <w:pPr>
        <w:spacing w:line="240" w:lineRule="auto"/>
        <w:jc w:val="center"/>
        <w:rPr>
          <w:rFonts w:ascii="Times New Roman" w:hAnsi="Times New Roman" w:cs="Times New Roman"/>
        </w:rPr>
      </w:pPr>
      <w:r w:rsidRPr="00E90D8B">
        <w:rPr>
          <w:rFonts w:ascii="Times New Roman" w:hAnsi="Times New Roman" w:cs="Times New Roman"/>
        </w:rPr>
        <w:t>*Author for Correspondence: Shifa Zuhara, Email: szuhara@hbku.edu.qa</w:t>
      </w:r>
    </w:p>
    <w:p w14:paraId="0537DD3D" w14:textId="1CC9A373" w:rsidR="00B04996" w:rsidRPr="00E90D8B" w:rsidRDefault="0003664E" w:rsidP="001B0821">
      <w:pPr>
        <w:jc w:val="center"/>
        <w:rPr>
          <w:noProof/>
        </w:rPr>
      </w:pPr>
      <w:r w:rsidRPr="00E90D8B">
        <w:rPr>
          <w:noProof/>
        </w:rPr>
        <w:drawing>
          <wp:inline distT="0" distB="0" distL="0" distR="0" wp14:anchorId="4EBB6FB1" wp14:editId="577167DA">
            <wp:extent cx="2537304" cy="1709531"/>
            <wp:effectExtent l="0" t="0" r="0" b="5080"/>
            <wp:docPr id="177484759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4847596" name=""/>
                    <pic:cNvPicPr/>
                  </pic:nvPicPr>
                  <pic:blipFill>
                    <a:blip r:embed="rId5"/>
                    <a:stretch>
                      <a:fillRect/>
                    </a:stretch>
                  </pic:blipFill>
                  <pic:spPr>
                    <a:xfrm>
                      <a:off x="0" y="0"/>
                      <a:ext cx="2544779" cy="1714568"/>
                    </a:xfrm>
                    <a:prstGeom prst="rect">
                      <a:avLst/>
                    </a:prstGeom>
                  </pic:spPr>
                </pic:pic>
              </a:graphicData>
            </a:graphic>
          </wp:inline>
        </w:drawing>
      </w:r>
    </w:p>
    <w:p w14:paraId="332ECDF7" w14:textId="48E40DAD" w:rsidR="001B0821" w:rsidRPr="00E90D8B" w:rsidRDefault="001B0821" w:rsidP="001B0821">
      <w:pPr>
        <w:jc w:val="center"/>
        <w:rPr>
          <w:noProof/>
        </w:rPr>
      </w:pPr>
      <w:r w:rsidRPr="00E90D8B">
        <w:rPr>
          <w:noProof/>
        </w:rPr>
        <w:t>(A)</w:t>
      </w:r>
    </w:p>
    <w:p w14:paraId="25B86DDF" w14:textId="5FFCD0BE" w:rsidR="00AA42B1" w:rsidRPr="00E90D8B" w:rsidRDefault="00AA42B1" w:rsidP="001B0821">
      <w:pPr>
        <w:jc w:val="center"/>
      </w:pPr>
      <w:r w:rsidRPr="00E90D8B">
        <w:rPr>
          <w:noProof/>
        </w:rPr>
        <w:drawing>
          <wp:inline distT="0" distB="0" distL="0" distR="0" wp14:anchorId="00E0F8E5" wp14:editId="47D55E5A">
            <wp:extent cx="2749201" cy="1828800"/>
            <wp:effectExtent l="0" t="0" r="0" b="0"/>
            <wp:docPr id="21415932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159321" name=""/>
                    <pic:cNvPicPr/>
                  </pic:nvPicPr>
                  <pic:blipFill>
                    <a:blip r:embed="rId6"/>
                    <a:stretch>
                      <a:fillRect/>
                    </a:stretch>
                  </pic:blipFill>
                  <pic:spPr>
                    <a:xfrm>
                      <a:off x="0" y="0"/>
                      <a:ext cx="2765924" cy="1839924"/>
                    </a:xfrm>
                    <a:prstGeom prst="rect">
                      <a:avLst/>
                    </a:prstGeom>
                  </pic:spPr>
                </pic:pic>
              </a:graphicData>
            </a:graphic>
          </wp:inline>
        </w:drawing>
      </w:r>
    </w:p>
    <w:p w14:paraId="51D2014E" w14:textId="2B4BCA3C" w:rsidR="001B0821" w:rsidRPr="00E90D8B" w:rsidRDefault="001B0821" w:rsidP="001B0821">
      <w:pPr>
        <w:jc w:val="center"/>
      </w:pPr>
      <w:r w:rsidRPr="00E90D8B">
        <w:t>(</w:t>
      </w:r>
      <w:r w:rsidR="009074D3" w:rsidRPr="00E90D8B">
        <w:t>B</w:t>
      </w:r>
      <w:r w:rsidRPr="00E90D8B">
        <w:t>)</w:t>
      </w:r>
    </w:p>
    <w:p w14:paraId="451E086C" w14:textId="5F918826" w:rsidR="00E60628" w:rsidRPr="00E90D8B" w:rsidRDefault="009074D3" w:rsidP="00FE64BC">
      <w:pPr>
        <w:jc w:val="center"/>
        <w:rPr>
          <w:i/>
          <w:iCs/>
        </w:rPr>
      </w:pPr>
      <w:r w:rsidRPr="00E90D8B">
        <w:rPr>
          <w:i/>
          <w:iCs/>
        </w:rPr>
        <w:t>Figure</w:t>
      </w:r>
      <w:r w:rsidR="00CA61DB" w:rsidRPr="00E90D8B">
        <w:rPr>
          <w:i/>
          <w:iCs/>
        </w:rPr>
        <w:t xml:space="preserve"> S1</w:t>
      </w:r>
      <w:r w:rsidRPr="00E90D8B">
        <w:rPr>
          <w:i/>
          <w:iCs/>
        </w:rPr>
        <w:t xml:space="preserve">: Calibration curves- Strontium, </w:t>
      </w:r>
      <w:proofErr w:type="gramStart"/>
      <w:r w:rsidRPr="00E90D8B">
        <w:rPr>
          <w:i/>
          <w:iCs/>
        </w:rPr>
        <w:t>barium</w:t>
      </w:r>
      <w:proofErr w:type="gramEnd"/>
    </w:p>
    <w:p w14:paraId="2B7A80AF" w14:textId="45D8B8FD" w:rsidR="00DC7C7F" w:rsidRPr="00E90D8B" w:rsidRDefault="00DC7C7F" w:rsidP="008A3316">
      <w:pPr>
        <w:spacing w:line="360" w:lineRule="auto"/>
        <w:jc w:val="center"/>
        <w:rPr>
          <w:rFonts w:ascii="Times" w:hAnsi="Times" w:cs="Times"/>
          <w:i/>
          <w:iCs/>
          <w:sz w:val="24"/>
          <w:szCs w:val="24"/>
        </w:rPr>
      </w:pPr>
      <w:bookmarkStart w:id="0" w:name="_Toc148294853"/>
      <w:bookmarkStart w:id="1" w:name="_Toc148641912"/>
      <w:r w:rsidRPr="00E90D8B">
        <w:rPr>
          <w:rFonts w:ascii="Times" w:hAnsi="Times" w:cs="Times"/>
          <w:i/>
          <w:iCs/>
          <w:sz w:val="24"/>
          <w:szCs w:val="24"/>
        </w:rPr>
        <w:t xml:space="preserve">Table </w:t>
      </w:r>
      <w:r w:rsidR="0006515D" w:rsidRPr="00E90D8B">
        <w:rPr>
          <w:rFonts w:ascii="Times" w:hAnsi="Times" w:cs="Times"/>
          <w:i/>
          <w:iCs/>
          <w:sz w:val="24"/>
          <w:szCs w:val="24"/>
        </w:rPr>
        <w:t>S</w:t>
      </w:r>
      <w:r w:rsidRPr="00E90D8B">
        <w:rPr>
          <w:rFonts w:ascii="Times" w:hAnsi="Times" w:cs="Times"/>
          <w:i/>
          <w:iCs/>
          <w:sz w:val="24"/>
          <w:szCs w:val="24"/>
        </w:rPr>
        <w:t>1</w:t>
      </w:r>
      <w:r w:rsidR="00E60628" w:rsidRPr="00E90D8B">
        <w:rPr>
          <w:rFonts w:ascii="Times" w:hAnsi="Times" w:cs="Times"/>
          <w:i/>
          <w:iCs/>
          <w:sz w:val="24"/>
          <w:szCs w:val="24"/>
        </w:rPr>
        <w:t>: Literature comparison of strontium, barium adsorption</w:t>
      </w:r>
      <w:bookmarkEnd w:id="0"/>
      <w:bookmarkEnd w:id="1"/>
    </w:p>
    <w:tbl>
      <w:tblPr>
        <w:tblStyle w:val="TableGrid"/>
        <w:tblW w:w="7587" w:type="dxa"/>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5"/>
        <w:gridCol w:w="2982"/>
        <w:gridCol w:w="690"/>
        <w:gridCol w:w="626"/>
        <w:gridCol w:w="471"/>
        <w:gridCol w:w="789"/>
        <w:gridCol w:w="112"/>
        <w:gridCol w:w="662"/>
      </w:tblGrid>
      <w:tr w:rsidR="00E90D8B" w:rsidRPr="00E90D8B" w14:paraId="0B76FB3B" w14:textId="77777777" w:rsidTr="00377288">
        <w:trPr>
          <w:trHeight w:val="477"/>
          <w:jc w:val="center"/>
        </w:trPr>
        <w:tc>
          <w:tcPr>
            <w:tcW w:w="1255" w:type="dxa"/>
            <w:vMerge w:val="restart"/>
            <w:tcBorders>
              <w:top w:val="single" w:sz="4" w:space="0" w:color="auto"/>
              <w:left w:val="single" w:sz="4" w:space="0" w:color="auto"/>
              <w:right w:val="single" w:sz="4" w:space="0" w:color="auto"/>
            </w:tcBorders>
          </w:tcPr>
          <w:p w14:paraId="7E8C8674" w14:textId="335F87C2" w:rsidR="005624AD" w:rsidRPr="00E90D8B" w:rsidRDefault="005624AD" w:rsidP="00DF2728">
            <w:pPr>
              <w:pStyle w:val="ListParagraph"/>
              <w:tabs>
                <w:tab w:val="center" w:pos="397"/>
              </w:tabs>
              <w:spacing w:line="360" w:lineRule="auto"/>
              <w:ind w:left="0"/>
              <w:jc w:val="center"/>
              <w:rPr>
                <w:rFonts w:ascii="Times" w:hAnsi="Times" w:cs="Times"/>
                <w:b/>
                <w:bCs/>
                <w:sz w:val="24"/>
                <w:szCs w:val="24"/>
              </w:rPr>
            </w:pPr>
            <w:r w:rsidRPr="00E90D8B">
              <w:rPr>
                <w:rFonts w:ascii="Times" w:hAnsi="Times" w:cs="Times"/>
                <w:b/>
                <w:bCs/>
                <w:sz w:val="24"/>
                <w:szCs w:val="24"/>
              </w:rPr>
              <w:t>Sample</w:t>
            </w:r>
          </w:p>
        </w:tc>
        <w:tc>
          <w:tcPr>
            <w:tcW w:w="2982" w:type="dxa"/>
            <w:vMerge w:val="restart"/>
            <w:tcBorders>
              <w:top w:val="single" w:sz="4" w:space="0" w:color="auto"/>
              <w:left w:val="single" w:sz="4" w:space="0" w:color="auto"/>
              <w:right w:val="single" w:sz="4" w:space="0" w:color="auto"/>
            </w:tcBorders>
          </w:tcPr>
          <w:p w14:paraId="700F0DCB" w14:textId="2F5C2178" w:rsidR="005624AD" w:rsidRPr="00E90D8B" w:rsidRDefault="005624AD" w:rsidP="00DF2728">
            <w:pPr>
              <w:pStyle w:val="ListParagraph"/>
              <w:spacing w:line="360" w:lineRule="auto"/>
              <w:ind w:left="0"/>
              <w:jc w:val="center"/>
              <w:rPr>
                <w:rFonts w:ascii="Times" w:hAnsi="Times" w:cs="Times"/>
                <w:b/>
                <w:bCs/>
                <w:kern w:val="24"/>
                <w:sz w:val="24"/>
                <w:szCs w:val="24"/>
              </w:rPr>
            </w:pPr>
            <w:r w:rsidRPr="00E90D8B">
              <w:rPr>
                <w:rFonts w:ascii="Times" w:hAnsi="Times" w:cs="Times"/>
                <w:b/>
                <w:bCs/>
                <w:kern w:val="24"/>
                <w:sz w:val="24"/>
                <w:szCs w:val="24"/>
              </w:rPr>
              <w:t>Conditions</w:t>
            </w:r>
          </w:p>
        </w:tc>
        <w:tc>
          <w:tcPr>
            <w:tcW w:w="690" w:type="dxa"/>
            <w:tcBorders>
              <w:top w:val="single" w:sz="4" w:space="0" w:color="auto"/>
              <w:left w:val="single" w:sz="4" w:space="0" w:color="auto"/>
              <w:bottom w:val="single" w:sz="4" w:space="0" w:color="auto"/>
              <w:right w:val="single" w:sz="4" w:space="0" w:color="auto"/>
            </w:tcBorders>
            <w:shd w:val="clear" w:color="auto" w:fill="auto"/>
            <w:vAlign w:val="center"/>
          </w:tcPr>
          <w:p w14:paraId="0C91161E" w14:textId="7C7CBB6D" w:rsidR="005624AD" w:rsidRPr="00E90D8B" w:rsidRDefault="005624AD" w:rsidP="00DF2728">
            <w:pPr>
              <w:pStyle w:val="ListParagraph"/>
              <w:spacing w:line="360" w:lineRule="auto"/>
              <w:ind w:left="0"/>
              <w:jc w:val="center"/>
              <w:rPr>
                <w:rFonts w:ascii="Times" w:hAnsi="Times" w:cs="Times"/>
                <w:b/>
                <w:bCs/>
                <w:kern w:val="24"/>
                <w:sz w:val="24"/>
                <w:szCs w:val="24"/>
              </w:rPr>
            </w:pPr>
            <w:r w:rsidRPr="00E90D8B">
              <w:rPr>
                <w:rFonts w:ascii="Times" w:hAnsi="Times" w:cs="Times"/>
                <w:b/>
                <w:bCs/>
                <w:kern w:val="24"/>
                <w:sz w:val="24"/>
                <w:szCs w:val="24"/>
              </w:rPr>
              <w:t>Sr</w:t>
            </w:r>
          </w:p>
        </w:tc>
        <w:tc>
          <w:tcPr>
            <w:tcW w:w="109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50A29A2" w14:textId="582F45B3" w:rsidR="005624AD" w:rsidRPr="00E90D8B" w:rsidRDefault="005624AD" w:rsidP="00DF2728">
            <w:pPr>
              <w:pStyle w:val="ListParagraph"/>
              <w:spacing w:line="360" w:lineRule="auto"/>
              <w:ind w:left="0"/>
              <w:jc w:val="center"/>
              <w:rPr>
                <w:rFonts w:ascii="Times" w:hAnsi="Times" w:cs="Times"/>
                <w:b/>
                <w:bCs/>
                <w:kern w:val="24"/>
                <w:sz w:val="24"/>
                <w:szCs w:val="24"/>
              </w:rPr>
            </w:pPr>
            <w:r w:rsidRPr="00E90D8B">
              <w:rPr>
                <w:rFonts w:ascii="Times" w:hAnsi="Times" w:cs="Times"/>
                <w:b/>
                <w:bCs/>
                <w:kern w:val="24"/>
                <w:sz w:val="24"/>
                <w:szCs w:val="24"/>
              </w:rPr>
              <w:t>Ba</w:t>
            </w:r>
          </w:p>
        </w:tc>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14:paraId="61EBF02F" w14:textId="3682FC91" w:rsidR="005624AD" w:rsidRPr="00E90D8B" w:rsidRDefault="005624AD" w:rsidP="00DF2728">
            <w:pPr>
              <w:pStyle w:val="ListParagraph"/>
              <w:spacing w:line="360" w:lineRule="auto"/>
              <w:ind w:left="0"/>
              <w:jc w:val="center"/>
              <w:rPr>
                <w:rFonts w:ascii="Times" w:hAnsi="Times" w:cs="Times"/>
                <w:b/>
                <w:bCs/>
                <w:kern w:val="24"/>
                <w:sz w:val="24"/>
                <w:szCs w:val="24"/>
              </w:rPr>
            </w:pPr>
            <w:r w:rsidRPr="00E90D8B">
              <w:rPr>
                <w:rFonts w:ascii="Times" w:hAnsi="Times" w:cs="Times"/>
                <w:b/>
                <w:bCs/>
                <w:kern w:val="24"/>
                <w:sz w:val="24"/>
                <w:szCs w:val="24"/>
              </w:rPr>
              <w:t>Bi-Sr</w:t>
            </w:r>
          </w:p>
        </w:tc>
        <w:tc>
          <w:tcPr>
            <w:tcW w:w="77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36A2E17" w14:textId="5050C4DE" w:rsidR="005624AD" w:rsidRPr="00E90D8B" w:rsidRDefault="005624AD" w:rsidP="00DF2728">
            <w:pPr>
              <w:pStyle w:val="ListParagraph"/>
              <w:spacing w:line="360" w:lineRule="auto"/>
              <w:ind w:left="0"/>
              <w:jc w:val="center"/>
              <w:rPr>
                <w:rFonts w:ascii="Times" w:hAnsi="Times" w:cs="Times"/>
                <w:b/>
                <w:bCs/>
                <w:kern w:val="24"/>
                <w:sz w:val="24"/>
                <w:szCs w:val="24"/>
              </w:rPr>
            </w:pPr>
            <w:r w:rsidRPr="00E90D8B">
              <w:rPr>
                <w:rFonts w:ascii="Times" w:hAnsi="Times" w:cs="Times"/>
                <w:b/>
                <w:bCs/>
                <w:kern w:val="24"/>
                <w:sz w:val="24"/>
                <w:szCs w:val="24"/>
              </w:rPr>
              <w:t>Bi-Ba</w:t>
            </w:r>
          </w:p>
        </w:tc>
      </w:tr>
      <w:tr w:rsidR="00E90D8B" w:rsidRPr="00E90D8B" w14:paraId="2F8ED5F2" w14:textId="77777777" w:rsidTr="00377288">
        <w:trPr>
          <w:trHeight w:val="477"/>
          <w:jc w:val="center"/>
        </w:trPr>
        <w:tc>
          <w:tcPr>
            <w:tcW w:w="1255" w:type="dxa"/>
            <w:vMerge/>
            <w:tcBorders>
              <w:left w:val="single" w:sz="4" w:space="0" w:color="auto"/>
              <w:bottom w:val="single" w:sz="4" w:space="0" w:color="auto"/>
              <w:right w:val="single" w:sz="4" w:space="0" w:color="auto"/>
            </w:tcBorders>
          </w:tcPr>
          <w:p w14:paraId="45685758" w14:textId="47CB52D0" w:rsidR="005624AD" w:rsidRPr="00E90D8B" w:rsidRDefault="005624AD" w:rsidP="00DF2728">
            <w:pPr>
              <w:pStyle w:val="ListParagraph"/>
              <w:tabs>
                <w:tab w:val="center" w:pos="397"/>
              </w:tabs>
              <w:spacing w:line="360" w:lineRule="auto"/>
              <w:ind w:left="0"/>
              <w:jc w:val="center"/>
              <w:rPr>
                <w:rFonts w:ascii="Times" w:hAnsi="Times" w:cs="Times"/>
                <w:b/>
                <w:bCs/>
                <w:sz w:val="24"/>
                <w:szCs w:val="24"/>
              </w:rPr>
            </w:pPr>
          </w:p>
        </w:tc>
        <w:tc>
          <w:tcPr>
            <w:tcW w:w="2982" w:type="dxa"/>
            <w:vMerge/>
            <w:tcBorders>
              <w:left w:val="single" w:sz="4" w:space="0" w:color="auto"/>
              <w:bottom w:val="single" w:sz="4" w:space="0" w:color="auto"/>
              <w:right w:val="single" w:sz="4" w:space="0" w:color="auto"/>
            </w:tcBorders>
          </w:tcPr>
          <w:p w14:paraId="4EEB948C" w14:textId="77777777" w:rsidR="005624AD" w:rsidRPr="00E90D8B" w:rsidRDefault="005624AD" w:rsidP="00DF2728">
            <w:pPr>
              <w:pStyle w:val="ListParagraph"/>
              <w:spacing w:line="360" w:lineRule="auto"/>
              <w:ind w:left="0"/>
              <w:jc w:val="center"/>
              <w:rPr>
                <w:rFonts w:ascii="Times" w:hAnsi="Times" w:cs="Times"/>
                <w:b/>
                <w:bCs/>
                <w:kern w:val="24"/>
                <w:sz w:val="24"/>
                <w:szCs w:val="24"/>
              </w:rPr>
            </w:pPr>
          </w:p>
        </w:tc>
        <w:tc>
          <w:tcPr>
            <w:tcW w:w="3350"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290E95A0" w14:textId="4BDED601" w:rsidR="005624AD" w:rsidRPr="00E90D8B" w:rsidRDefault="005624AD" w:rsidP="00DF2728">
            <w:pPr>
              <w:pStyle w:val="ListParagraph"/>
              <w:spacing w:line="360" w:lineRule="auto"/>
              <w:ind w:left="0"/>
              <w:jc w:val="center"/>
              <w:rPr>
                <w:rFonts w:ascii="Times" w:hAnsi="Times" w:cs="Times"/>
                <w:b/>
                <w:bCs/>
                <w:kern w:val="24"/>
                <w:sz w:val="24"/>
                <w:szCs w:val="24"/>
              </w:rPr>
            </w:pPr>
            <w:r w:rsidRPr="00E90D8B">
              <w:rPr>
                <w:rFonts w:ascii="Times" w:hAnsi="Times" w:cs="Times"/>
                <w:b/>
                <w:bCs/>
                <w:kern w:val="24"/>
                <w:sz w:val="24"/>
                <w:szCs w:val="24"/>
              </w:rPr>
              <w:t>Adsorption capacity (mg/g)</w:t>
            </w:r>
          </w:p>
        </w:tc>
      </w:tr>
      <w:tr w:rsidR="00E90D8B" w:rsidRPr="00E90D8B" w14:paraId="177BDF01" w14:textId="77777777" w:rsidTr="00377288">
        <w:trPr>
          <w:trHeight w:val="266"/>
          <w:jc w:val="center"/>
        </w:trPr>
        <w:tc>
          <w:tcPr>
            <w:tcW w:w="1255" w:type="dxa"/>
            <w:tcBorders>
              <w:top w:val="single" w:sz="4" w:space="0" w:color="auto"/>
              <w:left w:val="single" w:sz="4" w:space="0" w:color="auto"/>
              <w:bottom w:val="single" w:sz="4" w:space="0" w:color="auto"/>
              <w:right w:val="single" w:sz="4" w:space="0" w:color="auto"/>
            </w:tcBorders>
          </w:tcPr>
          <w:p w14:paraId="3E3C1472" w14:textId="2C6FA3CC" w:rsidR="005624AD" w:rsidRPr="00E90D8B" w:rsidRDefault="005624AD" w:rsidP="00DF2728">
            <w:pPr>
              <w:pStyle w:val="ListParagraph"/>
              <w:tabs>
                <w:tab w:val="center" w:pos="397"/>
              </w:tabs>
              <w:spacing w:line="360" w:lineRule="auto"/>
              <w:ind w:left="0"/>
              <w:jc w:val="center"/>
              <w:rPr>
                <w:rFonts w:ascii="Times" w:hAnsi="Times" w:cs="Times"/>
                <w:sz w:val="24"/>
                <w:szCs w:val="24"/>
              </w:rPr>
            </w:pPr>
            <w:r w:rsidRPr="00E90D8B">
              <w:rPr>
                <w:rFonts w:ascii="Times" w:hAnsi="Times" w:cs="Times"/>
                <w:sz w:val="24"/>
                <w:szCs w:val="24"/>
              </w:rPr>
              <w:t>KBS</w:t>
            </w:r>
          </w:p>
        </w:tc>
        <w:tc>
          <w:tcPr>
            <w:tcW w:w="2982" w:type="dxa"/>
            <w:vMerge w:val="restart"/>
            <w:tcBorders>
              <w:top w:val="single" w:sz="4" w:space="0" w:color="auto"/>
              <w:left w:val="single" w:sz="4" w:space="0" w:color="auto"/>
              <w:bottom w:val="single" w:sz="4" w:space="0" w:color="auto"/>
              <w:right w:val="single" w:sz="4" w:space="0" w:color="auto"/>
            </w:tcBorders>
          </w:tcPr>
          <w:p w14:paraId="21E93F78" w14:textId="77777777" w:rsidR="005624AD" w:rsidRPr="00E90D8B" w:rsidRDefault="005624AD" w:rsidP="00DF2728">
            <w:pPr>
              <w:pStyle w:val="ListParagraph"/>
              <w:spacing w:line="360" w:lineRule="auto"/>
              <w:ind w:left="0"/>
              <w:jc w:val="center"/>
              <w:rPr>
                <w:rFonts w:ascii="Times" w:hAnsi="Times" w:cs="Times"/>
                <w:kern w:val="24"/>
                <w:sz w:val="24"/>
                <w:szCs w:val="24"/>
              </w:rPr>
            </w:pPr>
            <w:r w:rsidRPr="00E90D8B">
              <w:rPr>
                <w:rFonts w:ascii="Times" w:hAnsi="Times" w:cs="Times"/>
                <w:kern w:val="24"/>
                <w:sz w:val="24"/>
                <w:szCs w:val="24"/>
              </w:rPr>
              <w:t>pH: 6.00</w:t>
            </w:r>
            <w:r w:rsidRPr="00E90D8B">
              <w:rPr>
                <w:rFonts w:ascii="Times" w:hAnsi="Times" w:cs="Times"/>
                <w:kern w:val="24"/>
                <w:sz w:val="24"/>
                <w:szCs w:val="24"/>
              </w:rPr>
              <w:br/>
              <w:t>Temperature: 40.0℃</w:t>
            </w:r>
            <w:r w:rsidRPr="00E90D8B">
              <w:rPr>
                <w:rFonts w:ascii="Times" w:hAnsi="Times" w:cs="Times"/>
                <w:kern w:val="24"/>
                <w:sz w:val="24"/>
                <w:szCs w:val="24"/>
              </w:rPr>
              <w:br/>
              <w:t>Dose: 0.300g</w:t>
            </w:r>
          </w:p>
        </w:tc>
        <w:tc>
          <w:tcPr>
            <w:tcW w:w="690" w:type="dxa"/>
            <w:tcBorders>
              <w:top w:val="single" w:sz="4" w:space="0" w:color="auto"/>
              <w:left w:val="single" w:sz="4" w:space="0" w:color="auto"/>
              <w:bottom w:val="single" w:sz="4" w:space="0" w:color="auto"/>
              <w:right w:val="single" w:sz="4" w:space="0" w:color="auto"/>
            </w:tcBorders>
            <w:shd w:val="clear" w:color="auto" w:fill="auto"/>
            <w:vAlign w:val="center"/>
          </w:tcPr>
          <w:p w14:paraId="5A193416" w14:textId="77777777" w:rsidR="005624AD" w:rsidRPr="00E90D8B" w:rsidRDefault="005624AD" w:rsidP="00DF2728">
            <w:pPr>
              <w:pStyle w:val="ListParagraph"/>
              <w:spacing w:line="360" w:lineRule="auto"/>
              <w:ind w:left="0"/>
              <w:jc w:val="center"/>
              <w:rPr>
                <w:rFonts w:ascii="Times" w:hAnsi="Times" w:cs="Times"/>
                <w:sz w:val="24"/>
                <w:szCs w:val="24"/>
              </w:rPr>
            </w:pPr>
            <w:r w:rsidRPr="00E90D8B">
              <w:rPr>
                <w:rFonts w:ascii="Times" w:hAnsi="Times" w:cs="Times"/>
                <w:kern w:val="24"/>
                <w:sz w:val="24"/>
                <w:szCs w:val="24"/>
              </w:rPr>
              <w:t>81.9</w:t>
            </w:r>
          </w:p>
        </w:tc>
        <w:tc>
          <w:tcPr>
            <w:tcW w:w="109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C5F6EE8" w14:textId="77777777" w:rsidR="005624AD" w:rsidRPr="00E90D8B" w:rsidRDefault="005624AD" w:rsidP="00DF2728">
            <w:pPr>
              <w:pStyle w:val="ListParagraph"/>
              <w:spacing w:line="360" w:lineRule="auto"/>
              <w:ind w:left="0"/>
              <w:jc w:val="center"/>
              <w:rPr>
                <w:rFonts w:ascii="Times" w:hAnsi="Times" w:cs="Times"/>
                <w:sz w:val="24"/>
                <w:szCs w:val="24"/>
              </w:rPr>
            </w:pPr>
            <w:r w:rsidRPr="00E90D8B">
              <w:rPr>
                <w:rFonts w:ascii="Times" w:hAnsi="Times" w:cs="Times"/>
                <w:kern w:val="24"/>
                <w:sz w:val="24"/>
                <w:szCs w:val="24"/>
              </w:rPr>
              <w:t>90.3</w:t>
            </w:r>
          </w:p>
        </w:tc>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14:paraId="403932D8" w14:textId="77777777" w:rsidR="005624AD" w:rsidRPr="00E90D8B" w:rsidRDefault="005624AD" w:rsidP="00DF2728">
            <w:pPr>
              <w:pStyle w:val="ListParagraph"/>
              <w:spacing w:line="360" w:lineRule="auto"/>
              <w:ind w:left="0"/>
              <w:jc w:val="center"/>
              <w:rPr>
                <w:rFonts w:ascii="Times" w:hAnsi="Times" w:cs="Times"/>
                <w:sz w:val="24"/>
                <w:szCs w:val="24"/>
              </w:rPr>
            </w:pPr>
            <w:r w:rsidRPr="00E90D8B">
              <w:rPr>
                <w:rFonts w:ascii="Times" w:hAnsi="Times" w:cs="Times"/>
                <w:kern w:val="24"/>
                <w:sz w:val="24"/>
                <w:szCs w:val="24"/>
              </w:rPr>
              <w:t>75.2</w:t>
            </w:r>
          </w:p>
        </w:tc>
        <w:tc>
          <w:tcPr>
            <w:tcW w:w="77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6FB731D" w14:textId="77777777" w:rsidR="005624AD" w:rsidRPr="00E90D8B" w:rsidRDefault="005624AD" w:rsidP="00DF2728">
            <w:pPr>
              <w:pStyle w:val="ListParagraph"/>
              <w:spacing w:line="360" w:lineRule="auto"/>
              <w:ind w:left="0"/>
              <w:jc w:val="center"/>
              <w:rPr>
                <w:rFonts w:ascii="Times" w:hAnsi="Times" w:cs="Times"/>
                <w:sz w:val="24"/>
                <w:szCs w:val="24"/>
              </w:rPr>
            </w:pPr>
            <w:r w:rsidRPr="00E90D8B">
              <w:rPr>
                <w:rFonts w:ascii="Times" w:hAnsi="Times" w:cs="Times"/>
                <w:kern w:val="24"/>
                <w:sz w:val="24"/>
                <w:szCs w:val="24"/>
              </w:rPr>
              <w:t>82.7</w:t>
            </w:r>
          </w:p>
        </w:tc>
      </w:tr>
      <w:tr w:rsidR="00E90D8B" w:rsidRPr="00E90D8B" w14:paraId="63DA6B99" w14:textId="77777777" w:rsidTr="00377288">
        <w:trPr>
          <w:trHeight w:val="266"/>
          <w:jc w:val="center"/>
        </w:trPr>
        <w:tc>
          <w:tcPr>
            <w:tcW w:w="1255" w:type="dxa"/>
            <w:tcBorders>
              <w:top w:val="single" w:sz="4" w:space="0" w:color="auto"/>
              <w:left w:val="single" w:sz="4" w:space="0" w:color="auto"/>
              <w:bottom w:val="single" w:sz="4" w:space="0" w:color="auto"/>
              <w:right w:val="single" w:sz="4" w:space="0" w:color="auto"/>
            </w:tcBorders>
          </w:tcPr>
          <w:p w14:paraId="0626D713" w14:textId="54B23A29" w:rsidR="005624AD" w:rsidRPr="00E90D8B" w:rsidRDefault="005624AD" w:rsidP="00DF2728">
            <w:pPr>
              <w:pStyle w:val="ListParagraph"/>
              <w:tabs>
                <w:tab w:val="center" w:pos="397"/>
              </w:tabs>
              <w:spacing w:line="360" w:lineRule="auto"/>
              <w:ind w:left="0"/>
              <w:jc w:val="center"/>
              <w:rPr>
                <w:rFonts w:ascii="Times" w:hAnsi="Times" w:cs="Times"/>
                <w:sz w:val="24"/>
                <w:szCs w:val="24"/>
              </w:rPr>
            </w:pPr>
            <w:r w:rsidRPr="00E90D8B">
              <w:rPr>
                <w:rFonts w:ascii="Times" w:hAnsi="Times" w:cs="Times"/>
                <w:sz w:val="24"/>
                <w:szCs w:val="24"/>
              </w:rPr>
              <w:t>KCB</w:t>
            </w:r>
          </w:p>
        </w:tc>
        <w:tc>
          <w:tcPr>
            <w:tcW w:w="2982" w:type="dxa"/>
            <w:vMerge/>
            <w:tcBorders>
              <w:top w:val="single" w:sz="4" w:space="0" w:color="auto"/>
              <w:left w:val="single" w:sz="4" w:space="0" w:color="auto"/>
              <w:bottom w:val="single" w:sz="4" w:space="0" w:color="auto"/>
              <w:right w:val="single" w:sz="4" w:space="0" w:color="auto"/>
            </w:tcBorders>
          </w:tcPr>
          <w:p w14:paraId="1B159FBD" w14:textId="77777777" w:rsidR="005624AD" w:rsidRPr="00E90D8B" w:rsidRDefault="005624AD" w:rsidP="00DF2728">
            <w:pPr>
              <w:pStyle w:val="ListParagraph"/>
              <w:spacing w:line="360" w:lineRule="auto"/>
              <w:ind w:left="0"/>
              <w:jc w:val="center"/>
              <w:rPr>
                <w:rFonts w:ascii="Times" w:hAnsi="Times" w:cs="Times"/>
                <w:kern w:val="24"/>
                <w:sz w:val="24"/>
                <w:szCs w:val="24"/>
              </w:rPr>
            </w:pPr>
          </w:p>
        </w:tc>
        <w:tc>
          <w:tcPr>
            <w:tcW w:w="690" w:type="dxa"/>
            <w:tcBorders>
              <w:top w:val="single" w:sz="4" w:space="0" w:color="auto"/>
              <w:left w:val="single" w:sz="4" w:space="0" w:color="auto"/>
              <w:bottom w:val="single" w:sz="4" w:space="0" w:color="auto"/>
              <w:right w:val="single" w:sz="4" w:space="0" w:color="auto"/>
            </w:tcBorders>
            <w:shd w:val="clear" w:color="auto" w:fill="auto"/>
            <w:vAlign w:val="center"/>
          </w:tcPr>
          <w:p w14:paraId="6CB8642F" w14:textId="77777777" w:rsidR="005624AD" w:rsidRPr="00E90D8B" w:rsidRDefault="005624AD" w:rsidP="00DF2728">
            <w:pPr>
              <w:pStyle w:val="ListParagraph"/>
              <w:spacing w:line="360" w:lineRule="auto"/>
              <w:ind w:left="0"/>
              <w:jc w:val="center"/>
              <w:rPr>
                <w:rFonts w:ascii="Times" w:hAnsi="Times" w:cs="Times"/>
                <w:sz w:val="24"/>
                <w:szCs w:val="24"/>
              </w:rPr>
            </w:pPr>
            <w:r w:rsidRPr="00E90D8B">
              <w:rPr>
                <w:rFonts w:ascii="Times" w:hAnsi="Times" w:cs="Times"/>
                <w:kern w:val="24"/>
                <w:sz w:val="24"/>
                <w:szCs w:val="24"/>
              </w:rPr>
              <w:t>86.2</w:t>
            </w:r>
          </w:p>
        </w:tc>
        <w:tc>
          <w:tcPr>
            <w:tcW w:w="109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3E42C68" w14:textId="77777777" w:rsidR="005624AD" w:rsidRPr="00E90D8B" w:rsidRDefault="005624AD" w:rsidP="00DF2728">
            <w:pPr>
              <w:pStyle w:val="ListParagraph"/>
              <w:spacing w:line="360" w:lineRule="auto"/>
              <w:ind w:left="0"/>
              <w:jc w:val="center"/>
              <w:rPr>
                <w:rFonts w:ascii="Times" w:hAnsi="Times" w:cs="Times"/>
                <w:sz w:val="24"/>
                <w:szCs w:val="24"/>
              </w:rPr>
            </w:pPr>
            <w:r w:rsidRPr="00E90D8B">
              <w:rPr>
                <w:rFonts w:ascii="Times" w:hAnsi="Times" w:cs="Times"/>
                <w:kern w:val="24"/>
                <w:sz w:val="24"/>
                <w:szCs w:val="24"/>
              </w:rPr>
              <w:t>92.9</w:t>
            </w:r>
          </w:p>
        </w:tc>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14:paraId="7C9F549D" w14:textId="77777777" w:rsidR="005624AD" w:rsidRPr="00E90D8B" w:rsidRDefault="005624AD" w:rsidP="00DF2728">
            <w:pPr>
              <w:pStyle w:val="ListParagraph"/>
              <w:spacing w:line="360" w:lineRule="auto"/>
              <w:ind w:left="0"/>
              <w:jc w:val="center"/>
              <w:rPr>
                <w:rFonts w:ascii="Times" w:hAnsi="Times" w:cs="Times"/>
                <w:sz w:val="24"/>
                <w:szCs w:val="24"/>
              </w:rPr>
            </w:pPr>
            <w:r w:rsidRPr="00E90D8B">
              <w:rPr>
                <w:rFonts w:ascii="Times" w:hAnsi="Times" w:cs="Times"/>
                <w:kern w:val="24"/>
                <w:sz w:val="24"/>
                <w:szCs w:val="24"/>
              </w:rPr>
              <w:t>77.7</w:t>
            </w:r>
          </w:p>
        </w:tc>
        <w:tc>
          <w:tcPr>
            <w:tcW w:w="77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7265012" w14:textId="77777777" w:rsidR="005624AD" w:rsidRPr="00E90D8B" w:rsidRDefault="005624AD" w:rsidP="00DF2728">
            <w:pPr>
              <w:pStyle w:val="ListParagraph"/>
              <w:spacing w:line="360" w:lineRule="auto"/>
              <w:ind w:left="0"/>
              <w:jc w:val="center"/>
              <w:rPr>
                <w:rFonts w:ascii="Times" w:hAnsi="Times" w:cs="Times"/>
                <w:sz w:val="24"/>
                <w:szCs w:val="24"/>
              </w:rPr>
            </w:pPr>
            <w:r w:rsidRPr="00E90D8B">
              <w:rPr>
                <w:rFonts w:ascii="Times" w:hAnsi="Times" w:cs="Times"/>
                <w:kern w:val="24"/>
                <w:sz w:val="24"/>
                <w:szCs w:val="24"/>
              </w:rPr>
              <w:t>85.6</w:t>
            </w:r>
          </w:p>
        </w:tc>
      </w:tr>
      <w:tr w:rsidR="00E90D8B" w:rsidRPr="00E90D8B" w14:paraId="37EA06D4" w14:textId="77777777" w:rsidTr="00377288">
        <w:trPr>
          <w:trHeight w:val="249"/>
          <w:jc w:val="center"/>
        </w:trPr>
        <w:tc>
          <w:tcPr>
            <w:tcW w:w="1255" w:type="dxa"/>
            <w:tcBorders>
              <w:top w:val="single" w:sz="4" w:space="0" w:color="auto"/>
              <w:left w:val="single" w:sz="4" w:space="0" w:color="auto"/>
              <w:bottom w:val="single" w:sz="4" w:space="0" w:color="auto"/>
              <w:right w:val="single" w:sz="4" w:space="0" w:color="auto"/>
            </w:tcBorders>
          </w:tcPr>
          <w:p w14:paraId="4D5EBB1A" w14:textId="1DE68993" w:rsidR="005624AD" w:rsidRPr="00E90D8B" w:rsidRDefault="005624AD" w:rsidP="00DF2728">
            <w:pPr>
              <w:pStyle w:val="ListParagraph"/>
              <w:tabs>
                <w:tab w:val="center" w:pos="397"/>
              </w:tabs>
              <w:spacing w:line="360" w:lineRule="auto"/>
              <w:ind w:left="0"/>
              <w:jc w:val="center"/>
              <w:rPr>
                <w:rFonts w:ascii="Times" w:hAnsi="Times" w:cs="Times"/>
                <w:sz w:val="24"/>
                <w:szCs w:val="24"/>
              </w:rPr>
            </w:pPr>
            <w:r w:rsidRPr="00E90D8B">
              <w:rPr>
                <w:rFonts w:ascii="Times" w:hAnsi="Times" w:cs="Times"/>
                <w:sz w:val="24"/>
                <w:szCs w:val="24"/>
              </w:rPr>
              <w:lastRenderedPageBreak/>
              <w:t>KM</w:t>
            </w:r>
          </w:p>
        </w:tc>
        <w:tc>
          <w:tcPr>
            <w:tcW w:w="2982" w:type="dxa"/>
            <w:vMerge/>
            <w:tcBorders>
              <w:top w:val="single" w:sz="4" w:space="0" w:color="auto"/>
              <w:left w:val="single" w:sz="4" w:space="0" w:color="auto"/>
              <w:bottom w:val="single" w:sz="4" w:space="0" w:color="auto"/>
              <w:right w:val="single" w:sz="4" w:space="0" w:color="auto"/>
            </w:tcBorders>
          </w:tcPr>
          <w:p w14:paraId="463CAB36" w14:textId="77777777" w:rsidR="005624AD" w:rsidRPr="00E90D8B" w:rsidRDefault="005624AD" w:rsidP="00DF2728">
            <w:pPr>
              <w:pStyle w:val="ListParagraph"/>
              <w:spacing w:line="360" w:lineRule="auto"/>
              <w:ind w:left="0"/>
              <w:jc w:val="center"/>
              <w:rPr>
                <w:rFonts w:ascii="Times" w:hAnsi="Times" w:cs="Times"/>
                <w:kern w:val="24"/>
                <w:sz w:val="24"/>
                <w:szCs w:val="24"/>
              </w:rPr>
            </w:pPr>
          </w:p>
        </w:tc>
        <w:tc>
          <w:tcPr>
            <w:tcW w:w="690" w:type="dxa"/>
            <w:tcBorders>
              <w:top w:val="single" w:sz="4" w:space="0" w:color="auto"/>
              <w:left w:val="single" w:sz="4" w:space="0" w:color="auto"/>
              <w:bottom w:val="single" w:sz="4" w:space="0" w:color="auto"/>
              <w:right w:val="single" w:sz="4" w:space="0" w:color="auto"/>
            </w:tcBorders>
            <w:shd w:val="clear" w:color="auto" w:fill="auto"/>
            <w:vAlign w:val="center"/>
          </w:tcPr>
          <w:p w14:paraId="145553AD" w14:textId="77777777" w:rsidR="005624AD" w:rsidRPr="00E90D8B" w:rsidRDefault="005624AD" w:rsidP="00DF2728">
            <w:pPr>
              <w:pStyle w:val="ListParagraph"/>
              <w:spacing w:line="360" w:lineRule="auto"/>
              <w:ind w:left="0"/>
              <w:jc w:val="center"/>
              <w:rPr>
                <w:rFonts w:ascii="Times" w:hAnsi="Times" w:cs="Times"/>
                <w:sz w:val="24"/>
                <w:szCs w:val="24"/>
              </w:rPr>
            </w:pPr>
            <w:r w:rsidRPr="00E90D8B">
              <w:rPr>
                <w:rFonts w:ascii="Times" w:hAnsi="Times" w:cs="Times"/>
                <w:kern w:val="24"/>
                <w:sz w:val="24"/>
                <w:szCs w:val="24"/>
              </w:rPr>
              <w:t>88.1</w:t>
            </w:r>
          </w:p>
        </w:tc>
        <w:tc>
          <w:tcPr>
            <w:tcW w:w="109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7DB792B" w14:textId="77777777" w:rsidR="005624AD" w:rsidRPr="00E90D8B" w:rsidRDefault="005624AD" w:rsidP="00DF2728">
            <w:pPr>
              <w:pStyle w:val="ListParagraph"/>
              <w:spacing w:line="360" w:lineRule="auto"/>
              <w:ind w:left="0"/>
              <w:jc w:val="center"/>
              <w:rPr>
                <w:rFonts w:ascii="Times" w:hAnsi="Times" w:cs="Times"/>
                <w:sz w:val="24"/>
                <w:szCs w:val="24"/>
              </w:rPr>
            </w:pPr>
            <w:r w:rsidRPr="00E90D8B">
              <w:rPr>
                <w:rFonts w:ascii="Times" w:hAnsi="Times" w:cs="Times"/>
                <w:kern w:val="24"/>
                <w:sz w:val="24"/>
                <w:szCs w:val="24"/>
              </w:rPr>
              <w:t>93.5</w:t>
            </w:r>
          </w:p>
        </w:tc>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14:paraId="56F5970A" w14:textId="77777777" w:rsidR="005624AD" w:rsidRPr="00E90D8B" w:rsidRDefault="005624AD" w:rsidP="00DF2728">
            <w:pPr>
              <w:pStyle w:val="ListParagraph"/>
              <w:spacing w:line="360" w:lineRule="auto"/>
              <w:ind w:left="0"/>
              <w:jc w:val="center"/>
              <w:rPr>
                <w:rFonts w:ascii="Times" w:hAnsi="Times" w:cs="Times"/>
                <w:sz w:val="24"/>
                <w:szCs w:val="24"/>
              </w:rPr>
            </w:pPr>
            <w:r w:rsidRPr="00E90D8B">
              <w:rPr>
                <w:rFonts w:ascii="Times" w:hAnsi="Times" w:cs="Times"/>
                <w:kern w:val="24"/>
                <w:sz w:val="24"/>
                <w:szCs w:val="24"/>
              </w:rPr>
              <w:t>77.7</w:t>
            </w:r>
          </w:p>
        </w:tc>
        <w:tc>
          <w:tcPr>
            <w:tcW w:w="77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4C22A9F" w14:textId="77777777" w:rsidR="005624AD" w:rsidRPr="00E90D8B" w:rsidRDefault="005624AD" w:rsidP="00DF2728">
            <w:pPr>
              <w:pStyle w:val="ListParagraph"/>
              <w:spacing w:line="360" w:lineRule="auto"/>
              <w:ind w:left="0"/>
              <w:jc w:val="center"/>
              <w:rPr>
                <w:rFonts w:ascii="Times" w:hAnsi="Times" w:cs="Times"/>
                <w:sz w:val="24"/>
                <w:szCs w:val="24"/>
              </w:rPr>
            </w:pPr>
            <w:r w:rsidRPr="00E90D8B">
              <w:rPr>
                <w:rFonts w:ascii="Times" w:hAnsi="Times" w:cs="Times"/>
                <w:kern w:val="24"/>
                <w:sz w:val="24"/>
                <w:szCs w:val="24"/>
              </w:rPr>
              <w:t>86.1</w:t>
            </w:r>
          </w:p>
        </w:tc>
      </w:tr>
      <w:tr w:rsidR="00E90D8B" w:rsidRPr="00E90D8B" w14:paraId="19CD4736" w14:textId="77777777" w:rsidTr="00377288">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2" w:type="dxa"/>
          <w:trHeight w:val="247"/>
        </w:trPr>
        <w:tc>
          <w:tcPr>
            <w:tcW w:w="1255" w:type="dxa"/>
          </w:tcPr>
          <w:p w14:paraId="4DC836BA" w14:textId="53EE32B4" w:rsidR="005624AD" w:rsidRPr="00E90D8B" w:rsidRDefault="005624AD" w:rsidP="00C059BD">
            <w:pPr>
              <w:jc w:val="center"/>
              <w:rPr>
                <w:rFonts w:ascii="Times" w:hAnsi="Times" w:cs="Times"/>
                <w:b/>
                <w:bCs/>
                <w:sz w:val="24"/>
                <w:szCs w:val="24"/>
              </w:rPr>
            </w:pPr>
            <w:r w:rsidRPr="00E90D8B">
              <w:rPr>
                <w:rFonts w:ascii="Times" w:hAnsi="Times" w:cs="Times"/>
                <w:b/>
                <w:bCs/>
                <w:sz w:val="24"/>
                <w:szCs w:val="24"/>
              </w:rPr>
              <w:t>Reference</w:t>
            </w:r>
          </w:p>
        </w:tc>
        <w:tc>
          <w:tcPr>
            <w:tcW w:w="2982" w:type="dxa"/>
          </w:tcPr>
          <w:p w14:paraId="0C448DCA" w14:textId="047D162C" w:rsidR="005624AD" w:rsidRPr="00E90D8B" w:rsidRDefault="005624AD" w:rsidP="00C059BD">
            <w:pPr>
              <w:jc w:val="center"/>
              <w:rPr>
                <w:rFonts w:ascii="Times" w:hAnsi="Times" w:cs="Times"/>
                <w:b/>
                <w:bCs/>
                <w:sz w:val="24"/>
                <w:szCs w:val="24"/>
              </w:rPr>
            </w:pPr>
            <w:r w:rsidRPr="00E90D8B">
              <w:rPr>
                <w:rFonts w:ascii="Times" w:hAnsi="Times" w:cs="Times"/>
                <w:b/>
                <w:bCs/>
                <w:sz w:val="24"/>
                <w:szCs w:val="24"/>
              </w:rPr>
              <w:t>Sample</w:t>
            </w:r>
          </w:p>
          <w:p w14:paraId="6307248C" w14:textId="77777777" w:rsidR="005624AD" w:rsidRPr="00E90D8B" w:rsidRDefault="005624AD" w:rsidP="00C059BD">
            <w:pPr>
              <w:jc w:val="center"/>
              <w:rPr>
                <w:rFonts w:ascii="Times" w:hAnsi="Times" w:cs="Times"/>
                <w:b/>
                <w:bCs/>
                <w:sz w:val="24"/>
                <w:szCs w:val="24"/>
              </w:rPr>
            </w:pPr>
          </w:p>
        </w:tc>
        <w:tc>
          <w:tcPr>
            <w:tcW w:w="1316" w:type="dxa"/>
            <w:gridSpan w:val="2"/>
          </w:tcPr>
          <w:p w14:paraId="2411FA03" w14:textId="77777777" w:rsidR="005624AD" w:rsidRPr="00E90D8B" w:rsidRDefault="005624AD" w:rsidP="00C059BD">
            <w:pPr>
              <w:jc w:val="center"/>
              <w:rPr>
                <w:rFonts w:ascii="Times" w:hAnsi="Times" w:cs="Times"/>
                <w:b/>
                <w:bCs/>
                <w:sz w:val="24"/>
                <w:szCs w:val="24"/>
              </w:rPr>
            </w:pPr>
            <w:r w:rsidRPr="00E90D8B">
              <w:rPr>
                <w:rFonts w:ascii="Times" w:hAnsi="Times" w:cs="Times"/>
                <w:b/>
                <w:bCs/>
                <w:sz w:val="24"/>
                <w:szCs w:val="24"/>
              </w:rPr>
              <w:t>Strontium (mg/g)</w:t>
            </w:r>
          </w:p>
        </w:tc>
        <w:tc>
          <w:tcPr>
            <w:tcW w:w="1372" w:type="dxa"/>
            <w:gridSpan w:val="3"/>
          </w:tcPr>
          <w:p w14:paraId="60B0FA4A" w14:textId="77777777" w:rsidR="005624AD" w:rsidRPr="00E90D8B" w:rsidRDefault="005624AD" w:rsidP="00C059BD">
            <w:pPr>
              <w:jc w:val="center"/>
              <w:rPr>
                <w:rFonts w:ascii="Times" w:hAnsi="Times" w:cs="Times"/>
                <w:b/>
                <w:bCs/>
                <w:sz w:val="24"/>
                <w:szCs w:val="24"/>
              </w:rPr>
            </w:pPr>
            <w:r w:rsidRPr="00E90D8B">
              <w:rPr>
                <w:rFonts w:ascii="Times" w:hAnsi="Times" w:cs="Times"/>
                <w:b/>
                <w:bCs/>
                <w:sz w:val="24"/>
                <w:szCs w:val="24"/>
              </w:rPr>
              <w:t>Barium (mg/g)</w:t>
            </w:r>
          </w:p>
        </w:tc>
      </w:tr>
      <w:tr w:rsidR="00E90D8B" w:rsidRPr="00E90D8B" w14:paraId="1677259B" w14:textId="77777777" w:rsidTr="00377288">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2" w:type="dxa"/>
          <w:trHeight w:val="465"/>
        </w:trPr>
        <w:tc>
          <w:tcPr>
            <w:tcW w:w="1255" w:type="dxa"/>
          </w:tcPr>
          <w:p w14:paraId="3298EFDC" w14:textId="77CD9617" w:rsidR="005624AD" w:rsidRPr="00E90D8B" w:rsidRDefault="005624AD" w:rsidP="005624AD">
            <w:pPr>
              <w:jc w:val="center"/>
              <w:rPr>
                <w:rFonts w:ascii="Times" w:hAnsi="Times" w:cs="Times"/>
              </w:rPr>
            </w:pPr>
            <w:r w:rsidRPr="00E90D8B">
              <w:rPr>
                <w:rFonts w:ascii="Times" w:hAnsi="Times" w:cs="Times"/>
              </w:rPr>
              <w:fldChar w:fldCharType="begin" w:fldLock="1"/>
            </w:r>
            <w:r w:rsidR="00FE64BC" w:rsidRPr="00E90D8B">
              <w:rPr>
                <w:rFonts w:ascii="Times" w:hAnsi="Times" w:cs="Times"/>
              </w:rPr>
              <w:instrText>ADDIN CSL_CITATION {"citationItems":[{"id":"ITEM-1","itemData":{"DOI":"10.5004/dwt.2020.25774","ISSN":"19443986","abstract":"The adsorption ability of Salvadora persica (Miswak) root powder was tested as a green biosorbent for the removal of barium and strontium from wastewater and radioactive wastes. The structure of the powder SP(M) and its chemical properties were characterized and evaluated by Fourier trans-form infrared spectrometry and scanning electron microscope morphology. The adsorption efficiency has been investigated as a function of pH, contact time, adsorbent dose, and initial metal ions con-centration. The experimental data were analyzed using equilibrium isotherm, and kinetic models. The isotherm data agreed fairly well with Langmuir and Freundlich isotherm models. According to the Langmuir isotherm model, the maximum adsorption capacity was sufficiently high compared with many of the previously reported adsorbents and found to be 34.97 and 41.49 mg/g for Ba(II) and Sr(II), respectively. Miswak proved to be suitable and efficient biosorbent, environmentally friendly, cost-effective, and obtained from naturally and widely grown trees in many parts of the world.","author":[{"dropping-particle":"","family":"Hassan","given":"Saad S.M.","non-dropping-particle":"","parse-names":false,"suffix":""},{"dropping-particle":"","family":"Kamel","given":"Ayman H.","non-dropping-particle":"","parse-names":false,"suffix":""},{"dropping-particle":"","family":"Youssef","given":"Maha A.","non-dropping-particle":"","parse-names":false,"suffix":""},{"dropping-particle":"","family":"Aboterika","given":"Awaad H.A.","non-dropping-particle":"","parse-names":false,"suffix":""},{"dropping-particle":"","family":"Awwad","given":"Nasser S.","non-dropping-particle":"","parse-names":false,"suffix":""}],"container-title":"Desalination and Water Treatment","id":"ITEM-1","issued":{"date-parts":[["2020"]]},"page":"306-314","title":"Removal of barium and strontium from wastewater and radioactive wastes using a green bioadsorbent, salvadora persica (Miswak)","type":"article-journal","volume":"192"},"uris":["http://www.mendeley.com/documents/?uuid=0c1f17e3-8876-4474-836f-3229871b384b"]}],"mendeley":{"formattedCitation":"[1]","plainTextFormattedCitation":"[1]","previouslyFormattedCitation":"(Hassan et al., 2020)"},"properties":{"noteIndex":0},"schema":"https://github.com/citation-style-language/schema/raw/master/csl-citation.json"}</w:instrText>
            </w:r>
            <w:r w:rsidRPr="00E90D8B">
              <w:rPr>
                <w:rFonts w:ascii="Times" w:hAnsi="Times" w:cs="Times"/>
              </w:rPr>
              <w:fldChar w:fldCharType="separate"/>
            </w:r>
            <w:r w:rsidR="00FE64BC" w:rsidRPr="00E90D8B">
              <w:rPr>
                <w:rFonts w:ascii="Times" w:hAnsi="Times" w:cs="Times"/>
                <w:noProof/>
              </w:rPr>
              <w:t>[1]</w:t>
            </w:r>
            <w:r w:rsidRPr="00E90D8B">
              <w:rPr>
                <w:rFonts w:ascii="Times" w:hAnsi="Times" w:cs="Times"/>
              </w:rPr>
              <w:fldChar w:fldCharType="end"/>
            </w:r>
          </w:p>
        </w:tc>
        <w:tc>
          <w:tcPr>
            <w:tcW w:w="2982" w:type="dxa"/>
          </w:tcPr>
          <w:p w14:paraId="73319318" w14:textId="14E865E0" w:rsidR="005624AD" w:rsidRPr="00E90D8B" w:rsidRDefault="005624AD" w:rsidP="005624AD">
            <w:pPr>
              <w:jc w:val="center"/>
              <w:rPr>
                <w:rFonts w:ascii="Times" w:hAnsi="Times" w:cs="Times"/>
              </w:rPr>
            </w:pPr>
            <w:r w:rsidRPr="00E90D8B">
              <w:rPr>
                <w:rFonts w:ascii="Times" w:hAnsi="Times" w:cs="Times"/>
              </w:rPr>
              <w:t xml:space="preserve">Salvadora persica (Miswak) </w:t>
            </w:r>
          </w:p>
        </w:tc>
        <w:tc>
          <w:tcPr>
            <w:tcW w:w="1316" w:type="dxa"/>
            <w:gridSpan w:val="2"/>
          </w:tcPr>
          <w:p w14:paraId="4FE4F911" w14:textId="77777777" w:rsidR="005624AD" w:rsidRPr="00E90D8B" w:rsidRDefault="005624AD" w:rsidP="005624AD">
            <w:pPr>
              <w:jc w:val="center"/>
              <w:rPr>
                <w:rFonts w:ascii="Times" w:hAnsi="Times" w:cs="Times"/>
              </w:rPr>
            </w:pPr>
            <w:r w:rsidRPr="00E90D8B">
              <w:rPr>
                <w:rFonts w:ascii="Times" w:hAnsi="Times" w:cs="Times"/>
              </w:rPr>
              <w:t>41.4</w:t>
            </w:r>
          </w:p>
        </w:tc>
        <w:tc>
          <w:tcPr>
            <w:tcW w:w="1372" w:type="dxa"/>
            <w:gridSpan w:val="3"/>
          </w:tcPr>
          <w:p w14:paraId="1E33CE48" w14:textId="77777777" w:rsidR="005624AD" w:rsidRPr="00E90D8B" w:rsidRDefault="005624AD" w:rsidP="005624AD">
            <w:pPr>
              <w:jc w:val="center"/>
              <w:rPr>
                <w:rFonts w:ascii="Times" w:hAnsi="Times" w:cs="Times"/>
              </w:rPr>
            </w:pPr>
            <w:r w:rsidRPr="00E90D8B">
              <w:rPr>
                <w:rFonts w:ascii="Times" w:hAnsi="Times" w:cs="Times"/>
              </w:rPr>
              <w:t>34.9</w:t>
            </w:r>
          </w:p>
        </w:tc>
      </w:tr>
      <w:tr w:rsidR="00E90D8B" w:rsidRPr="00E90D8B" w14:paraId="10A50134" w14:textId="77777777" w:rsidTr="00377288">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2" w:type="dxa"/>
          <w:trHeight w:val="346"/>
        </w:trPr>
        <w:tc>
          <w:tcPr>
            <w:tcW w:w="1255" w:type="dxa"/>
          </w:tcPr>
          <w:p w14:paraId="37146FC9" w14:textId="33424513" w:rsidR="005624AD" w:rsidRPr="00E90D8B" w:rsidRDefault="005624AD" w:rsidP="005624AD">
            <w:pPr>
              <w:jc w:val="center"/>
              <w:rPr>
                <w:rFonts w:ascii="Times" w:hAnsi="Times" w:cs="Times"/>
              </w:rPr>
            </w:pPr>
            <w:r w:rsidRPr="00E90D8B">
              <w:rPr>
                <w:rFonts w:ascii="Times" w:hAnsi="Times" w:cs="Times"/>
              </w:rPr>
              <w:fldChar w:fldCharType="begin" w:fldLock="1"/>
            </w:r>
            <w:r w:rsidR="00FE64BC" w:rsidRPr="00E90D8B">
              <w:rPr>
                <w:rFonts w:ascii="Times" w:hAnsi="Times" w:cs="Times"/>
              </w:rPr>
              <w:instrText>ADDIN CSL_CITATION {"citationItems":[{"id":"ITEM-1","itemData":{"DOI":"10.1016/j.jclepro.2019.119442","ISSN":"09596526","abstract":"The formation of hard mineral scale deposits (e.g., celestite (SrSO4) and barite (BaSO4)) is the most common problem that hinders sustainable operations of water-flooded oilfield and desalination systems (i.e., membrane fouling) when using poor quality water contaminated with barium (Ba(II)) and strontium (Sr(II)) ions. In this work, nanoscale biochar (</w:instrText>
            </w:r>
            <w:r w:rsidR="00FE64BC" w:rsidRPr="00E90D8B">
              <w:rPr>
                <w:rFonts w:ascii="Cambria Math" w:hAnsi="Cambria Math" w:cs="Cambria Math"/>
              </w:rPr>
              <w:instrText>∼</w:instrText>
            </w:r>
            <w:r w:rsidR="00FE64BC" w:rsidRPr="00E90D8B">
              <w:rPr>
                <w:rFonts w:ascii="Times" w:hAnsi="Times" w:cs="Times"/>
              </w:rPr>
              <w:instrText>53–712 nm) was synthesized from waste rice straw (cost = 380 to 560 ± 27 US$/Ton; n = 9) and applied as a protective approach against the formation of mineral scale deposits via adsorptive removal of Ba(II)/Sr(II) contaminants from 30,000 ppm saline wastewater. Adsorption of Ba(II)/Sr(II) ions onto biochar was investigated and optimized as a function of biochar amount, water pH, contact time, temperature, and Sr(II)/Ba(II) ratio using response surface methodology. Based on kinetic and isotherm analyses, the biochar exhibited enhanced potential to capture Sr(II)/Ba(II) ions via weak ion-exchange or pore-filling mechanisms (sorption energy (E)≈ 0.61–0.89 kJ/mol). A comparison of partition coefficient (PC) values verified that sorption of Sr(II) onto biochar is far superior to that of Ba(II) (PCs of 10.1 and 2.5 μmol g−1 μM−1, respectively). Sorption selectivity was mainly dependent on solution pH and the metallic properties of Ba(II)/Sr(II)(e.g., metal size, speciation, and mobility). Quantitative analysis of treated saline water using electrical conductivity and ion chromatography confirmed the ability of biochar sorbent to remove Ba(II) and Sr(II) ions (97.5%) with pre-desalination (e.g., total salts reduction of 25.7% after 48 h). It is thus recommended to utilize the prepared biochar as a promising pre-desalinating adsorptive medium to inhibit mineral scale formation before oilfield water flooding in the petroleum field and membrane desalination systems.","author":[{"dropping-particle":"","family":"Younis","given":"Sherif A.","non-dropping-particle":"","parse-names":false,"suffix":""},{"dropping-particle":"","family":"El-Salamony","given":"Radwa A.","non-dropping-particle":"","parse-names":false,"suffix":""},{"dropping-particle":"","family":"Tsang","given":"Yiu Fai","non-dropping-particle":"","parse-names":false,"suffix":""},{"dropping-particle":"","family":"Kim","given":"Ki Hyun","non-dropping-particle":"","parse-names":false,"suffix":""}],"container-title":"Journal of Cleaner Production","id":"ITEM-1","issued":{"date-parts":[["2020"]]},"page":"119442","publisher":"Elsevier Ltd","title":"Use of rice straw-based biochar for batch sorption of barium/strontium from saline water: Protection against scale formation in petroleum/desalination industries","type":"article-journal","volume":"250"},"uris":["http://www.mendeley.com/documents/?uuid=b84d27b0-ec2e-4cff-9613-a31316ec7ded"]}],"mendeley":{"formattedCitation":"[2]","plainTextFormattedCitation":"[2]","previouslyFormattedCitation":"(Younis et al., 2020)"},"properties":{"noteIndex":0},"schema":"https://github.com/citation-style-language/schema/raw/master/csl-citation.json"}</w:instrText>
            </w:r>
            <w:r w:rsidRPr="00E90D8B">
              <w:rPr>
                <w:rFonts w:ascii="Times" w:hAnsi="Times" w:cs="Times"/>
              </w:rPr>
              <w:fldChar w:fldCharType="separate"/>
            </w:r>
            <w:r w:rsidR="00FE64BC" w:rsidRPr="00E90D8B">
              <w:rPr>
                <w:rFonts w:ascii="Times" w:hAnsi="Times" w:cs="Times"/>
                <w:noProof/>
              </w:rPr>
              <w:t>[2]</w:t>
            </w:r>
            <w:r w:rsidRPr="00E90D8B">
              <w:rPr>
                <w:rFonts w:ascii="Times" w:hAnsi="Times" w:cs="Times"/>
              </w:rPr>
              <w:fldChar w:fldCharType="end"/>
            </w:r>
          </w:p>
        </w:tc>
        <w:tc>
          <w:tcPr>
            <w:tcW w:w="2982" w:type="dxa"/>
          </w:tcPr>
          <w:p w14:paraId="73EA6035" w14:textId="30368837" w:rsidR="005624AD" w:rsidRPr="00E90D8B" w:rsidRDefault="005624AD" w:rsidP="005624AD">
            <w:pPr>
              <w:jc w:val="center"/>
              <w:rPr>
                <w:rFonts w:ascii="Times" w:hAnsi="Times" w:cs="Times"/>
              </w:rPr>
            </w:pPr>
            <w:r w:rsidRPr="00E90D8B">
              <w:rPr>
                <w:rFonts w:ascii="Times" w:hAnsi="Times" w:cs="Times"/>
              </w:rPr>
              <w:t>Rice straw</w:t>
            </w:r>
          </w:p>
        </w:tc>
        <w:tc>
          <w:tcPr>
            <w:tcW w:w="1316" w:type="dxa"/>
            <w:gridSpan w:val="2"/>
          </w:tcPr>
          <w:p w14:paraId="0179B43D" w14:textId="77777777" w:rsidR="005624AD" w:rsidRPr="00E90D8B" w:rsidRDefault="005624AD" w:rsidP="005624AD">
            <w:pPr>
              <w:jc w:val="center"/>
              <w:rPr>
                <w:rFonts w:ascii="Times" w:hAnsi="Times" w:cs="Times"/>
              </w:rPr>
            </w:pPr>
            <w:r w:rsidRPr="00E90D8B">
              <w:rPr>
                <w:rFonts w:ascii="Times" w:hAnsi="Times" w:cs="Times"/>
              </w:rPr>
              <w:t>73.9</w:t>
            </w:r>
          </w:p>
        </w:tc>
        <w:tc>
          <w:tcPr>
            <w:tcW w:w="1372" w:type="dxa"/>
            <w:gridSpan w:val="3"/>
          </w:tcPr>
          <w:p w14:paraId="350439B0" w14:textId="77777777" w:rsidR="005624AD" w:rsidRPr="00E90D8B" w:rsidRDefault="005624AD" w:rsidP="005624AD">
            <w:pPr>
              <w:jc w:val="center"/>
              <w:rPr>
                <w:rFonts w:ascii="Times" w:hAnsi="Times" w:cs="Times"/>
              </w:rPr>
            </w:pPr>
            <w:r w:rsidRPr="00E90D8B">
              <w:rPr>
                <w:rFonts w:ascii="Times" w:hAnsi="Times" w:cs="Times"/>
              </w:rPr>
              <w:t>59.8</w:t>
            </w:r>
          </w:p>
        </w:tc>
      </w:tr>
      <w:tr w:rsidR="00E90D8B" w:rsidRPr="00E90D8B" w14:paraId="41DB2FF8" w14:textId="77777777" w:rsidTr="00377288">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2" w:type="dxa"/>
          <w:trHeight w:val="499"/>
        </w:trPr>
        <w:tc>
          <w:tcPr>
            <w:tcW w:w="1255" w:type="dxa"/>
          </w:tcPr>
          <w:p w14:paraId="001C6E29" w14:textId="2BC66486" w:rsidR="005624AD" w:rsidRPr="00E90D8B" w:rsidRDefault="005624AD" w:rsidP="005624AD">
            <w:pPr>
              <w:jc w:val="center"/>
              <w:rPr>
                <w:rFonts w:ascii="Times" w:hAnsi="Times" w:cs="Times"/>
              </w:rPr>
            </w:pPr>
            <w:r w:rsidRPr="00E90D8B">
              <w:rPr>
                <w:rFonts w:ascii="Times" w:hAnsi="Times" w:cs="Times"/>
              </w:rPr>
              <w:fldChar w:fldCharType="begin" w:fldLock="1"/>
            </w:r>
            <w:r w:rsidR="00FE64BC" w:rsidRPr="00E90D8B">
              <w:rPr>
                <w:rFonts w:ascii="Times" w:hAnsi="Times" w:cs="Times"/>
              </w:rPr>
              <w:instrText>ADDIN CSL_CITATION {"citationItems":[{"id":"ITEM-1","itemData":{"DOI":"10.1016/j.envres.2020.110040","ISSN":"10960953","PMID":"32805246","abstract":"Manganese dioxide-loaded mesoporous SBA-15 silica (MnO2/SBA-15) composites with short pore length were aprepared for the first time by simply immersing SBA-15 into a KMnO4 and MnCl2 mixed solution. Adsorption of Sr2+ from aqueous solution by using the MnO2/SBA-15 was investigated by varying the pH, contact time, initial Sr2+ concentration, MnO2 content and temperature. The adsorption process was rapid during the first 40 min and reached equilibrium in 120 min. The Sr2+ adsorption capacity increased with increasing pH, MnO2 content and temperature, and the adsorption capacity of SBA-15 was significantly improved by the loading of MnO2. Moreover, the experimental adsorption data were analyzed using different equilibrium isotherm, kinetic and thermodynamic models. The results showed that the isotherm data were well-described by the Langmuir model. The maximum Sr2+ adsorption capacity was determined to be 75.1 mg g−1 at 283 K based on the Langmuir model. The analyzed kinetic data indicated that the Sr2+ adsorption process was well fitted by the pseudo-second order model. Furthermore, the thermodynamic parameters of adsorption were also determined from the equilibrium constant values obtained at different temperatures. The results suggested that the adsorption process was spontaneous and endothermic, and the overall mechanism of Sr2+ adsorption was a combination of physical and chemical processes.","author":[{"dropping-particle":"","family":"Dan","given":"Hui","non-dropping-particle":"","parse-names":false,"suffix":""},{"dropping-particle":"","family":"Ding","given":"Yi","non-dropping-particle":"","parse-names":false,"suffix":""},{"dropping-particle":"","family":"Wang","given":"Enchao","non-dropping-particle":"","parse-names":false,"suffix":""},{"dropping-particle":"","family":"Yang","given":"Wenping","non-dropping-particle":"","parse-names":false,"suffix":""},{"dropping-particle":"","family":"He","given":"Xinmiao","non-dropping-particle":"","parse-names":false,"suffix":""},{"dropping-particle":"","family":"Chen","given":"Li","non-dropping-particle":"","parse-names":false,"suffix":""},{"dropping-particle":"","family":"Xian","given":"Qiang","non-dropping-particle":"","parse-names":false,"suffix":""},{"dropping-particle":"","family":"Yi","given":"Facheng","non-dropping-particle":"","parse-names":false,"suffix":""},{"dropping-particle":"","family":"Zhu","given":"Wenkun","non-dropping-particle":"","parse-names":false,"suffix":""}],"container-title":"Environmental Research","id":"ITEM-1","issue":"February","issued":{"date-parts":[["2020"]]},"page":"110040","publisher":"Elsevier Inc.","title":"Manganese dioxide-loaded mesoporous SBA-15 silica composites for effective removal of strontium from aqueous solution","type":"article-journal","volume":"191"},"uris":["http://www.mendeley.com/documents/?uuid=70eca5f2-eaa0-4a9a-9654-5dd4270f70fd"]}],"mendeley":{"formattedCitation":"[3]","plainTextFormattedCitation":"[3]","previouslyFormattedCitation":"(Dan et al., 2020)"},"properties":{"noteIndex":0},"schema":"https://github.com/citation-style-language/schema/raw/master/csl-citation.json"}</w:instrText>
            </w:r>
            <w:r w:rsidRPr="00E90D8B">
              <w:rPr>
                <w:rFonts w:ascii="Times" w:hAnsi="Times" w:cs="Times"/>
              </w:rPr>
              <w:fldChar w:fldCharType="separate"/>
            </w:r>
            <w:r w:rsidR="00FE64BC" w:rsidRPr="00E90D8B">
              <w:rPr>
                <w:rFonts w:ascii="Times" w:hAnsi="Times" w:cs="Times"/>
                <w:noProof/>
              </w:rPr>
              <w:t>[3]</w:t>
            </w:r>
            <w:r w:rsidRPr="00E90D8B">
              <w:rPr>
                <w:rFonts w:ascii="Times" w:hAnsi="Times" w:cs="Times"/>
              </w:rPr>
              <w:fldChar w:fldCharType="end"/>
            </w:r>
          </w:p>
        </w:tc>
        <w:tc>
          <w:tcPr>
            <w:tcW w:w="2982" w:type="dxa"/>
          </w:tcPr>
          <w:p w14:paraId="252BD4C6" w14:textId="261148A3" w:rsidR="005624AD" w:rsidRPr="00E90D8B" w:rsidRDefault="005624AD" w:rsidP="005624AD">
            <w:pPr>
              <w:jc w:val="center"/>
              <w:rPr>
                <w:rFonts w:ascii="Times" w:hAnsi="Times" w:cs="Times"/>
              </w:rPr>
            </w:pPr>
            <w:r w:rsidRPr="00E90D8B">
              <w:rPr>
                <w:rFonts w:ascii="Times" w:hAnsi="Times" w:cs="Times"/>
              </w:rPr>
              <w:t>Manganese dioxide-loaded mesoporous SBA-15 silica composites</w:t>
            </w:r>
          </w:p>
        </w:tc>
        <w:tc>
          <w:tcPr>
            <w:tcW w:w="1316" w:type="dxa"/>
            <w:gridSpan w:val="2"/>
          </w:tcPr>
          <w:p w14:paraId="1D8E8234" w14:textId="77777777" w:rsidR="005624AD" w:rsidRPr="00E90D8B" w:rsidRDefault="005624AD" w:rsidP="005624AD">
            <w:pPr>
              <w:jc w:val="center"/>
              <w:rPr>
                <w:rFonts w:ascii="Times" w:hAnsi="Times" w:cs="Times"/>
              </w:rPr>
            </w:pPr>
            <w:r w:rsidRPr="00E90D8B">
              <w:rPr>
                <w:rFonts w:ascii="Times" w:hAnsi="Times" w:cs="Times"/>
              </w:rPr>
              <w:t>75.1</w:t>
            </w:r>
          </w:p>
        </w:tc>
        <w:tc>
          <w:tcPr>
            <w:tcW w:w="1372" w:type="dxa"/>
            <w:gridSpan w:val="3"/>
          </w:tcPr>
          <w:p w14:paraId="7F25C94C" w14:textId="77777777" w:rsidR="005624AD" w:rsidRPr="00E90D8B" w:rsidRDefault="005624AD" w:rsidP="005624AD">
            <w:pPr>
              <w:jc w:val="center"/>
              <w:rPr>
                <w:rFonts w:ascii="Times" w:hAnsi="Times" w:cs="Times"/>
              </w:rPr>
            </w:pPr>
            <w:r w:rsidRPr="00E90D8B">
              <w:rPr>
                <w:rFonts w:ascii="Times" w:hAnsi="Times" w:cs="Times"/>
              </w:rPr>
              <w:t>-</w:t>
            </w:r>
          </w:p>
        </w:tc>
      </w:tr>
      <w:tr w:rsidR="00E90D8B" w:rsidRPr="00E90D8B" w14:paraId="6CC4055F" w14:textId="77777777" w:rsidTr="00377288">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2" w:type="dxa"/>
          <w:trHeight w:val="499"/>
        </w:trPr>
        <w:tc>
          <w:tcPr>
            <w:tcW w:w="1255" w:type="dxa"/>
          </w:tcPr>
          <w:p w14:paraId="604A1E2E" w14:textId="148EB4E5" w:rsidR="005624AD" w:rsidRPr="00E90D8B" w:rsidRDefault="005624AD" w:rsidP="005624AD">
            <w:pPr>
              <w:jc w:val="center"/>
              <w:rPr>
                <w:rFonts w:ascii="Times" w:hAnsi="Times" w:cs="Times"/>
              </w:rPr>
            </w:pPr>
            <w:r w:rsidRPr="00E90D8B">
              <w:rPr>
                <w:rFonts w:ascii="Times" w:hAnsi="Times" w:cs="Times"/>
              </w:rPr>
              <w:fldChar w:fldCharType="begin" w:fldLock="1"/>
            </w:r>
            <w:r w:rsidR="00FE64BC" w:rsidRPr="00E90D8B">
              <w:rPr>
                <w:rFonts w:ascii="Times" w:hAnsi="Times" w:cs="Times"/>
              </w:rPr>
              <w:instrText>ADDIN CSL_CITATION {"citationItems":[{"id":"ITEM-1","itemData":{"DOI":"10.1002/cjce.20486","ISSN":"00084034","abstract":"The adsorption of strontium and barium from aqueous solution onto expanded perlite (EP) has been investigated as a function of pH, contact time, adsorbent dosage, and temperature. Sorption experiments indicated that the sorption capacity was dependent on operating variables and the process was strongly pH-dependent. Equilibrium isotherm data were analysed using Langmuir, Freundlich, and Dubinin-Radushkevich isotherm models. The adsorption was well described by Langmuir isotherm model. The maximum adsorption capacity was found to be 1.14 and 2.486mg/g for Sr (II) and Ba (II) from the Langmuir isotherm model at 20°C, respectively. Two simplified kinetic models viz. pseudo-first-order and pseudo-second-order models were tested to describe the adsorption process. The kinetic data indicated that adsorption fitted well with the pseudo-second-order kinetic model. Using the equilibrium constant value obtained at four (20, 30, 40, and 50°C) different temperatures, the thermodynamic parameters of the adsorption (ΔG°, ΔH°, and ΔS°) were also determined. The results showed that the adsorption of Sr (II) and Ba (II) ions on EP was exothermic and spontaneous. © 2011 Canadian Society for Chemical Engineering.","author":[{"dropping-particle":"","family":"Torab-Mostaedi","given":"Meisam","non-dropping-particle":"","parse-names":false,"suffix":""},{"dropping-particle":"","family":"Ghaemi","given":"Ahad","non-dropping-particle":"","parse-names":false,"suffix":""},{"dropping-particle":"","family":"Ghassabzadeh","given":"Hamid","non-dropping-particle":"","parse-names":false,"suffix":""},{"dropping-particle":"","family":"Ghannadi-Maragheh","given":"Mohammad","non-dropping-particle":"","parse-names":false,"suffix":""}],"container-title":"Canadian Journal of Chemical Engineering","id":"ITEM-1","issue":"5","issued":{"date-parts":[["2011"]]},"page":"1247-1254","title":"Removal of strontium and barium from aqueous solutions by adsorption onto expanded perlite","type":"article-journal","volume":"89"},"uris":["http://www.mendeley.com/documents/?uuid=1ac03512-9623-4d11-84f3-cce37daad646"]}],"mendeley":{"formattedCitation":"[4]","plainTextFormattedCitation":"[4]","previouslyFormattedCitation":"(Torab-Mostaedi, Ghaemi, Ghassabzadeh, &amp; Ghannadi-Maragheh, 2011)"},"properties":{"noteIndex":0},"schema":"https://github.com/citation-style-language/schema/raw/master/csl-citation.json"}</w:instrText>
            </w:r>
            <w:r w:rsidRPr="00E90D8B">
              <w:rPr>
                <w:rFonts w:ascii="Times" w:hAnsi="Times" w:cs="Times"/>
              </w:rPr>
              <w:fldChar w:fldCharType="separate"/>
            </w:r>
            <w:r w:rsidR="00FE64BC" w:rsidRPr="00E90D8B">
              <w:rPr>
                <w:rFonts w:ascii="Times" w:hAnsi="Times" w:cs="Times"/>
                <w:noProof/>
              </w:rPr>
              <w:t>[4]</w:t>
            </w:r>
            <w:r w:rsidRPr="00E90D8B">
              <w:rPr>
                <w:rFonts w:ascii="Times" w:hAnsi="Times" w:cs="Times"/>
              </w:rPr>
              <w:fldChar w:fldCharType="end"/>
            </w:r>
          </w:p>
        </w:tc>
        <w:tc>
          <w:tcPr>
            <w:tcW w:w="2982" w:type="dxa"/>
          </w:tcPr>
          <w:p w14:paraId="10CC1344" w14:textId="5DBABF4F" w:rsidR="005624AD" w:rsidRPr="00E90D8B" w:rsidRDefault="005624AD" w:rsidP="005624AD">
            <w:pPr>
              <w:jc w:val="center"/>
              <w:rPr>
                <w:rFonts w:ascii="Times" w:hAnsi="Times" w:cs="Times"/>
              </w:rPr>
            </w:pPr>
            <w:r w:rsidRPr="00E90D8B">
              <w:rPr>
                <w:rFonts w:ascii="Times" w:hAnsi="Times" w:cs="Times"/>
              </w:rPr>
              <w:t>Expanded perlite</w:t>
            </w:r>
          </w:p>
        </w:tc>
        <w:tc>
          <w:tcPr>
            <w:tcW w:w="1316" w:type="dxa"/>
            <w:gridSpan w:val="2"/>
          </w:tcPr>
          <w:p w14:paraId="000BC6D6" w14:textId="77777777" w:rsidR="005624AD" w:rsidRPr="00E90D8B" w:rsidRDefault="005624AD" w:rsidP="005624AD">
            <w:pPr>
              <w:jc w:val="center"/>
              <w:rPr>
                <w:rFonts w:ascii="Times" w:hAnsi="Times" w:cs="Times"/>
              </w:rPr>
            </w:pPr>
            <w:r w:rsidRPr="00E90D8B">
              <w:rPr>
                <w:rFonts w:ascii="Times" w:hAnsi="Times" w:cs="Times"/>
              </w:rPr>
              <w:t>1.14</w:t>
            </w:r>
          </w:p>
        </w:tc>
        <w:tc>
          <w:tcPr>
            <w:tcW w:w="1372" w:type="dxa"/>
            <w:gridSpan w:val="3"/>
          </w:tcPr>
          <w:p w14:paraId="5ED7BCE2" w14:textId="77777777" w:rsidR="005624AD" w:rsidRPr="00E90D8B" w:rsidRDefault="005624AD" w:rsidP="005624AD">
            <w:pPr>
              <w:jc w:val="center"/>
              <w:rPr>
                <w:rFonts w:ascii="Times" w:hAnsi="Times" w:cs="Times"/>
              </w:rPr>
            </w:pPr>
            <w:r w:rsidRPr="00E90D8B">
              <w:rPr>
                <w:rFonts w:ascii="Times" w:hAnsi="Times" w:cs="Times"/>
              </w:rPr>
              <w:t>2.48</w:t>
            </w:r>
          </w:p>
        </w:tc>
      </w:tr>
      <w:tr w:rsidR="00E1187D" w:rsidRPr="00E90D8B" w14:paraId="444E5F0F" w14:textId="77777777" w:rsidTr="00377288">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62" w:type="dxa"/>
          <w:trHeight w:val="663"/>
        </w:trPr>
        <w:tc>
          <w:tcPr>
            <w:tcW w:w="1255" w:type="dxa"/>
          </w:tcPr>
          <w:p w14:paraId="139769DF" w14:textId="46C904EC" w:rsidR="005624AD" w:rsidRPr="00E90D8B" w:rsidRDefault="005624AD" w:rsidP="005624AD">
            <w:pPr>
              <w:jc w:val="center"/>
              <w:rPr>
                <w:rFonts w:ascii="Times" w:hAnsi="Times" w:cs="Times"/>
              </w:rPr>
            </w:pPr>
            <w:r w:rsidRPr="00E90D8B">
              <w:rPr>
                <w:rFonts w:ascii="Times" w:hAnsi="Times" w:cs="Times"/>
              </w:rPr>
              <w:fldChar w:fldCharType="begin" w:fldLock="1"/>
            </w:r>
            <w:r w:rsidR="00FE64BC" w:rsidRPr="00E90D8B">
              <w:rPr>
                <w:rFonts w:ascii="Times" w:hAnsi="Times" w:cs="Times"/>
              </w:rPr>
              <w:instrText>ADDIN CSL_CITATION {"citationItems":[{"id":"ITEM-1","itemData":{"DOI":"10.1016/j.envres.2021.111346","ISSN":"10960953","PMID":"34019898","abstract":"The single adsorption of radioactive barium (Ba(II)), cobalt (Co(II)), and strontium (Sr(II)) ions using pristine (SCWB–P) and chemically activated spent coffee waste biochars with NaOH (SCWB-A) were thoroughly explored in order to provide deeper insights into the changes in their adsorption mechanisms through alkaline chemical activation. The greater removal efficiencies of SCWB-A (76.6–97.3%) than SCWB-P (45.6–75.2%) and the consistency between the adsorptive removal patterns (Ba(II) &gt; Sr(II) &gt; Co(II)) and oxygen bond dissociation enthalpies (BaO (562 kJ/mol) &gt; SrO (426 kJ/mol) &gt; CoO (397 kJ/mol)) of radioactive species supported the assumption that the adsorption removal of radioactive species with spent coffee waste biochars highly depended on the abundances of O-containing functional groups. The calculated R2 values of the pseudo-first-order (SCWB–P = 0.998–0.999; SCWB-A = 0.850–0.921) and pseudo-second-order kinetic models (SCWB–P = 0.988–0.998; SCWB-A = 0.935–0.966) are evident that the physisorption mainly controlled the adsorption of radioactive species toward SCWB-P and the chemisorption played a crucial role in their adsorptive removal with SCWB-A. From the calculated intra-particle diffusion, isotherm, thermodynamic parameters, it can be concluded that the intra-particle diffusion and monolayer adsorption primarily governed the adsorption of radioactive species using SCWB-P and SCWB-A, and their adsorption processes occurred spontaneously and endothermically. The dominant adsorption mechanism of spent coffee waste biochars was changed from physisorption (ΔH° of SCWB-P = 21.6–29.8 kJ/mol) to chemisorption (ΔH° of SCWB-A = 42.4–81.3 kJ/mol) through alkaline chemical activation. The distinctive M-OH peak in the O1s XPS spectra of SCWB-A directly corresponding to the decrease in the abundances of O-containing functional groups confirms again that the enrichment of O-containing functional groups markedly facilitated the adsorption removal of radioactive species by chemisorption occurred at the inner and outer surfaces of spent coffee waste biochars.","author":[{"dropping-particle":"","family":"Shin","given":"Jaegwan","non-dropping-particle":"","parse-names":false,"suffix":""},{"dropping-particle":"","family":"Kwak","given":"Jinwoo","non-dropping-particle":"","parse-names":false,"suffix":""},{"dropping-particle":"","family":"Lee","given":"Yong Gu","non-dropping-particle":"","parse-names":false,"suffix":""},{"dropping-particle":"","family":"Kim","given":"Sangwon","non-dropping-particle":"","parse-names":false,"suffix":""},{"dropping-particle":"","family":"Son","given":"Changgil","non-dropping-particle":"","parse-names":false,"suffix":""},{"dropping-particle":"","family":"Cho","given":"Kyung Hwa","non-dropping-particle":"","parse-names":false,"suffix":""},{"dropping-particle":"","family":"Lee","given":"Sang Ho","non-dropping-particle":"","parse-names":false,"suffix":""},{"dropping-particle":"","family":"Park","given":"Yongeun","non-dropping-particle":"","parse-names":false,"suffix":""},{"dropping-particle":"","family":"Ren","given":"Xianghao","non-dropping-particle":"","parse-names":false,"suffix":""},{"dropping-particle":"","family":"Chon","given":"Kangmin","non-dropping-particle":"","parse-names":false,"suffix":""}],"container-title":"Environmental Research","id":"ITEM-1","issue":"May","issued":{"date-parts":[["2021"]]},"page":"111346","publisher":"Elsevier Inc.","title":"Changes in adsorption mechanisms of radioactive barium, cobalt, and strontium ions using spent coffee waste biochars via alkaline chemical activation: Enrichment effects of O-containing functional groups","type":"article-journal","volume":"199"},"uris":["http://www.mendeley.com/documents/?uuid=052a7f29-0364-4fc6-9c4b-3aa946d29e0c"]}],"mendeley":{"formattedCitation":"[5]","plainTextFormattedCitation":"[5]","previouslyFormattedCitation":"(Shin et al., 2021)"},"properties":{"noteIndex":0},"schema":"https://github.com/citation-style-language/schema/raw/master/csl-citation.json"}</w:instrText>
            </w:r>
            <w:r w:rsidRPr="00E90D8B">
              <w:rPr>
                <w:rFonts w:ascii="Times" w:hAnsi="Times" w:cs="Times"/>
              </w:rPr>
              <w:fldChar w:fldCharType="separate"/>
            </w:r>
            <w:r w:rsidR="00FE64BC" w:rsidRPr="00E90D8B">
              <w:rPr>
                <w:rFonts w:ascii="Times" w:hAnsi="Times" w:cs="Times"/>
                <w:noProof/>
              </w:rPr>
              <w:t>[5]</w:t>
            </w:r>
            <w:r w:rsidRPr="00E90D8B">
              <w:rPr>
                <w:rFonts w:ascii="Times" w:hAnsi="Times" w:cs="Times"/>
              </w:rPr>
              <w:fldChar w:fldCharType="end"/>
            </w:r>
          </w:p>
        </w:tc>
        <w:tc>
          <w:tcPr>
            <w:tcW w:w="2982" w:type="dxa"/>
          </w:tcPr>
          <w:p w14:paraId="370F0E50" w14:textId="1674A2D4" w:rsidR="005624AD" w:rsidRPr="00E90D8B" w:rsidRDefault="005624AD" w:rsidP="005624AD">
            <w:pPr>
              <w:jc w:val="center"/>
              <w:rPr>
                <w:rFonts w:ascii="Times" w:hAnsi="Times" w:cs="Times"/>
              </w:rPr>
            </w:pPr>
            <w:r w:rsidRPr="00E90D8B">
              <w:rPr>
                <w:rFonts w:ascii="Times" w:hAnsi="Times" w:cs="Times"/>
              </w:rPr>
              <w:t>Coffee biochar (pristine)</w:t>
            </w:r>
          </w:p>
          <w:p w14:paraId="57A4F631" w14:textId="77777777" w:rsidR="005624AD" w:rsidRPr="00E90D8B" w:rsidRDefault="005624AD" w:rsidP="005624AD">
            <w:pPr>
              <w:jc w:val="center"/>
              <w:rPr>
                <w:rFonts w:ascii="Times" w:hAnsi="Times" w:cs="Times"/>
              </w:rPr>
            </w:pPr>
            <w:r w:rsidRPr="00E90D8B">
              <w:rPr>
                <w:rFonts w:ascii="Times" w:hAnsi="Times" w:cs="Times"/>
              </w:rPr>
              <w:t>Coffee biochar (Activated)</w:t>
            </w:r>
          </w:p>
        </w:tc>
        <w:tc>
          <w:tcPr>
            <w:tcW w:w="1316" w:type="dxa"/>
            <w:gridSpan w:val="2"/>
          </w:tcPr>
          <w:p w14:paraId="14D62D55" w14:textId="72FF7BFE" w:rsidR="005624AD" w:rsidRPr="00E90D8B" w:rsidRDefault="005624AD" w:rsidP="005624AD">
            <w:pPr>
              <w:jc w:val="center"/>
              <w:rPr>
                <w:rFonts w:ascii="Times" w:hAnsi="Times" w:cs="Times"/>
              </w:rPr>
            </w:pPr>
            <w:r w:rsidRPr="00E90D8B">
              <w:rPr>
                <w:rFonts w:ascii="Times" w:hAnsi="Times" w:cs="Times"/>
              </w:rPr>
              <w:t>4.99</w:t>
            </w:r>
            <w:r w:rsidRPr="00E90D8B">
              <w:rPr>
                <w:rFonts w:ascii="Times" w:hAnsi="Times" w:cs="Times"/>
              </w:rPr>
              <w:br/>
              <w:t>6.62</w:t>
            </w:r>
          </w:p>
        </w:tc>
        <w:tc>
          <w:tcPr>
            <w:tcW w:w="1372" w:type="dxa"/>
            <w:gridSpan w:val="3"/>
          </w:tcPr>
          <w:p w14:paraId="7795D9E9" w14:textId="77777777" w:rsidR="005624AD" w:rsidRPr="00E90D8B" w:rsidRDefault="005624AD" w:rsidP="005624AD">
            <w:pPr>
              <w:jc w:val="center"/>
              <w:rPr>
                <w:rFonts w:ascii="Times" w:hAnsi="Times" w:cs="Times"/>
              </w:rPr>
            </w:pPr>
            <w:r w:rsidRPr="00E90D8B">
              <w:rPr>
                <w:rFonts w:ascii="Times" w:hAnsi="Times" w:cs="Times"/>
              </w:rPr>
              <w:t>6.94</w:t>
            </w:r>
          </w:p>
          <w:p w14:paraId="4AD5BD26" w14:textId="77777777" w:rsidR="005624AD" w:rsidRPr="00E90D8B" w:rsidRDefault="005624AD" w:rsidP="005624AD">
            <w:pPr>
              <w:jc w:val="center"/>
              <w:rPr>
                <w:rFonts w:ascii="Times" w:hAnsi="Times" w:cs="Times"/>
              </w:rPr>
            </w:pPr>
            <w:r w:rsidRPr="00E90D8B">
              <w:rPr>
                <w:rFonts w:ascii="Times" w:hAnsi="Times" w:cs="Times"/>
              </w:rPr>
              <w:t>11.1</w:t>
            </w:r>
          </w:p>
        </w:tc>
      </w:tr>
    </w:tbl>
    <w:p w14:paraId="2A54AFC3" w14:textId="77777777" w:rsidR="00E60628" w:rsidRPr="00E90D8B" w:rsidRDefault="00E60628" w:rsidP="00463F8C">
      <w:pPr>
        <w:rPr>
          <w:b/>
          <w:bCs/>
        </w:rPr>
      </w:pPr>
    </w:p>
    <w:p w14:paraId="7983D5FE" w14:textId="11AFB670" w:rsidR="00217C68" w:rsidRPr="00E90D8B" w:rsidRDefault="00463F8C" w:rsidP="00463F8C">
      <w:pPr>
        <w:rPr>
          <w:b/>
          <w:bCs/>
        </w:rPr>
      </w:pPr>
      <w:r w:rsidRPr="00E90D8B">
        <w:rPr>
          <w:b/>
          <w:bCs/>
        </w:rPr>
        <w:t>References</w:t>
      </w:r>
    </w:p>
    <w:p w14:paraId="6B809F23" w14:textId="7889D4C4" w:rsidR="00FE64BC" w:rsidRPr="00E90D8B" w:rsidRDefault="00FE64BC" w:rsidP="00FE64BC">
      <w:pPr>
        <w:widowControl w:val="0"/>
        <w:autoSpaceDE w:val="0"/>
        <w:autoSpaceDN w:val="0"/>
        <w:adjustRightInd w:val="0"/>
        <w:spacing w:line="240" w:lineRule="auto"/>
        <w:ind w:left="640" w:hanging="640"/>
        <w:rPr>
          <w:rFonts w:ascii="Calibri" w:hAnsi="Calibri" w:cs="Calibri"/>
          <w:noProof/>
        </w:rPr>
      </w:pPr>
      <w:r w:rsidRPr="00E90D8B">
        <w:rPr>
          <w:i/>
          <w:iCs/>
        </w:rPr>
        <w:fldChar w:fldCharType="begin" w:fldLock="1"/>
      </w:r>
      <w:r w:rsidRPr="00E90D8B">
        <w:rPr>
          <w:i/>
          <w:iCs/>
        </w:rPr>
        <w:instrText xml:space="preserve">ADDIN Mendeley Bibliography CSL_BIBLIOGRAPHY </w:instrText>
      </w:r>
      <w:r w:rsidRPr="00E90D8B">
        <w:rPr>
          <w:i/>
          <w:iCs/>
        </w:rPr>
        <w:fldChar w:fldCharType="separate"/>
      </w:r>
      <w:r w:rsidRPr="00E90D8B">
        <w:rPr>
          <w:rFonts w:ascii="Calibri" w:hAnsi="Calibri" w:cs="Calibri"/>
          <w:noProof/>
        </w:rPr>
        <w:t>[1]</w:t>
      </w:r>
      <w:r w:rsidRPr="00E90D8B">
        <w:rPr>
          <w:rFonts w:ascii="Calibri" w:hAnsi="Calibri" w:cs="Calibri"/>
          <w:noProof/>
        </w:rPr>
        <w:tab/>
        <w:t xml:space="preserve">S. S. M. Hassan, A. H. Kamel, M. A. Youssef, A. H. A. Aboterika, and N. S. Awwad, “Removal of barium and strontium from wastewater and radioactive wastes using a green bioadsorbent, salvadora persica (Miswak),” </w:t>
      </w:r>
      <w:r w:rsidRPr="00E90D8B">
        <w:rPr>
          <w:rFonts w:ascii="Calibri" w:hAnsi="Calibri" w:cs="Calibri"/>
          <w:i/>
          <w:iCs/>
          <w:noProof/>
        </w:rPr>
        <w:t>Desalin. Water Treat.</w:t>
      </w:r>
      <w:r w:rsidRPr="00E90D8B">
        <w:rPr>
          <w:rFonts w:ascii="Calibri" w:hAnsi="Calibri" w:cs="Calibri"/>
          <w:noProof/>
        </w:rPr>
        <w:t>, vol. 192, pp. 306–314, 2020, doi: 10.5004/dwt.2020.25774.</w:t>
      </w:r>
    </w:p>
    <w:p w14:paraId="4065F9FA" w14:textId="77777777" w:rsidR="00FE64BC" w:rsidRPr="00E90D8B" w:rsidRDefault="00FE64BC" w:rsidP="00FE64BC">
      <w:pPr>
        <w:widowControl w:val="0"/>
        <w:autoSpaceDE w:val="0"/>
        <w:autoSpaceDN w:val="0"/>
        <w:adjustRightInd w:val="0"/>
        <w:spacing w:line="240" w:lineRule="auto"/>
        <w:ind w:left="640" w:hanging="640"/>
        <w:rPr>
          <w:rFonts w:ascii="Calibri" w:hAnsi="Calibri" w:cs="Calibri"/>
          <w:noProof/>
        </w:rPr>
      </w:pPr>
      <w:r w:rsidRPr="00E90D8B">
        <w:rPr>
          <w:rFonts w:ascii="Calibri" w:hAnsi="Calibri" w:cs="Calibri"/>
          <w:noProof/>
        </w:rPr>
        <w:t>[2]</w:t>
      </w:r>
      <w:r w:rsidRPr="00E90D8B">
        <w:rPr>
          <w:rFonts w:ascii="Calibri" w:hAnsi="Calibri" w:cs="Calibri"/>
          <w:noProof/>
        </w:rPr>
        <w:tab/>
        <w:t xml:space="preserve">S. A. Younis, R. A. El-Salamony, Y. F. Tsang, and K. H. Kim, “Use of rice straw-based biochar for batch sorption of barium/strontium from saline water: Protection against scale formation in petroleum/desalination industries,” </w:t>
      </w:r>
      <w:r w:rsidRPr="00E90D8B">
        <w:rPr>
          <w:rFonts w:ascii="Calibri" w:hAnsi="Calibri" w:cs="Calibri"/>
          <w:i/>
          <w:iCs/>
          <w:noProof/>
        </w:rPr>
        <w:t>J. Clean. Prod.</w:t>
      </w:r>
      <w:r w:rsidRPr="00E90D8B">
        <w:rPr>
          <w:rFonts w:ascii="Calibri" w:hAnsi="Calibri" w:cs="Calibri"/>
          <w:noProof/>
        </w:rPr>
        <w:t>, vol. 250, p. 119442, 2020, doi: 10.1016/j.jclepro.2019.119442.</w:t>
      </w:r>
    </w:p>
    <w:p w14:paraId="2333B3D4" w14:textId="77777777" w:rsidR="00FE64BC" w:rsidRPr="00E90D8B" w:rsidRDefault="00FE64BC" w:rsidP="00FE64BC">
      <w:pPr>
        <w:widowControl w:val="0"/>
        <w:autoSpaceDE w:val="0"/>
        <w:autoSpaceDN w:val="0"/>
        <w:adjustRightInd w:val="0"/>
        <w:spacing w:line="240" w:lineRule="auto"/>
        <w:ind w:left="640" w:hanging="640"/>
        <w:rPr>
          <w:rFonts w:ascii="Calibri" w:hAnsi="Calibri" w:cs="Calibri"/>
          <w:noProof/>
        </w:rPr>
      </w:pPr>
      <w:r w:rsidRPr="00E90D8B">
        <w:rPr>
          <w:rFonts w:ascii="Calibri" w:hAnsi="Calibri" w:cs="Calibri"/>
          <w:noProof/>
        </w:rPr>
        <w:t>[3]</w:t>
      </w:r>
      <w:r w:rsidRPr="00E90D8B">
        <w:rPr>
          <w:rFonts w:ascii="Calibri" w:hAnsi="Calibri" w:cs="Calibri"/>
          <w:noProof/>
        </w:rPr>
        <w:tab/>
        <w:t xml:space="preserve">H. Dan </w:t>
      </w:r>
      <w:r w:rsidRPr="00E90D8B">
        <w:rPr>
          <w:rFonts w:ascii="Calibri" w:hAnsi="Calibri" w:cs="Calibri"/>
          <w:i/>
          <w:iCs/>
          <w:noProof/>
        </w:rPr>
        <w:t>et al.</w:t>
      </w:r>
      <w:r w:rsidRPr="00E90D8B">
        <w:rPr>
          <w:rFonts w:ascii="Calibri" w:hAnsi="Calibri" w:cs="Calibri"/>
          <w:noProof/>
        </w:rPr>
        <w:t xml:space="preserve">, “Manganese dioxide-loaded mesoporous SBA-15 silica composites for effective removal of strontium from aqueous solution,” </w:t>
      </w:r>
      <w:r w:rsidRPr="00E90D8B">
        <w:rPr>
          <w:rFonts w:ascii="Calibri" w:hAnsi="Calibri" w:cs="Calibri"/>
          <w:i/>
          <w:iCs/>
          <w:noProof/>
        </w:rPr>
        <w:t>Environ. Res.</w:t>
      </w:r>
      <w:r w:rsidRPr="00E90D8B">
        <w:rPr>
          <w:rFonts w:ascii="Calibri" w:hAnsi="Calibri" w:cs="Calibri"/>
          <w:noProof/>
        </w:rPr>
        <w:t>, vol. 191, no. February, p. 110040, 2020, doi: 10.1016/j.envres.2020.110040.</w:t>
      </w:r>
    </w:p>
    <w:p w14:paraId="118694D9" w14:textId="77777777" w:rsidR="00FE64BC" w:rsidRPr="00E90D8B" w:rsidRDefault="00FE64BC" w:rsidP="00FE64BC">
      <w:pPr>
        <w:widowControl w:val="0"/>
        <w:autoSpaceDE w:val="0"/>
        <w:autoSpaceDN w:val="0"/>
        <w:adjustRightInd w:val="0"/>
        <w:spacing w:line="240" w:lineRule="auto"/>
        <w:ind w:left="640" w:hanging="640"/>
        <w:rPr>
          <w:rFonts w:ascii="Calibri" w:hAnsi="Calibri" w:cs="Calibri"/>
          <w:noProof/>
        </w:rPr>
      </w:pPr>
      <w:r w:rsidRPr="00E90D8B">
        <w:rPr>
          <w:rFonts w:ascii="Calibri" w:hAnsi="Calibri" w:cs="Calibri"/>
          <w:noProof/>
        </w:rPr>
        <w:t>[4]</w:t>
      </w:r>
      <w:r w:rsidRPr="00E90D8B">
        <w:rPr>
          <w:rFonts w:ascii="Calibri" w:hAnsi="Calibri" w:cs="Calibri"/>
          <w:noProof/>
        </w:rPr>
        <w:tab/>
        <w:t xml:space="preserve">M. Torab-Mostaedi, A. Ghaemi, H. Ghassabzadeh, and M. Ghannadi-Maragheh, “Removal of strontium and barium from aqueous solutions by adsorption onto expanded perlite,” </w:t>
      </w:r>
      <w:r w:rsidRPr="00E90D8B">
        <w:rPr>
          <w:rFonts w:ascii="Calibri" w:hAnsi="Calibri" w:cs="Calibri"/>
          <w:i/>
          <w:iCs/>
          <w:noProof/>
        </w:rPr>
        <w:t>Can. J. Chem. Eng.</w:t>
      </w:r>
      <w:r w:rsidRPr="00E90D8B">
        <w:rPr>
          <w:rFonts w:ascii="Calibri" w:hAnsi="Calibri" w:cs="Calibri"/>
          <w:noProof/>
        </w:rPr>
        <w:t>, vol. 89, no. 5, pp. 1247–1254, 2011, doi: 10.1002/cjce.20486.</w:t>
      </w:r>
    </w:p>
    <w:p w14:paraId="73091196" w14:textId="77777777" w:rsidR="00FE64BC" w:rsidRPr="00E90D8B" w:rsidRDefault="00FE64BC" w:rsidP="00FE64BC">
      <w:pPr>
        <w:widowControl w:val="0"/>
        <w:autoSpaceDE w:val="0"/>
        <w:autoSpaceDN w:val="0"/>
        <w:adjustRightInd w:val="0"/>
        <w:spacing w:line="240" w:lineRule="auto"/>
        <w:ind w:left="640" w:hanging="640"/>
        <w:rPr>
          <w:rFonts w:ascii="Calibri" w:hAnsi="Calibri" w:cs="Calibri"/>
          <w:noProof/>
        </w:rPr>
      </w:pPr>
      <w:r w:rsidRPr="00E90D8B">
        <w:rPr>
          <w:rFonts w:ascii="Calibri" w:hAnsi="Calibri" w:cs="Calibri"/>
          <w:noProof/>
        </w:rPr>
        <w:t>[5]</w:t>
      </w:r>
      <w:r w:rsidRPr="00E90D8B">
        <w:rPr>
          <w:rFonts w:ascii="Calibri" w:hAnsi="Calibri" w:cs="Calibri"/>
          <w:noProof/>
        </w:rPr>
        <w:tab/>
        <w:t xml:space="preserve">J. Shin </w:t>
      </w:r>
      <w:r w:rsidRPr="00E90D8B">
        <w:rPr>
          <w:rFonts w:ascii="Calibri" w:hAnsi="Calibri" w:cs="Calibri"/>
          <w:i/>
          <w:iCs/>
          <w:noProof/>
        </w:rPr>
        <w:t>et al.</w:t>
      </w:r>
      <w:r w:rsidRPr="00E90D8B">
        <w:rPr>
          <w:rFonts w:ascii="Calibri" w:hAnsi="Calibri" w:cs="Calibri"/>
          <w:noProof/>
        </w:rPr>
        <w:t xml:space="preserve">, “Changes in adsorption mechanisms of radioactive barium, cobalt, and strontium ions using spent coffee waste biochars via alkaline chemical activation: Enrichment effects of O-containing functional groups,” </w:t>
      </w:r>
      <w:r w:rsidRPr="00E90D8B">
        <w:rPr>
          <w:rFonts w:ascii="Calibri" w:hAnsi="Calibri" w:cs="Calibri"/>
          <w:i/>
          <w:iCs/>
          <w:noProof/>
        </w:rPr>
        <w:t>Environ. Res.</w:t>
      </w:r>
      <w:r w:rsidRPr="00E90D8B">
        <w:rPr>
          <w:rFonts w:ascii="Calibri" w:hAnsi="Calibri" w:cs="Calibri"/>
          <w:noProof/>
        </w:rPr>
        <w:t>, vol. 199, no. May, p. 111346, 2021, doi: 10.1016/j.envres.2021.111346.</w:t>
      </w:r>
    </w:p>
    <w:p w14:paraId="6965296C" w14:textId="6C439A78" w:rsidR="00217C68" w:rsidRPr="00E90D8B" w:rsidRDefault="00FE64BC" w:rsidP="005624AD">
      <w:pPr>
        <w:rPr>
          <w:i/>
          <w:iCs/>
        </w:rPr>
      </w:pPr>
      <w:r w:rsidRPr="00E90D8B">
        <w:rPr>
          <w:i/>
          <w:iCs/>
        </w:rPr>
        <w:fldChar w:fldCharType="end"/>
      </w:r>
    </w:p>
    <w:sectPr w:rsidR="00217C68" w:rsidRPr="00E90D8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rQwNDaxMDQwMjAzMzZT0lEKTi0uzszPAykwqQUA9FL8iSwAAAA="/>
  </w:docVars>
  <w:rsids>
    <w:rsidRoot w:val="002E69B5"/>
    <w:rsid w:val="0003664E"/>
    <w:rsid w:val="0006515D"/>
    <w:rsid w:val="00086A72"/>
    <w:rsid w:val="00120763"/>
    <w:rsid w:val="001B0821"/>
    <w:rsid w:val="001E7C02"/>
    <w:rsid w:val="00217C68"/>
    <w:rsid w:val="002308D9"/>
    <w:rsid w:val="0024428D"/>
    <w:rsid w:val="00261030"/>
    <w:rsid w:val="002E69B5"/>
    <w:rsid w:val="002E746F"/>
    <w:rsid w:val="00306263"/>
    <w:rsid w:val="003431F3"/>
    <w:rsid w:val="00377288"/>
    <w:rsid w:val="00382D51"/>
    <w:rsid w:val="00463F8C"/>
    <w:rsid w:val="004B7129"/>
    <w:rsid w:val="005624AD"/>
    <w:rsid w:val="00586EDB"/>
    <w:rsid w:val="005F119E"/>
    <w:rsid w:val="006363FD"/>
    <w:rsid w:val="006E55F1"/>
    <w:rsid w:val="00702F39"/>
    <w:rsid w:val="0075226B"/>
    <w:rsid w:val="007847EB"/>
    <w:rsid w:val="007D01CC"/>
    <w:rsid w:val="007D3537"/>
    <w:rsid w:val="007D6AA8"/>
    <w:rsid w:val="0084270A"/>
    <w:rsid w:val="008A3316"/>
    <w:rsid w:val="009074D3"/>
    <w:rsid w:val="009624AA"/>
    <w:rsid w:val="009E207E"/>
    <w:rsid w:val="00A701BA"/>
    <w:rsid w:val="00AA42B1"/>
    <w:rsid w:val="00AD2536"/>
    <w:rsid w:val="00AD7E6F"/>
    <w:rsid w:val="00B04996"/>
    <w:rsid w:val="00B449F6"/>
    <w:rsid w:val="00B64C83"/>
    <w:rsid w:val="00C06A4F"/>
    <w:rsid w:val="00C27411"/>
    <w:rsid w:val="00C47601"/>
    <w:rsid w:val="00CA61DB"/>
    <w:rsid w:val="00CC476A"/>
    <w:rsid w:val="00D702F5"/>
    <w:rsid w:val="00D737AC"/>
    <w:rsid w:val="00DB210C"/>
    <w:rsid w:val="00DC7C7F"/>
    <w:rsid w:val="00DE65EF"/>
    <w:rsid w:val="00DF2728"/>
    <w:rsid w:val="00E1187D"/>
    <w:rsid w:val="00E60628"/>
    <w:rsid w:val="00E665A4"/>
    <w:rsid w:val="00E81AB5"/>
    <w:rsid w:val="00E90D8B"/>
    <w:rsid w:val="00F05128"/>
    <w:rsid w:val="00F7788F"/>
    <w:rsid w:val="00FE2C0C"/>
    <w:rsid w:val="00FE64B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4B0E5B"/>
  <w15:chartTrackingRefBased/>
  <w15:docId w15:val="{E68E3696-A02F-489C-8A6D-E611E513AE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17C68"/>
    <w:pPr>
      <w:spacing w:after="0" w:line="240" w:lineRule="auto"/>
      <w:jc w:val="both"/>
    </w:pPr>
    <w:rPr>
      <w:rFonts w:eastAsiaTheme="minorEastAsia"/>
      <w:sz w:val="21"/>
      <w:szCs w:val="21"/>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link w:val="CaptionChar"/>
    <w:uiPriority w:val="35"/>
    <w:unhideWhenUsed/>
    <w:qFormat/>
    <w:rsid w:val="00217C68"/>
    <w:pPr>
      <w:spacing w:line="252" w:lineRule="auto"/>
      <w:jc w:val="both"/>
    </w:pPr>
    <w:rPr>
      <w:rFonts w:eastAsiaTheme="minorEastAsia"/>
      <w:b/>
      <w:bCs/>
      <w:sz w:val="18"/>
      <w:szCs w:val="18"/>
      <w:lang w:val="en-GB"/>
    </w:rPr>
  </w:style>
  <w:style w:type="character" w:customStyle="1" w:styleId="CaptionChar">
    <w:name w:val="Caption Char"/>
    <w:basedOn w:val="DefaultParagraphFont"/>
    <w:link w:val="Caption"/>
    <w:uiPriority w:val="35"/>
    <w:rsid w:val="00217C68"/>
    <w:rPr>
      <w:rFonts w:eastAsiaTheme="minorEastAsia"/>
      <w:b/>
      <w:bCs/>
      <w:sz w:val="18"/>
      <w:szCs w:val="18"/>
      <w:lang w:val="en-GB"/>
    </w:rPr>
  </w:style>
  <w:style w:type="paragraph" w:styleId="ListParagraph">
    <w:name w:val="List Paragraph"/>
    <w:basedOn w:val="Normal"/>
    <w:link w:val="ListParagraphChar"/>
    <w:uiPriority w:val="34"/>
    <w:qFormat/>
    <w:rsid w:val="00E60628"/>
    <w:pPr>
      <w:spacing w:line="252" w:lineRule="auto"/>
      <w:ind w:left="720"/>
      <w:contextualSpacing/>
      <w:jc w:val="both"/>
    </w:pPr>
    <w:rPr>
      <w:rFonts w:eastAsiaTheme="minorEastAsia"/>
      <w:lang w:val="en-GB"/>
    </w:rPr>
  </w:style>
  <w:style w:type="character" w:customStyle="1" w:styleId="ListParagraphChar">
    <w:name w:val="List Paragraph Char"/>
    <w:basedOn w:val="DefaultParagraphFont"/>
    <w:link w:val="ListParagraph"/>
    <w:uiPriority w:val="34"/>
    <w:rsid w:val="00E60628"/>
    <w:rPr>
      <w:rFonts w:eastAsiaTheme="minorEastAsia"/>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B4673B-2D94-4207-B69F-34480D0FEB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2542</Words>
  <Characters>15511</Characters>
  <Application>Microsoft Office Word</Application>
  <DocSecurity>0</DocSecurity>
  <Lines>738</Lines>
  <Paragraphs>547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Shifa Zuhara</dc:creator>
  <cp:keywords/>
  <dc:description/>
  <cp:lastModifiedBy>Shifa Zuhara</cp:lastModifiedBy>
  <cp:revision>3</cp:revision>
  <dcterms:created xsi:type="dcterms:W3CDTF">2024-04-07T16:54:00Z</dcterms:created>
  <dcterms:modified xsi:type="dcterms:W3CDTF">2024-04-29T18:03:00Z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939f95a84a2d810fe100cb61c8302d74b09276a8f678334c70b859dbbb2e546a</vt:lpwstr>
  </property>
  <property fmtid="{D5CDD505-2E9C-101B-9397-08002B2CF9AE}" pid="3" name="Mendeley Document_1">
    <vt:lpwstr>True</vt:lpwstr>
  </property>
  <property fmtid="{D5CDD505-2E9C-101B-9397-08002B2CF9AE}" pid="4" name="Mendeley Unique User Id_1">
    <vt:lpwstr>1319cbbc-b818-3aea-a91f-033f2875ad8e</vt:lpwstr>
  </property>
  <property fmtid="{D5CDD505-2E9C-101B-9397-08002B2CF9AE}" pid="5" name="Mendeley Citation Style_1">
    <vt:lpwstr>http://www.zotero.org/styles/ieee</vt:lpwstr>
  </property>
  <property fmtid="{D5CDD505-2E9C-101B-9397-08002B2CF9AE}" pid="6" name="Mendeley Recent Style Id 0_1">
    <vt:lpwstr>http://www.zotero.org/styles/apa</vt:lpwstr>
  </property>
  <property fmtid="{D5CDD505-2E9C-101B-9397-08002B2CF9AE}" pid="7" name="Mendeley Recent Style Name 0_1">
    <vt:lpwstr>American Psychological Association 7th edition</vt:lpwstr>
  </property>
  <property fmtid="{D5CDD505-2E9C-101B-9397-08002B2CF9AE}" pid="8" name="Mendeley Recent Style Id 1_1">
    <vt:lpwstr>http://www.zotero.org/styles/american-sociological-association</vt:lpwstr>
  </property>
  <property fmtid="{D5CDD505-2E9C-101B-9397-08002B2CF9AE}" pid="9" name="Mendeley Recent Style Name 1_1">
    <vt:lpwstr>American Sociological Association 6th edition</vt:lpwstr>
  </property>
  <property fmtid="{D5CDD505-2E9C-101B-9397-08002B2CF9AE}" pid="10" name="Mendeley Recent Style Id 2_1">
    <vt:lpwstr>http://www.zotero.org/styles/chicago-author-date</vt:lpwstr>
  </property>
  <property fmtid="{D5CDD505-2E9C-101B-9397-08002B2CF9AE}" pid="11" name="Mendeley Recent Style Name 2_1">
    <vt:lpwstr>Chicago Manual of Style 17th edition (author-date)</vt:lpwstr>
  </property>
  <property fmtid="{D5CDD505-2E9C-101B-9397-08002B2CF9AE}" pid="12" name="Mendeley Recent Style Id 3_1">
    <vt:lpwstr>http://www.zotero.org/styles/harvard-cite-them-right</vt:lpwstr>
  </property>
  <property fmtid="{D5CDD505-2E9C-101B-9397-08002B2CF9AE}" pid="13" name="Mendeley Recent Style Name 3_1">
    <vt:lpwstr>Cite Them Right 12th edition - Harvard</vt:lpwstr>
  </property>
  <property fmtid="{D5CDD505-2E9C-101B-9397-08002B2CF9AE}" pid="14" name="Mendeley Recent Style Id 4_1">
    <vt:lpwstr>http://www.zotero.org/styles/ieee</vt:lpwstr>
  </property>
  <property fmtid="{D5CDD505-2E9C-101B-9397-08002B2CF9AE}" pid="15" name="Mendeley Recent Style Name 4_1">
    <vt:lpwstr>IEEE</vt:lpwstr>
  </property>
  <property fmtid="{D5CDD505-2E9C-101B-9397-08002B2CF9AE}" pid="16" name="Mendeley Recent Style Id 5_1">
    <vt:lpwstr>http://www.zotero.org/styles/international-journal-of-environmental-science-and-technology</vt:lpwstr>
  </property>
  <property fmtid="{D5CDD505-2E9C-101B-9397-08002B2CF9AE}" pid="17" name="Mendeley Recent Style Name 5_1">
    <vt:lpwstr>International Journal of Environmental Science and Technology</vt:lpwstr>
  </property>
  <property fmtid="{D5CDD505-2E9C-101B-9397-08002B2CF9AE}" pid="18" name="Mendeley Recent Style Id 6_1">
    <vt:lpwstr>http://www.zotero.org/styles/journal-of-analytical-and-applied-pyrolysis</vt:lpwstr>
  </property>
  <property fmtid="{D5CDD505-2E9C-101B-9397-08002B2CF9AE}" pid="19" name="Mendeley Recent Style Name 6_1">
    <vt:lpwstr>Journal of Analytical and Applied Pyrolysis</vt:lpwstr>
  </property>
  <property fmtid="{D5CDD505-2E9C-101B-9397-08002B2CF9AE}" pid="20" name="Mendeley Recent Style Id 7_1">
    <vt:lpwstr>http://www.zotero.org/styles/journal-of-environmental-chemical-engineering</vt:lpwstr>
  </property>
  <property fmtid="{D5CDD505-2E9C-101B-9397-08002B2CF9AE}" pid="21" name="Mendeley Recent Style Name 7_1">
    <vt:lpwstr>Journal of Environmental Chemical Engineering</vt:lpwstr>
  </property>
  <property fmtid="{D5CDD505-2E9C-101B-9397-08002B2CF9AE}" pid="22" name="Mendeley Recent Style Id 8_1">
    <vt:lpwstr>http://www.zotero.org/styles/renewable-energy</vt:lpwstr>
  </property>
  <property fmtid="{D5CDD505-2E9C-101B-9397-08002B2CF9AE}" pid="23" name="Mendeley Recent Style Name 8_1">
    <vt:lpwstr>Renewable Energy</vt:lpwstr>
  </property>
  <property fmtid="{D5CDD505-2E9C-101B-9397-08002B2CF9AE}" pid="24" name="Mendeley Recent Style Id 9_1">
    <vt:lpwstr>http://www.zotero.org/styles/springer-basic-author-date-no-et-al-with-issue</vt:lpwstr>
  </property>
  <property fmtid="{D5CDD505-2E9C-101B-9397-08002B2CF9AE}" pid="25" name="Mendeley Recent Style Name 9_1">
    <vt:lpwstr>Springer - Basic (author-date, no "et al.", with issue numbers)</vt:lpwstr>
  </property>
</Properties>
</file>