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  <w:b/>
          <w:bCs/>
        </w:rPr>
      </w:pPr>
      <w:r w:rsidRPr="00B05143">
        <w:rPr>
          <w:rFonts w:ascii="Times New Roman" w:hAnsi="Times New Roman" w:cs="Times New Roman"/>
          <w:b/>
          <w:bCs/>
        </w:rPr>
        <w:t>Supplementary Figure Legends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  <w:b/>
        </w:rPr>
      </w:pP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  <w:b/>
        </w:rPr>
        <w:t xml:space="preserve">Figure S1: </w:t>
      </w:r>
      <w:r w:rsidRPr="00B05143">
        <w:rPr>
          <w:rFonts w:ascii="Times New Roman" w:hAnsi="Times New Roman" w:cs="Times New Roman"/>
        </w:rPr>
        <w:t>Analysis of purified Hsc70 and its structural domains by size exclusion chromatography and SDS-PAGE (inset) as described under materials and methods.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  <w:b/>
        </w:rPr>
      </w:pP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  <w:b/>
          <w:bCs/>
        </w:rPr>
        <w:t>Figure S2:</w:t>
      </w:r>
      <w:r w:rsidRPr="00B05143">
        <w:rPr>
          <w:rFonts w:ascii="Times New Roman" w:hAnsi="Times New Roman" w:cs="Times New Roman"/>
        </w:rPr>
        <w:t xml:space="preserve"> </w:t>
      </w:r>
      <w:proofErr w:type="spellStart"/>
      <w:r w:rsidRPr="00B05143">
        <w:rPr>
          <w:rFonts w:ascii="Times New Roman" w:hAnsi="Times New Roman" w:cs="Times New Roman"/>
          <w:b/>
          <w:bCs/>
        </w:rPr>
        <w:t>hIAPP</w:t>
      </w:r>
      <w:proofErr w:type="spellEnd"/>
      <w:r w:rsidRPr="00B05143">
        <w:rPr>
          <w:rFonts w:ascii="Times New Roman" w:hAnsi="Times New Roman" w:cs="Times New Roman"/>
          <w:b/>
          <w:bCs/>
        </w:rPr>
        <w:t xml:space="preserve"> monomer (control)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</w:rPr>
        <w:t xml:space="preserve">Residual secondary structure content corresponding to α-helix, β-sheet, random coil, and turn regions in </w:t>
      </w:r>
      <w:proofErr w:type="spellStart"/>
      <w:r w:rsidRPr="00B05143">
        <w:rPr>
          <w:rFonts w:ascii="Times New Roman" w:hAnsi="Times New Roman" w:cs="Times New Roman"/>
        </w:rPr>
        <w:t>hIAPP</w:t>
      </w:r>
      <w:proofErr w:type="spellEnd"/>
      <w:r w:rsidRPr="00B05143">
        <w:rPr>
          <w:rFonts w:ascii="Times New Roman" w:hAnsi="Times New Roman" w:cs="Times New Roman"/>
        </w:rPr>
        <w:t xml:space="preserve"> monomer.</w:t>
      </w:r>
      <w:r w:rsidRPr="00B05143">
        <w:rPr>
          <w:rFonts w:ascii="Times New Roman" w:hAnsi="Times New Roman" w:cs="Times New Roman"/>
          <w:b/>
          <w:bCs/>
        </w:rPr>
        <w:t xml:space="preserve"> </w:t>
      </w:r>
      <w:r w:rsidRPr="00B05143">
        <w:rPr>
          <w:rFonts w:ascii="Times New Roman" w:hAnsi="Times New Roman" w:cs="Times New Roman"/>
          <w:bCs/>
        </w:rPr>
        <w:t>The</w:t>
      </w:r>
      <w:r w:rsidRPr="00B05143">
        <w:rPr>
          <w:rFonts w:ascii="Times New Roman" w:hAnsi="Times New Roman" w:cs="Times New Roman"/>
          <w:b/>
          <w:bCs/>
        </w:rPr>
        <w:t xml:space="preserve"> </w:t>
      </w:r>
      <w:proofErr w:type="spellStart"/>
      <w:r w:rsidRPr="00B05143">
        <w:rPr>
          <w:rFonts w:ascii="Times New Roman" w:hAnsi="Times New Roman" w:cs="Times New Roman"/>
        </w:rPr>
        <w:t>hIAPP</w:t>
      </w:r>
      <w:proofErr w:type="spellEnd"/>
      <w:r w:rsidRPr="00B05143">
        <w:rPr>
          <w:rFonts w:ascii="Times New Roman" w:hAnsi="Times New Roman" w:cs="Times New Roman"/>
        </w:rPr>
        <w:t xml:space="preserve"> monomer (PDB code: 2L86) shows a stable α-helical region around residues 8-16. The conformational ensemble of </w:t>
      </w:r>
      <w:proofErr w:type="spellStart"/>
      <w:r w:rsidRPr="00B05143">
        <w:rPr>
          <w:rFonts w:ascii="Times New Roman" w:hAnsi="Times New Roman" w:cs="Times New Roman"/>
        </w:rPr>
        <w:t>hIAPP</w:t>
      </w:r>
      <w:proofErr w:type="spellEnd"/>
      <w:r w:rsidRPr="00B05143">
        <w:rPr>
          <w:rFonts w:ascii="Times New Roman" w:hAnsi="Times New Roman" w:cs="Times New Roman"/>
        </w:rPr>
        <w:t xml:space="preserve"> monomer is prominently random coil with a coil content of 68%. </w:t>
      </w:r>
      <w:r w:rsidRPr="00B05143">
        <w:rPr>
          <w:rFonts w:ascii="Times New Roman" w:hAnsi="Times New Roman" w:cs="Times New Roman"/>
          <w:lang w:val="el-GR"/>
        </w:rPr>
        <w:t>β</w:t>
      </w:r>
      <w:r w:rsidRPr="00B05143">
        <w:rPr>
          <w:rFonts w:ascii="Times New Roman" w:hAnsi="Times New Roman" w:cs="Times New Roman"/>
        </w:rPr>
        <w:t xml:space="preserve">-sheet and turn regions constitute a small fraction of the residual secondary structure in the </w:t>
      </w:r>
      <w:proofErr w:type="spellStart"/>
      <w:r w:rsidRPr="00B05143">
        <w:rPr>
          <w:rFonts w:ascii="Times New Roman" w:hAnsi="Times New Roman" w:cs="Times New Roman"/>
        </w:rPr>
        <w:t>hIAPP</w:t>
      </w:r>
      <w:proofErr w:type="spellEnd"/>
      <w:r w:rsidRPr="00B05143">
        <w:rPr>
          <w:rFonts w:ascii="Times New Roman" w:hAnsi="Times New Roman" w:cs="Times New Roman"/>
        </w:rPr>
        <w:t xml:space="preserve"> monomer ensemble. 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  <w:b/>
          <w:bCs/>
        </w:rPr>
      </w:pPr>
      <w:r w:rsidRPr="00B05143">
        <w:rPr>
          <w:rFonts w:ascii="Times New Roman" w:hAnsi="Times New Roman" w:cs="Times New Roman"/>
          <w:b/>
        </w:rPr>
        <w:t xml:space="preserve">Figure S3: </w:t>
      </w:r>
      <w:proofErr w:type="spellStart"/>
      <w:r w:rsidRPr="00B05143">
        <w:rPr>
          <w:rFonts w:ascii="Times New Roman" w:hAnsi="Times New Roman" w:cs="Times New Roman"/>
          <w:b/>
        </w:rPr>
        <w:t>hIAPP</w:t>
      </w:r>
      <w:proofErr w:type="spellEnd"/>
      <w:r w:rsidRPr="00B05143">
        <w:rPr>
          <w:rFonts w:ascii="Times New Roman" w:hAnsi="Times New Roman" w:cs="Times New Roman"/>
          <w:b/>
        </w:rPr>
        <w:t xml:space="preserve"> monomer and Hsc70+helix </w:t>
      </w:r>
      <w:proofErr w:type="gramStart"/>
      <w:r w:rsidRPr="00B05143">
        <w:rPr>
          <w:rFonts w:ascii="Times New Roman" w:hAnsi="Times New Roman" w:cs="Times New Roman"/>
          <w:b/>
        </w:rPr>
        <w:t>A</w:t>
      </w:r>
      <w:proofErr w:type="gramEnd"/>
      <w:r w:rsidRPr="00B05143">
        <w:rPr>
          <w:rFonts w:ascii="Times New Roman" w:hAnsi="Times New Roman" w:cs="Times New Roman"/>
          <w:b/>
        </w:rPr>
        <w:t xml:space="preserve"> complex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  <w:b/>
          <w:bCs/>
        </w:rPr>
        <w:t xml:space="preserve">A: Residual secondary structure content in </w:t>
      </w:r>
      <w:proofErr w:type="spellStart"/>
      <w:r w:rsidRPr="00B05143">
        <w:rPr>
          <w:rFonts w:ascii="Times New Roman" w:hAnsi="Times New Roman" w:cs="Times New Roman"/>
          <w:b/>
          <w:bCs/>
        </w:rPr>
        <w:t>hIAPP</w:t>
      </w:r>
      <w:proofErr w:type="spellEnd"/>
      <w:r w:rsidRPr="00B05143">
        <w:rPr>
          <w:rFonts w:ascii="Times New Roman" w:hAnsi="Times New Roman" w:cs="Times New Roman"/>
          <w:b/>
          <w:bCs/>
        </w:rPr>
        <w:t xml:space="preserve"> monomer. </w:t>
      </w:r>
      <w:proofErr w:type="spellStart"/>
      <w:proofErr w:type="gramStart"/>
      <w:r w:rsidRPr="00B05143">
        <w:rPr>
          <w:rFonts w:ascii="Times New Roman" w:hAnsi="Times New Roman" w:cs="Times New Roman"/>
        </w:rPr>
        <w:t>hIAPP</w:t>
      </w:r>
      <w:proofErr w:type="spellEnd"/>
      <w:proofErr w:type="gramEnd"/>
      <w:r w:rsidRPr="00B05143">
        <w:rPr>
          <w:rFonts w:ascii="Times New Roman" w:hAnsi="Times New Roman" w:cs="Times New Roman"/>
        </w:rPr>
        <w:t xml:space="preserve"> shows stable helical regions around residues 8-16 and an increase in β-sheet content around residues 24-32. In the presence of helix, A, the residual </w:t>
      </w:r>
      <w:r w:rsidRPr="00B05143">
        <w:rPr>
          <w:rFonts w:ascii="Times New Roman" w:hAnsi="Times New Roman" w:cs="Times New Roman"/>
          <w:lang w:val="el-GR"/>
        </w:rPr>
        <w:t>β-</w:t>
      </w:r>
      <w:r w:rsidRPr="00B05143">
        <w:rPr>
          <w:rFonts w:ascii="Times New Roman" w:hAnsi="Times New Roman" w:cs="Times New Roman"/>
        </w:rPr>
        <w:t xml:space="preserve">sheet content in </w:t>
      </w:r>
      <w:proofErr w:type="spellStart"/>
      <w:r w:rsidRPr="00B05143">
        <w:rPr>
          <w:rFonts w:ascii="Times New Roman" w:hAnsi="Times New Roman" w:cs="Times New Roman"/>
        </w:rPr>
        <w:t>hIAPP</w:t>
      </w:r>
      <w:proofErr w:type="spellEnd"/>
      <w:r w:rsidRPr="00B05143">
        <w:rPr>
          <w:rFonts w:ascii="Times New Roman" w:hAnsi="Times New Roman" w:cs="Times New Roman"/>
        </w:rPr>
        <w:t xml:space="preserve"> decreases to ~11%.   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  <w:b/>
          <w:bCs/>
        </w:rPr>
      </w:pPr>
      <w:r w:rsidRPr="00B05143">
        <w:rPr>
          <w:rFonts w:ascii="Times New Roman" w:hAnsi="Times New Roman" w:cs="Times New Roman"/>
          <w:b/>
          <w:bCs/>
        </w:rPr>
        <w:t xml:space="preserve">B: Number of </w:t>
      </w:r>
      <w:proofErr w:type="spellStart"/>
      <w:r w:rsidRPr="00B05143">
        <w:rPr>
          <w:rFonts w:ascii="Times New Roman" w:hAnsi="Times New Roman" w:cs="Times New Roman"/>
          <w:b/>
          <w:bCs/>
        </w:rPr>
        <w:t>interchain</w:t>
      </w:r>
      <w:proofErr w:type="spellEnd"/>
      <w:r w:rsidRPr="00B05143">
        <w:rPr>
          <w:rFonts w:ascii="Times New Roman" w:hAnsi="Times New Roman" w:cs="Times New Roman"/>
          <w:b/>
          <w:bCs/>
        </w:rPr>
        <w:t xml:space="preserve"> H-bonds formed between </w:t>
      </w:r>
      <w:proofErr w:type="spellStart"/>
      <w:r w:rsidRPr="00B05143">
        <w:rPr>
          <w:rFonts w:ascii="Times New Roman" w:hAnsi="Times New Roman" w:cs="Times New Roman"/>
          <w:b/>
          <w:bCs/>
        </w:rPr>
        <w:t>hIAPP</w:t>
      </w:r>
      <w:proofErr w:type="spellEnd"/>
      <w:r w:rsidRPr="00B05143">
        <w:rPr>
          <w:rFonts w:ascii="Times New Roman" w:hAnsi="Times New Roman" w:cs="Times New Roman"/>
          <w:b/>
          <w:bCs/>
        </w:rPr>
        <w:t xml:space="preserve"> and the two exposed β-strand edges of Hsc70-β-sandwich. </w:t>
      </w:r>
      <w:r w:rsidRPr="00B05143">
        <w:rPr>
          <w:rFonts w:ascii="Times New Roman" w:hAnsi="Times New Roman" w:cs="Times New Roman"/>
        </w:rPr>
        <w:t>Although</w:t>
      </w:r>
      <w:r w:rsidRPr="00B05143">
        <w:rPr>
          <w:rFonts w:ascii="Times New Roman" w:hAnsi="Times New Roman" w:cs="Times New Roman"/>
          <w:b/>
          <w:bCs/>
        </w:rPr>
        <w:t xml:space="preserve"> </w:t>
      </w:r>
      <w:proofErr w:type="spellStart"/>
      <w:r w:rsidRPr="00B05143">
        <w:rPr>
          <w:rFonts w:ascii="Times New Roman" w:hAnsi="Times New Roman" w:cs="Times New Roman"/>
        </w:rPr>
        <w:t>hIAPP</w:t>
      </w:r>
      <w:proofErr w:type="spellEnd"/>
      <w:r w:rsidRPr="00B05143">
        <w:rPr>
          <w:rFonts w:ascii="Times New Roman" w:hAnsi="Times New Roman" w:cs="Times New Roman"/>
        </w:rPr>
        <w:t xml:space="preserve"> can directly bind to the two exposed β-strand edges of the chaperone by forming </w:t>
      </w:r>
      <w:proofErr w:type="spellStart"/>
      <w:r w:rsidRPr="00B05143">
        <w:rPr>
          <w:rFonts w:ascii="Times New Roman" w:hAnsi="Times New Roman" w:cs="Times New Roman"/>
        </w:rPr>
        <w:t>interchain</w:t>
      </w:r>
      <w:proofErr w:type="spellEnd"/>
      <w:r w:rsidRPr="00B05143">
        <w:rPr>
          <w:rFonts w:ascii="Times New Roman" w:hAnsi="Times New Roman" w:cs="Times New Roman"/>
        </w:rPr>
        <w:t xml:space="preserve"> H-bonds, binding to the β-strand edges along helix A is preferred with increased </w:t>
      </w:r>
      <w:proofErr w:type="spellStart"/>
      <w:r w:rsidRPr="00B05143">
        <w:rPr>
          <w:rFonts w:ascii="Times New Roman" w:hAnsi="Times New Roman" w:cs="Times New Roman"/>
        </w:rPr>
        <w:t>interchain</w:t>
      </w:r>
      <w:proofErr w:type="spellEnd"/>
      <w:r w:rsidRPr="00B05143">
        <w:rPr>
          <w:rFonts w:ascii="Times New Roman" w:hAnsi="Times New Roman" w:cs="Times New Roman"/>
        </w:rPr>
        <w:t xml:space="preserve"> H-bonds. The representative structures highlight the binding of </w:t>
      </w:r>
      <w:proofErr w:type="spellStart"/>
      <w:r w:rsidRPr="00B05143">
        <w:rPr>
          <w:rFonts w:ascii="Times New Roman" w:hAnsi="Times New Roman" w:cs="Times New Roman"/>
        </w:rPr>
        <w:t>hIAPP</w:t>
      </w:r>
      <w:proofErr w:type="spellEnd"/>
      <w:r w:rsidRPr="00B05143">
        <w:rPr>
          <w:rFonts w:ascii="Times New Roman" w:hAnsi="Times New Roman" w:cs="Times New Roman"/>
        </w:rPr>
        <w:t xml:space="preserve"> to the two exposed β-strand edges along with binding to helix A. The N-terminal is shown in sphere. The hot-spot regions within Hsc70+helix </w:t>
      </w:r>
      <w:proofErr w:type="gramStart"/>
      <w:r w:rsidRPr="00B05143">
        <w:rPr>
          <w:rFonts w:ascii="Times New Roman" w:hAnsi="Times New Roman" w:cs="Times New Roman"/>
        </w:rPr>
        <w:t>A</w:t>
      </w:r>
      <w:proofErr w:type="gramEnd"/>
      <w:r w:rsidRPr="00B05143">
        <w:rPr>
          <w:rFonts w:ascii="Times New Roman" w:hAnsi="Times New Roman" w:cs="Times New Roman"/>
        </w:rPr>
        <w:t xml:space="preserve"> are color-coded according to the binding probability and the </w:t>
      </w:r>
      <w:proofErr w:type="spellStart"/>
      <w:r w:rsidRPr="00B05143">
        <w:rPr>
          <w:rFonts w:ascii="Times New Roman" w:hAnsi="Times New Roman" w:cs="Times New Roman"/>
        </w:rPr>
        <w:t>hIAPP</w:t>
      </w:r>
      <w:proofErr w:type="spellEnd"/>
      <w:r w:rsidRPr="00B05143">
        <w:rPr>
          <w:rFonts w:ascii="Times New Roman" w:hAnsi="Times New Roman" w:cs="Times New Roman"/>
        </w:rPr>
        <w:t xml:space="preserve"> peptide is shown in grey. 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  <w:b/>
          <w:bCs/>
        </w:rPr>
        <w:t xml:space="preserve">C: Per-residue binding probability in </w:t>
      </w:r>
      <w:proofErr w:type="spellStart"/>
      <w:r w:rsidRPr="00B05143">
        <w:rPr>
          <w:rFonts w:ascii="Times New Roman" w:hAnsi="Times New Roman" w:cs="Times New Roman"/>
          <w:b/>
          <w:bCs/>
        </w:rPr>
        <w:t>hIAPP</w:t>
      </w:r>
      <w:proofErr w:type="spellEnd"/>
      <w:r w:rsidRPr="00B05143">
        <w:rPr>
          <w:rFonts w:ascii="Times New Roman" w:hAnsi="Times New Roman" w:cs="Times New Roman"/>
          <w:b/>
          <w:bCs/>
        </w:rPr>
        <w:t xml:space="preserve">. </w:t>
      </w:r>
      <w:r w:rsidRPr="00B05143">
        <w:rPr>
          <w:rFonts w:ascii="Times New Roman" w:hAnsi="Times New Roman" w:cs="Times New Roman"/>
        </w:rPr>
        <w:t xml:space="preserve">Hydrophobic interactions mostly stabilize the binding around residues 11-29 of </w:t>
      </w:r>
      <w:proofErr w:type="spellStart"/>
      <w:r w:rsidRPr="00B05143">
        <w:rPr>
          <w:rFonts w:ascii="Times New Roman" w:hAnsi="Times New Roman" w:cs="Times New Roman"/>
        </w:rPr>
        <w:t>hIAPP</w:t>
      </w:r>
      <w:proofErr w:type="spellEnd"/>
      <w:r w:rsidRPr="00B05143">
        <w:rPr>
          <w:rFonts w:ascii="Times New Roman" w:hAnsi="Times New Roman" w:cs="Times New Roman"/>
        </w:rPr>
        <w:t xml:space="preserve">. The </w:t>
      </w:r>
      <w:proofErr w:type="spellStart"/>
      <w:r w:rsidRPr="00B05143">
        <w:rPr>
          <w:rFonts w:ascii="Times New Roman" w:hAnsi="Times New Roman" w:cs="Times New Roman"/>
        </w:rPr>
        <w:t>amyloidogenic</w:t>
      </w:r>
      <w:proofErr w:type="spellEnd"/>
      <w:r w:rsidRPr="00B05143">
        <w:rPr>
          <w:rFonts w:ascii="Times New Roman" w:hAnsi="Times New Roman" w:cs="Times New Roman"/>
        </w:rPr>
        <w:t xml:space="preserve"> region has stronger binding with Hsc70+helix A. The residues with high binding propensity have higher probability to adopt </w:t>
      </w:r>
      <w:r w:rsidRPr="00B05143">
        <w:rPr>
          <w:rFonts w:ascii="Times New Roman" w:hAnsi="Times New Roman" w:cs="Times New Roman"/>
          <w:lang w:val="el-GR"/>
        </w:rPr>
        <w:t>β-</w:t>
      </w:r>
      <w:r w:rsidRPr="00B05143">
        <w:rPr>
          <w:rFonts w:ascii="Times New Roman" w:hAnsi="Times New Roman" w:cs="Times New Roman"/>
        </w:rPr>
        <w:t>sheet and α-helix structures.</w:t>
      </w:r>
    </w:p>
    <w:p w:rsidR="00407C16" w:rsidRPr="00B05143" w:rsidRDefault="00407C16" w:rsidP="00407C16">
      <w:pPr>
        <w:spacing w:line="276" w:lineRule="auto"/>
        <w:rPr>
          <w:rFonts w:ascii="Times New Roman" w:hAnsi="Times New Roman" w:cs="Times New Roman"/>
        </w:rPr>
      </w:pPr>
    </w:p>
    <w:p w:rsidR="00407C16" w:rsidRPr="00B05143" w:rsidRDefault="00407C16" w:rsidP="00407C16">
      <w:pPr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</w:rPr>
        <w:br w:type="page"/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  <w:b/>
          <w:bCs/>
        </w:rPr>
      </w:pPr>
      <w:r w:rsidRPr="00B05143">
        <w:rPr>
          <w:rFonts w:ascii="Times New Roman" w:hAnsi="Times New Roman" w:cs="Times New Roman"/>
          <w:b/>
          <w:bCs/>
        </w:rPr>
        <w:lastRenderedPageBreak/>
        <w:t>Supplementary Figures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  <w:b/>
        </w:rPr>
        <w:t xml:space="preserve">Figure S1: 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  <w:b/>
        </w:rPr>
      </w:pP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  <w:noProof/>
          <w:lang w:val="en-IN" w:eastAsia="en-IN"/>
        </w:rPr>
        <w:drawing>
          <wp:inline distT="0" distB="0" distL="0" distR="0" wp14:anchorId="1F271792" wp14:editId="39BFF4E9">
            <wp:extent cx="5727700" cy="6874510"/>
            <wp:effectExtent l="0" t="0" r="0" b="0"/>
            <wp:docPr id="14125371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53719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687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</w:p>
    <w:p w:rsidR="00407C16" w:rsidRPr="00B05143" w:rsidRDefault="00407C16" w:rsidP="00407C16">
      <w:pPr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</w:rPr>
        <w:br w:type="page"/>
      </w:r>
    </w:p>
    <w:p w:rsidR="00407C16" w:rsidRPr="00B05143" w:rsidRDefault="00407C16" w:rsidP="00407C16">
      <w:pPr>
        <w:spacing w:line="276" w:lineRule="auto"/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  <w:b/>
          <w:bCs/>
        </w:rPr>
        <w:lastRenderedPageBreak/>
        <w:t>Figure S2:</w:t>
      </w:r>
      <w:r w:rsidRPr="00B05143">
        <w:rPr>
          <w:rFonts w:ascii="Times New Roman" w:hAnsi="Times New Roman" w:cs="Times New Roman"/>
        </w:rPr>
        <w:t xml:space="preserve"> </w:t>
      </w:r>
    </w:p>
    <w:p w:rsidR="00407C16" w:rsidRPr="00B05143" w:rsidRDefault="00407C16" w:rsidP="00407C16">
      <w:pPr>
        <w:spacing w:line="276" w:lineRule="auto"/>
        <w:jc w:val="both"/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  <w:noProof/>
          <w:lang w:val="en-IN" w:eastAsia="en-IN"/>
        </w:rPr>
        <w:drawing>
          <wp:inline distT="0" distB="0" distL="0" distR="0" wp14:anchorId="14236351" wp14:editId="2CA5D7A5">
            <wp:extent cx="5727700" cy="7796530"/>
            <wp:effectExtent l="0" t="0" r="635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79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7C16" w:rsidRPr="00B05143" w:rsidRDefault="00407C16" w:rsidP="00407C16">
      <w:pPr>
        <w:rPr>
          <w:rFonts w:ascii="Times New Roman" w:hAnsi="Times New Roman" w:cs="Times New Roman"/>
        </w:rPr>
      </w:pPr>
      <w:r w:rsidRPr="00B05143">
        <w:rPr>
          <w:rFonts w:ascii="Times New Roman" w:hAnsi="Times New Roman" w:cs="Times New Roman"/>
        </w:rPr>
        <w:br w:type="page"/>
      </w:r>
    </w:p>
    <w:p w:rsidR="00407C16" w:rsidRPr="00B05143" w:rsidRDefault="00407C16" w:rsidP="00407C16">
      <w:pPr>
        <w:rPr>
          <w:rFonts w:ascii="Times New Roman" w:hAnsi="Times New Roman" w:cs="Times New Roman"/>
          <w:b/>
          <w:bCs/>
        </w:rPr>
      </w:pPr>
      <w:r w:rsidRPr="00B05143">
        <w:rPr>
          <w:rFonts w:ascii="Times New Roman" w:hAnsi="Times New Roman" w:cs="Times New Roman"/>
          <w:b/>
          <w:bCs/>
        </w:rPr>
        <w:lastRenderedPageBreak/>
        <w:t xml:space="preserve">Figure S3: </w:t>
      </w:r>
    </w:p>
    <w:p w:rsidR="00407C16" w:rsidRPr="00B05143" w:rsidRDefault="00407C16" w:rsidP="00407C16">
      <w:pPr>
        <w:rPr>
          <w:rFonts w:ascii="Times New Roman" w:hAnsi="Times New Roman" w:cs="Times New Roman"/>
          <w:b/>
          <w:bCs/>
        </w:rPr>
      </w:pPr>
      <w:r w:rsidRPr="00B05143">
        <w:rPr>
          <w:rFonts w:ascii="Times New Roman" w:hAnsi="Times New Roman" w:cs="Times New Roman"/>
          <w:noProof/>
          <w:lang w:val="en-IN" w:eastAsia="en-IN"/>
        </w:rPr>
        <w:drawing>
          <wp:inline distT="0" distB="0" distL="0" distR="0" wp14:anchorId="7F999733" wp14:editId="424A7B89">
            <wp:extent cx="5731510" cy="5946003"/>
            <wp:effectExtent l="0" t="0" r="2540" b="0"/>
            <wp:docPr id="1196936161" name="Picture 5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936161" name="Picture 5" descr="A screenshot of a graph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946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C16" w:rsidRPr="00B05143" w:rsidRDefault="00407C16" w:rsidP="00407C16">
      <w:pPr>
        <w:jc w:val="both"/>
        <w:rPr>
          <w:rFonts w:ascii="Times New Roman" w:hAnsi="Times New Roman" w:cs="Times New Roman"/>
        </w:rPr>
      </w:pPr>
      <w:bookmarkStart w:id="0" w:name="_GoBack"/>
      <w:bookmarkEnd w:id="0"/>
    </w:p>
    <w:p w:rsidR="00407C16" w:rsidRPr="00B05143" w:rsidRDefault="00407C16" w:rsidP="00407C16">
      <w:pPr>
        <w:jc w:val="both"/>
        <w:rPr>
          <w:rFonts w:ascii="Times New Roman" w:hAnsi="Times New Roman" w:cs="Times New Roman"/>
        </w:rPr>
      </w:pPr>
    </w:p>
    <w:p w:rsidR="00B648E5" w:rsidRDefault="00B648E5"/>
    <w:sectPr w:rsidR="00B648E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7C16"/>
    <w:rsid w:val="0012604F"/>
    <w:rsid w:val="00407C16"/>
    <w:rsid w:val="0050180D"/>
    <w:rsid w:val="007A7D60"/>
    <w:rsid w:val="007C5368"/>
    <w:rsid w:val="00B16EC1"/>
    <w:rsid w:val="00B648E5"/>
    <w:rsid w:val="00DA37FC"/>
    <w:rsid w:val="00EA2D95"/>
    <w:rsid w:val="00FE0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7C16"/>
    <w:pPr>
      <w:spacing w:after="0" w:line="240" w:lineRule="auto"/>
    </w:pPr>
    <w:rPr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07C1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7C16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7C16"/>
    <w:pPr>
      <w:spacing w:after="0" w:line="240" w:lineRule="auto"/>
    </w:pPr>
    <w:rPr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07C1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7C16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277</Words>
  <Characters>1688</Characters>
  <Application>Microsoft Office Word</Application>
  <DocSecurity>0</DocSecurity>
  <Lines>30</Lines>
  <Paragraphs>7</Paragraphs>
  <ScaleCrop>false</ScaleCrop>
  <Company/>
  <LinksUpToDate>false</LinksUpToDate>
  <CharactersWithSpaces>1958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E403576</dc:creator>
  <cp:lastModifiedBy>E403576</cp:lastModifiedBy>
  <cp:revision>1</cp:revision>
  <dcterms:created xsi:type="dcterms:W3CDTF">2024-04-07T03:43:00Z</dcterms:created>
  <dcterms:modified xsi:type="dcterms:W3CDTF">2024-04-07T03:43:00Z</dcterms:modified>
</cp:coreProperties>
</file>