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3EA" w:rsidRPr="00AB153A" w:rsidRDefault="008073EA" w:rsidP="00E4030D">
      <w:pPr>
        <w:spacing w:after="200"/>
        <w:jc w:val="center"/>
        <w:rPr>
          <w:rStyle w:val="highlight"/>
          <w:b/>
          <w:bCs/>
        </w:rPr>
      </w:pPr>
      <w:r w:rsidRPr="008073EA">
        <w:rPr>
          <w:rStyle w:val="highlight"/>
          <w:b/>
          <w:bCs/>
        </w:rPr>
        <w:t>SUPPLEMENTARY INFORMATION</w:t>
      </w:r>
      <w:r w:rsidR="009B75D7" w:rsidRPr="00AB153A">
        <w:rPr>
          <w:rStyle w:val="highlight"/>
          <w:b/>
          <w:bCs/>
        </w:rPr>
        <w:t xml:space="preserve">               </w:t>
      </w:r>
    </w:p>
    <w:p w:rsidR="005A7CA4" w:rsidRPr="00AB153A" w:rsidRDefault="00E4030D" w:rsidP="00E4030D">
      <w:pPr>
        <w:spacing w:after="200"/>
        <w:jc w:val="center"/>
        <w:rPr>
          <w:rFonts w:eastAsia="Times New Roman" w:cs="Mangal"/>
          <w:b/>
          <w:bCs/>
          <w:bdr w:val="none" w:sz="0" w:space="0" w:color="auto"/>
          <w:lang w:bidi="hi-IN"/>
        </w:rPr>
      </w:pPr>
      <w:r w:rsidRPr="00AB153A">
        <w:rPr>
          <w:rFonts w:eastAsia="Times New Roman" w:cs="Mangal"/>
          <w:b/>
          <w:bCs/>
          <w:bdr w:val="none" w:sz="0" w:space="0" w:color="auto"/>
          <w:lang w:bidi="hi-IN"/>
        </w:rPr>
        <w:t xml:space="preserve">Probing the fibrillation of lysozyme by nanoscale infrared spectroscopy </w:t>
      </w:r>
    </w:p>
    <w:p w:rsidR="002121EE" w:rsidRPr="002121EE" w:rsidRDefault="002121EE" w:rsidP="002121EE">
      <w:pPr>
        <w:spacing w:after="200"/>
        <w:jc w:val="center"/>
        <w:rPr>
          <w:rFonts w:eastAsia="Times New Roman" w:cs="Mangal"/>
          <w:bCs/>
          <w:bdr w:val="none" w:sz="0" w:space="0" w:color="auto"/>
          <w:lang w:bidi="hi-IN"/>
        </w:rPr>
      </w:pPr>
      <w:r w:rsidRPr="002121EE">
        <w:rPr>
          <w:rFonts w:eastAsia="Times New Roman" w:cs="Mangal"/>
          <w:bCs/>
          <w:bdr w:val="none" w:sz="0" w:space="0" w:color="auto"/>
          <w:lang w:bidi="hi-IN"/>
        </w:rPr>
        <w:t>Zeyaul Islam</w:t>
      </w:r>
      <w:r w:rsidRPr="002121EE">
        <w:rPr>
          <w:rFonts w:eastAsia="Times New Roman" w:cs="Mangal"/>
          <w:bCs/>
          <w:bdr w:val="none" w:sz="0" w:space="0" w:color="auto"/>
          <w:vertAlign w:val="superscript"/>
          <w:lang w:bidi="hi-IN"/>
        </w:rPr>
        <w:t>1</w:t>
      </w:r>
      <w:r w:rsidRPr="002121EE">
        <w:rPr>
          <w:rFonts w:eastAsia="Times New Roman" w:cs="Mangal"/>
          <w:bCs/>
          <w:bdr w:val="none" w:sz="0" w:space="0" w:color="auto"/>
          <w:lang w:bidi="hi-IN"/>
        </w:rPr>
        <w:t>, Mohamed H. Ali</w:t>
      </w:r>
      <w:r w:rsidRPr="002121EE">
        <w:rPr>
          <w:rFonts w:eastAsia="Times New Roman" w:cs="Mangal"/>
          <w:bCs/>
          <w:bdr w:val="none" w:sz="0" w:space="0" w:color="auto"/>
          <w:vertAlign w:val="superscript"/>
          <w:lang w:bidi="hi-IN"/>
        </w:rPr>
        <w:t>1</w:t>
      </w:r>
      <w:r w:rsidRPr="002121EE">
        <w:rPr>
          <w:rFonts w:eastAsia="Times New Roman" w:cs="Mangal"/>
          <w:bCs/>
          <w:bdr w:val="none" w:sz="0" w:space="0" w:color="auto"/>
          <w:lang w:bidi="hi-IN"/>
        </w:rPr>
        <w:t>, Anton Popelka</w:t>
      </w:r>
      <w:r w:rsidRPr="002121EE">
        <w:rPr>
          <w:rFonts w:eastAsia="Times New Roman" w:cs="Mangal"/>
          <w:bCs/>
          <w:bdr w:val="none" w:sz="0" w:space="0" w:color="auto"/>
          <w:vertAlign w:val="superscript"/>
          <w:lang w:bidi="hi-IN"/>
        </w:rPr>
        <w:t>2</w:t>
      </w:r>
      <w:r w:rsidRPr="002121EE">
        <w:rPr>
          <w:rFonts w:eastAsia="Times New Roman" w:cs="Mangal"/>
          <w:bCs/>
          <w:bdr w:val="none" w:sz="0" w:space="0" w:color="auto"/>
          <w:lang w:bidi="hi-IN"/>
        </w:rPr>
        <w:t>, Raghvendra Mall</w:t>
      </w:r>
      <w:r w:rsidRPr="002121EE">
        <w:rPr>
          <w:rFonts w:eastAsia="Times New Roman" w:cs="Mangal"/>
          <w:bCs/>
          <w:bdr w:val="none" w:sz="0" w:space="0" w:color="auto"/>
          <w:vertAlign w:val="superscript"/>
          <w:lang w:bidi="hi-IN"/>
        </w:rPr>
        <w:t>3</w:t>
      </w:r>
      <w:r w:rsidRPr="002121EE">
        <w:rPr>
          <w:rFonts w:eastAsia="Times New Roman" w:cs="Mangal"/>
          <w:bCs/>
          <w:bdr w:val="none" w:sz="0" w:space="0" w:color="auto"/>
          <w:lang w:bidi="hi-IN"/>
        </w:rPr>
        <w:t>, Ehsan Ullah</w:t>
      </w:r>
      <w:r w:rsidRPr="002121EE">
        <w:rPr>
          <w:rFonts w:eastAsia="Times New Roman" w:cs="Mangal"/>
          <w:bCs/>
          <w:bdr w:val="none" w:sz="0" w:space="0" w:color="auto"/>
          <w:vertAlign w:val="superscript"/>
          <w:lang w:bidi="hi-IN"/>
        </w:rPr>
        <w:t>3</w:t>
      </w:r>
      <w:r w:rsidRPr="002121EE">
        <w:rPr>
          <w:rFonts w:eastAsia="Times New Roman" w:cs="Mangal"/>
          <w:bCs/>
          <w:bdr w:val="none" w:sz="0" w:space="0" w:color="auto"/>
          <w:lang w:bidi="hi-IN"/>
        </w:rPr>
        <w:t>, Janarthanan Ponraj</w:t>
      </w:r>
      <w:r w:rsidRPr="002121EE">
        <w:rPr>
          <w:rFonts w:eastAsia="Times New Roman" w:cs="Mangal"/>
          <w:bCs/>
          <w:bdr w:val="none" w:sz="0" w:space="0" w:color="auto"/>
          <w:vertAlign w:val="superscript"/>
          <w:lang w:bidi="hi-IN"/>
        </w:rPr>
        <w:t>4</w:t>
      </w:r>
      <w:r w:rsidRPr="002121EE">
        <w:rPr>
          <w:rFonts w:eastAsia="Times New Roman" w:cs="Mangal"/>
          <w:bCs/>
          <w:bdr w:val="none" w:sz="0" w:space="0" w:color="auto"/>
          <w:lang w:bidi="hi-IN"/>
        </w:rPr>
        <w:t>, Prasanna R. Kolatkar</w:t>
      </w:r>
      <w:r w:rsidRPr="002121EE">
        <w:rPr>
          <w:rFonts w:eastAsia="Times New Roman" w:cs="Mangal"/>
          <w:bCs/>
          <w:bdr w:val="none" w:sz="0" w:space="0" w:color="auto"/>
          <w:vertAlign w:val="superscript"/>
          <w:lang w:bidi="hi-IN"/>
        </w:rPr>
        <w:t>1*</w:t>
      </w:r>
    </w:p>
    <w:p w:rsidR="002121EE" w:rsidRPr="002121EE" w:rsidRDefault="002121EE" w:rsidP="002121EE">
      <w:pPr>
        <w:spacing w:after="200"/>
        <w:jc w:val="center"/>
        <w:rPr>
          <w:rFonts w:eastAsia="Times New Roman" w:cs="Mangal"/>
          <w:bCs/>
          <w:bdr w:val="none" w:sz="0" w:space="0" w:color="auto"/>
          <w:lang w:bidi="hi-IN"/>
        </w:rPr>
      </w:pPr>
    </w:p>
    <w:p w:rsidR="002121EE" w:rsidRPr="002121EE" w:rsidRDefault="002121EE" w:rsidP="002121EE">
      <w:pPr>
        <w:spacing w:after="200"/>
        <w:jc w:val="center"/>
        <w:rPr>
          <w:rFonts w:eastAsia="Times New Roman" w:cs="Mangal"/>
          <w:bCs/>
          <w:bdr w:val="none" w:sz="0" w:space="0" w:color="auto"/>
          <w:lang w:bidi="hi-IN"/>
        </w:rPr>
      </w:pPr>
      <w:r w:rsidRPr="002121EE">
        <w:rPr>
          <w:rFonts w:eastAsia="Times New Roman" w:cs="Mangal"/>
          <w:bCs/>
          <w:bdr w:val="none" w:sz="0" w:space="0" w:color="auto"/>
          <w:vertAlign w:val="superscript"/>
          <w:lang w:bidi="hi-IN"/>
        </w:rPr>
        <w:t>1</w:t>
      </w:r>
      <w:r w:rsidRPr="002121EE">
        <w:rPr>
          <w:rFonts w:eastAsia="Times New Roman" w:cs="Mangal"/>
          <w:bCs/>
          <w:bdr w:val="none" w:sz="0" w:space="0" w:color="auto"/>
          <w:lang w:bidi="hi-IN"/>
        </w:rPr>
        <w:t>Qatar Biomedical Research Institute (QBRI), Hamad Bin Khalifa University (HBKU), Qatar Foundation, Doha, Qatar.</w:t>
      </w:r>
    </w:p>
    <w:p w:rsidR="002121EE" w:rsidRPr="002121EE" w:rsidRDefault="002121EE" w:rsidP="002121EE">
      <w:pPr>
        <w:spacing w:after="200"/>
        <w:jc w:val="center"/>
        <w:rPr>
          <w:rFonts w:eastAsia="Times New Roman" w:cs="Mangal"/>
          <w:bCs/>
          <w:bdr w:val="none" w:sz="0" w:space="0" w:color="auto"/>
          <w:lang w:bidi="hi-IN"/>
        </w:rPr>
      </w:pPr>
      <w:r w:rsidRPr="002121EE">
        <w:rPr>
          <w:rFonts w:eastAsia="Times New Roman" w:cs="Mangal"/>
          <w:bCs/>
          <w:bdr w:val="none" w:sz="0" w:space="0" w:color="auto"/>
          <w:vertAlign w:val="superscript"/>
          <w:lang w:bidi="hi-IN"/>
        </w:rPr>
        <w:t>2</w:t>
      </w:r>
      <w:r w:rsidRPr="002121EE">
        <w:rPr>
          <w:rFonts w:eastAsia="Times New Roman" w:cs="Mangal"/>
          <w:bCs/>
          <w:bdr w:val="none" w:sz="0" w:space="0" w:color="auto"/>
          <w:lang w:bidi="hi-IN"/>
        </w:rPr>
        <w:t>Center for Advanced Materials (CAM), Qatar University, Doha, Qatar.</w:t>
      </w:r>
    </w:p>
    <w:p w:rsidR="002121EE" w:rsidRPr="002121EE" w:rsidRDefault="002121EE" w:rsidP="002121EE">
      <w:pPr>
        <w:spacing w:after="200"/>
        <w:jc w:val="center"/>
        <w:rPr>
          <w:rFonts w:eastAsia="Times New Roman" w:cs="Mangal"/>
          <w:bCs/>
          <w:bdr w:val="none" w:sz="0" w:space="0" w:color="auto"/>
          <w:lang w:bidi="hi-IN"/>
        </w:rPr>
      </w:pPr>
      <w:r w:rsidRPr="002121EE">
        <w:rPr>
          <w:rFonts w:eastAsia="Times New Roman" w:cs="Mangal"/>
          <w:bCs/>
          <w:bdr w:val="none" w:sz="0" w:space="0" w:color="auto"/>
          <w:vertAlign w:val="superscript"/>
          <w:lang w:bidi="hi-IN"/>
        </w:rPr>
        <w:t>3</w:t>
      </w:r>
      <w:r w:rsidRPr="002121EE">
        <w:rPr>
          <w:rFonts w:eastAsia="Times New Roman" w:cs="Mangal"/>
          <w:bCs/>
          <w:bdr w:val="none" w:sz="0" w:space="0" w:color="auto"/>
          <w:lang w:bidi="hi-IN"/>
        </w:rPr>
        <w:t>Qatar Computing Research Institute (QCRI), Hamad Bin Khalifa University, Qatar Foundation, Doha, Qatar.</w:t>
      </w:r>
    </w:p>
    <w:p w:rsidR="002121EE" w:rsidRPr="002121EE" w:rsidRDefault="002121EE" w:rsidP="002121EE">
      <w:pPr>
        <w:spacing w:after="200"/>
        <w:jc w:val="center"/>
        <w:rPr>
          <w:rFonts w:eastAsia="Times New Roman" w:cs="Mangal"/>
          <w:bCs/>
          <w:bdr w:val="none" w:sz="0" w:space="0" w:color="auto"/>
          <w:lang w:bidi="hi-IN"/>
        </w:rPr>
      </w:pPr>
      <w:r w:rsidRPr="002121EE">
        <w:rPr>
          <w:rFonts w:eastAsia="Times New Roman" w:cs="Mangal"/>
          <w:bCs/>
          <w:bdr w:val="none" w:sz="0" w:space="0" w:color="auto"/>
          <w:vertAlign w:val="superscript"/>
          <w:lang w:bidi="hi-IN"/>
        </w:rPr>
        <w:t>4</w:t>
      </w:r>
      <w:r w:rsidRPr="002121EE">
        <w:rPr>
          <w:rFonts w:eastAsia="Times New Roman" w:cs="Mangal"/>
          <w:bCs/>
          <w:bdr w:val="none" w:sz="0" w:space="0" w:color="auto"/>
          <w:lang w:bidi="hi-IN"/>
        </w:rPr>
        <w:t>Qatar Environment and Energy Research Institute (QEERI), Hamad Bin Khalifa University, Qatar Foundation, Doha, Qatar.</w:t>
      </w:r>
    </w:p>
    <w:p w:rsidR="002121EE" w:rsidRPr="002121EE" w:rsidRDefault="002121EE" w:rsidP="002121EE">
      <w:pPr>
        <w:spacing w:after="200"/>
        <w:jc w:val="center"/>
        <w:rPr>
          <w:rFonts w:eastAsia="Times New Roman" w:cs="Mangal"/>
          <w:bCs/>
          <w:bdr w:val="none" w:sz="0" w:space="0" w:color="auto"/>
          <w:lang w:bidi="hi-IN"/>
        </w:rPr>
      </w:pPr>
    </w:p>
    <w:p w:rsidR="002121EE" w:rsidRPr="002121EE" w:rsidRDefault="002121EE" w:rsidP="002121EE">
      <w:pPr>
        <w:spacing w:after="200"/>
        <w:jc w:val="center"/>
        <w:rPr>
          <w:rFonts w:eastAsia="Times New Roman" w:cs="Mangal"/>
          <w:bCs/>
          <w:bdr w:val="none" w:sz="0" w:space="0" w:color="auto"/>
          <w:lang w:bidi="hi-IN"/>
        </w:rPr>
      </w:pPr>
    </w:p>
    <w:p w:rsidR="002121EE" w:rsidRPr="002121EE" w:rsidRDefault="002121EE" w:rsidP="002121EE">
      <w:pPr>
        <w:spacing w:after="200"/>
        <w:jc w:val="center"/>
        <w:rPr>
          <w:rFonts w:eastAsia="Times New Roman" w:cs="Mangal"/>
          <w:bCs/>
          <w:bdr w:val="none" w:sz="0" w:space="0" w:color="auto"/>
          <w:lang w:bidi="hi-IN"/>
        </w:rPr>
      </w:pPr>
    </w:p>
    <w:p w:rsidR="002121EE" w:rsidRPr="002121EE" w:rsidRDefault="002121EE" w:rsidP="002121EE">
      <w:pPr>
        <w:spacing w:after="200"/>
        <w:jc w:val="center"/>
        <w:rPr>
          <w:rFonts w:eastAsia="Times New Roman" w:cs="Mangal"/>
          <w:bCs/>
          <w:bdr w:val="none" w:sz="0" w:space="0" w:color="auto"/>
          <w:lang w:bidi="hi-IN"/>
        </w:rPr>
      </w:pPr>
    </w:p>
    <w:p w:rsidR="002121EE" w:rsidRPr="002121EE" w:rsidRDefault="002121EE" w:rsidP="002121EE">
      <w:pPr>
        <w:spacing w:after="200"/>
        <w:jc w:val="center"/>
        <w:rPr>
          <w:rFonts w:eastAsia="Times New Roman" w:cs="Mangal"/>
          <w:bCs/>
          <w:bdr w:val="none" w:sz="0" w:space="0" w:color="auto"/>
          <w:lang w:bidi="hi-IN"/>
        </w:rPr>
      </w:pPr>
      <w:r w:rsidRPr="002121EE">
        <w:rPr>
          <w:rFonts w:eastAsia="Times New Roman" w:cs="Mangal"/>
          <w:bCs/>
          <w:bdr w:val="none" w:sz="0" w:space="0" w:color="auto"/>
          <w:lang w:bidi="hi-IN"/>
        </w:rPr>
        <w:t>*To whom correspondence should be addressed: Prasanna R. Kolatkar, Qatar Biomedical Research Institute (QBRI), Hamad Bin Khalifa University (HBKU), Qatar Foundation, Doha, Qatar. Tel: +974 445 45889, Fax: +974 445 41770, Email: pkolatkar@hbku.edu.qa</w:t>
      </w:r>
    </w:p>
    <w:p w:rsidR="00E4030D" w:rsidRPr="002121EE" w:rsidRDefault="00E4030D" w:rsidP="00E4030D">
      <w:pPr>
        <w:spacing w:after="200"/>
        <w:jc w:val="center"/>
        <w:rPr>
          <w:rFonts w:eastAsia="Times New Roman" w:cs="Mangal"/>
          <w:bCs/>
          <w:bdr w:val="none" w:sz="0" w:space="0" w:color="auto"/>
          <w:lang w:bidi="hi-IN"/>
        </w:rPr>
      </w:pPr>
    </w:p>
    <w:p w:rsidR="00E4030D" w:rsidRPr="00E4030D" w:rsidRDefault="00E4030D" w:rsidP="00E4030D">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Mangal"/>
          <w:b/>
          <w:bCs/>
          <w:sz w:val="28"/>
          <w:szCs w:val="28"/>
          <w:bdr w:val="none" w:sz="0" w:space="0" w:color="auto"/>
          <w:lang w:bidi="hi-IN"/>
        </w:rPr>
      </w:pPr>
    </w:p>
    <w:p w:rsidR="00E4030D" w:rsidRDefault="00E4030D" w:rsidP="00E4030D">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Mangal"/>
          <w:bCs/>
          <w:sz w:val="28"/>
          <w:szCs w:val="28"/>
          <w:bdr w:val="none" w:sz="0" w:space="0" w:color="auto"/>
          <w:vertAlign w:val="superscript"/>
          <w:lang w:bidi="hi-IN"/>
        </w:rPr>
      </w:pPr>
    </w:p>
    <w:p w:rsidR="005A7CA4" w:rsidRPr="00E4030D" w:rsidRDefault="005A7CA4" w:rsidP="00E4030D">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s="Courier New"/>
          <w:sz w:val="28"/>
          <w:szCs w:val="28"/>
          <w:bdr w:val="none" w:sz="0" w:space="0" w:color="auto"/>
          <w:lang w:bidi="hi-IN"/>
        </w:rPr>
      </w:pPr>
    </w:p>
    <w:p w:rsidR="00E4030D" w:rsidRPr="00E4030D" w:rsidRDefault="00E4030D" w:rsidP="00E4030D">
      <w:pPr>
        <w:pBdr>
          <w:top w:val="none" w:sz="0" w:space="0" w:color="auto"/>
          <w:left w:val="none" w:sz="0" w:space="0" w:color="auto"/>
          <w:bottom w:val="none" w:sz="0" w:space="0" w:color="auto"/>
          <w:right w:val="none" w:sz="0" w:space="0" w:color="auto"/>
          <w:between w:val="none" w:sz="0" w:space="0" w:color="auto"/>
          <w:bar w:val="none" w:sz="0" w:color="auto"/>
        </w:pBdr>
        <w:autoSpaceDE w:val="0"/>
        <w:jc w:val="center"/>
        <w:rPr>
          <w:rFonts w:eastAsia="Times New Roman" w:cs="Mangal"/>
          <w:sz w:val="28"/>
          <w:szCs w:val="28"/>
          <w:bdr w:val="none" w:sz="0" w:space="0" w:color="auto"/>
          <w:lang w:bidi="hi-IN"/>
        </w:rPr>
      </w:pPr>
    </w:p>
    <w:p w:rsidR="00E4030D" w:rsidRPr="00E4030D" w:rsidRDefault="00E4030D" w:rsidP="00E4030D">
      <w:pPr>
        <w:pBdr>
          <w:top w:val="none" w:sz="0" w:space="0" w:color="auto"/>
          <w:left w:val="none" w:sz="0" w:space="0" w:color="auto"/>
          <w:bottom w:val="none" w:sz="0" w:space="0" w:color="auto"/>
          <w:right w:val="none" w:sz="0" w:space="0" w:color="auto"/>
          <w:between w:val="none" w:sz="0" w:space="0" w:color="auto"/>
          <w:bar w:val="none" w:sz="0" w:color="auto"/>
        </w:pBdr>
        <w:autoSpaceDE w:val="0"/>
        <w:jc w:val="center"/>
        <w:rPr>
          <w:rFonts w:eastAsia="Times New Roman" w:cs="Mangal"/>
          <w:sz w:val="28"/>
          <w:szCs w:val="28"/>
          <w:bdr w:val="none" w:sz="0" w:space="0" w:color="auto"/>
          <w:lang w:bidi="hi-IN"/>
        </w:rPr>
      </w:pPr>
    </w:p>
    <w:p w:rsidR="00E4030D" w:rsidRPr="00E4030D" w:rsidRDefault="00E4030D" w:rsidP="00E4030D">
      <w:pPr>
        <w:pBdr>
          <w:top w:val="none" w:sz="0" w:space="0" w:color="auto"/>
          <w:left w:val="none" w:sz="0" w:space="0" w:color="auto"/>
          <w:bottom w:val="none" w:sz="0" w:space="0" w:color="auto"/>
          <w:right w:val="none" w:sz="0" w:space="0" w:color="auto"/>
          <w:between w:val="none" w:sz="0" w:space="0" w:color="auto"/>
          <w:bar w:val="none" w:sz="0" w:color="auto"/>
        </w:pBdr>
        <w:autoSpaceDE w:val="0"/>
        <w:rPr>
          <w:rFonts w:eastAsia="Times New Roman" w:cs="Mangal"/>
          <w:sz w:val="28"/>
          <w:szCs w:val="28"/>
          <w:bdr w:val="none" w:sz="0" w:space="0" w:color="auto"/>
          <w:lang w:bidi="hi-IN"/>
        </w:rPr>
      </w:pPr>
    </w:p>
    <w:p w:rsidR="00E4030D" w:rsidRPr="00E4030D" w:rsidRDefault="00E4030D" w:rsidP="00E4030D">
      <w:pPr>
        <w:pBdr>
          <w:top w:val="none" w:sz="0" w:space="0" w:color="auto"/>
          <w:left w:val="none" w:sz="0" w:space="0" w:color="auto"/>
          <w:bottom w:val="none" w:sz="0" w:space="0" w:color="auto"/>
          <w:right w:val="none" w:sz="0" w:space="0" w:color="auto"/>
          <w:between w:val="none" w:sz="0" w:space="0" w:color="auto"/>
          <w:bar w:val="none" w:sz="0" w:color="auto"/>
        </w:pBdr>
        <w:autoSpaceDE w:val="0"/>
        <w:jc w:val="both"/>
        <w:rPr>
          <w:rFonts w:eastAsia="Times New Roman" w:cs="Mangal"/>
          <w:iCs/>
          <w:sz w:val="28"/>
          <w:szCs w:val="28"/>
          <w:bdr w:val="none" w:sz="0" w:space="0" w:color="auto"/>
          <w:lang w:bidi="hi-IN"/>
        </w:rPr>
      </w:pPr>
    </w:p>
    <w:p w:rsidR="00E4030D" w:rsidRDefault="00E4030D" w:rsidP="00E4030D">
      <w:pPr>
        <w:pBdr>
          <w:top w:val="none" w:sz="0" w:space="0" w:color="auto"/>
          <w:left w:val="none" w:sz="0" w:space="0" w:color="auto"/>
          <w:bottom w:val="none" w:sz="0" w:space="0" w:color="auto"/>
          <w:right w:val="none" w:sz="0" w:space="0" w:color="auto"/>
          <w:between w:val="none" w:sz="0" w:space="0" w:color="auto"/>
          <w:bar w:val="none" w:sz="0" w:color="auto"/>
        </w:pBdr>
        <w:autoSpaceDE w:val="0"/>
        <w:jc w:val="both"/>
        <w:rPr>
          <w:rFonts w:eastAsia="Times New Roman" w:cs="Mangal"/>
          <w:iCs/>
          <w:sz w:val="28"/>
          <w:szCs w:val="28"/>
          <w:bdr w:val="none" w:sz="0" w:space="0" w:color="auto"/>
          <w:lang w:bidi="hi-IN"/>
        </w:rPr>
      </w:pPr>
    </w:p>
    <w:p w:rsidR="005A7CA4" w:rsidRDefault="005A7CA4" w:rsidP="00E4030D">
      <w:pPr>
        <w:pBdr>
          <w:top w:val="none" w:sz="0" w:space="0" w:color="auto"/>
          <w:left w:val="none" w:sz="0" w:space="0" w:color="auto"/>
          <w:bottom w:val="none" w:sz="0" w:space="0" w:color="auto"/>
          <w:right w:val="none" w:sz="0" w:space="0" w:color="auto"/>
          <w:between w:val="none" w:sz="0" w:space="0" w:color="auto"/>
          <w:bar w:val="none" w:sz="0" w:color="auto"/>
        </w:pBdr>
        <w:autoSpaceDE w:val="0"/>
        <w:jc w:val="both"/>
        <w:rPr>
          <w:rFonts w:eastAsia="Times New Roman" w:cs="Mangal"/>
          <w:iCs/>
          <w:sz w:val="28"/>
          <w:szCs w:val="28"/>
          <w:bdr w:val="none" w:sz="0" w:space="0" w:color="auto"/>
          <w:lang w:bidi="hi-IN"/>
        </w:rPr>
      </w:pPr>
    </w:p>
    <w:p w:rsidR="005A7CA4" w:rsidRDefault="005A7CA4" w:rsidP="00E4030D">
      <w:pPr>
        <w:pBdr>
          <w:top w:val="none" w:sz="0" w:space="0" w:color="auto"/>
          <w:left w:val="none" w:sz="0" w:space="0" w:color="auto"/>
          <w:bottom w:val="none" w:sz="0" w:space="0" w:color="auto"/>
          <w:right w:val="none" w:sz="0" w:space="0" w:color="auto"/>
          <w:between w:val="none" w:sz="0" w:space="0" w:color="auto"/>
          <w:bar w:val="none" w:sz="0" w:color="auto"/>
        </w:pBdr>
        <w:autoSpaceDE w:val="0"/>
        <w:jc w:val="both"/>
        <w:rPr>
          <w:rFonts w:eastAsia="Times New Roman" w:cs="Mangal"/>
          <w:iCs/>
          <w:sz w:val="28"/>
          <w:szCs w:val="28"/>
          <w:bdr w:val="none" w:sz="0" w:space="0" w:color="auto"/>
          <w:lang w:bidi="hi-IN"/>
        </w:rPr>
      </w:pPr>
    </w:p>
    <w:p w:rsidR="005A7CA4" w:rsidRDefault="005A7CA4" w:rsidP="00E4030D">
      <w:pPr>
        <w:pBdr>
          <w:top w:val="none" w:sz="0" w:space="0" w:color="auto"/>
          <w:left w:val="none" w:sz="0" w:space="0" w:color="auto"/>
          <w:bottom w:val="none" w:sz="0" w:space="0" w:color="auto"/>
          <w:right w:val="none" w:sz="0" w:space="0" w:color="auto"/>
          <w:between w:val="none" w:sz="0" w:space="0" w:color="auto"/>
          <w:bar w:val="none" w:sz="0" w:color="auto"/>
        </w:pBdr>
        <w:autoSpaceDE w:val="0"/>
        <w:jc w:val="both"/>
        <w:rPr>
          <w:rFonts w:eastAsia="Times New Roman" w:cs="Mangal"/>
          <w:iCs/>
          <w:sz w:val="28"/>
          <w:szCs w:val="28"/>
          <w:bdr w:val="none" w:sz="0" w:space="0" w:color="auto"/>
          <w:lang w:bidi="hi-IN"/>
        </w:rPr>
      </w:pPr>
    </w:p>
    <w:p w:rsidR="00E4030D" w:rsidRPr="00F31AD8" w:rsidRDefault="00E4030D" w:rsidP="00E4030D">
      <w:pPr>
        <w:pBdr>
          <w:top w:val="none" w:sz="0" w:space="0" w:color="auto"/>
          <w:left w:val="none" w:sz="0" w:space="0" w:color="auto"/>
          <w:bottom w:val="none" w:sz="0" w:space="0" w:color="auto"/>
          <w:right w:val="none" w:sz="0" w:space="0" w:color="auto"/>
          <w:between w:val="none" w:sz="0" w:space="0" w:color="auto"/>
          <w:bar w:val="none" w:sz="0" w:color="auto"/>
        </w:pBdr>
        <w:autoSpaceDE w:val="0"/>
        <w:spacing w:line="480" w:lineRule="auto"/>
        <w:jc w:val="both"/>
        <w:rPr>
          <w:rFonts w:eastAsia="Times New Roman"/>
          <w:iCs/>
          <w:sz w:val="28"/>
          <w:szCs w:val="28"/>
          <w:bdr w:val="none" w:sz="0" w:space="0" w:color="auto"/>
          <w:vertAlign w:val="superscript"/>
          <w:lang w:bidi="hi-IN"/>
        </w:rPr>
      </w:pPr>
    </w:p>
    <w:p w:rsidR="005A7CA4" w:rsidRDefault="00E4030D">
      <w:pPr>
        <w:pStyle w:val="Body"/>
        <w:spacing w:line="360" w:lineRule="auto"/>
        <w:jc w:val="both"/>
        <w:rPr>
          <w:rFonts w:ascii="Times New Roman" w:eastAsia="Times New Roman" w:hAnsi="Times New Roman" w:cs="Times New Roman"/>
          <w:sz w:val="28"/>
          <w:szCs w:val="28"/>
          <w:bdr w:val="none" w:sz="0" w:space="0" w:color="auto"/>
          <w:lang w:bidi="hi-IN"/>
        </w:rPr>
      </w:pPr>
      <w:r w:rsidRPr="00F31AD8">
        <w:rPr>
          <w:rFonts w:ascii="Times New Roman" w:eastAsia="Times New Roman" w:hAnsi="Times New Roman" w:cs="Times New Roman"/>
          <w:b/>
          <w:sz w:val="28"/>
          <w:szCs w:val="28"/>
          <w:bdr w:val="none" w:sz="0" w:space="0" w:color="auto"/>
          <w:lang w:bidi="hi-IN"/>
        </w:rPr>
        <w:t>Keywords:</w:t>
      </w:r>
      <w:r w:rsidRPr="00F31AD8">
        <w:rPr>
          <w:rFonts w:ascii="Times New Roman" w:eastAsia="Times New Roman" w:hAnsi="Times New Roman" w:cs="Times New Roman"/>
          <w:sz w:val="28"/>
          <w:szCs w:val="28"/>
          <w:bdr w:val="none" w:sz="0" w:space="0" w:color="auto"/>
          <w:lang w:bidi="hi-IN"/>
        </w:rPr>
        <w:t xml:space="preserve"> </w:t>
      </w:r>
      <w:r w:rsidR="005A7CA4" w:rsidRPr="00F31AD8">
        <w:rPr>
          <w:rFonts w:ascii="Times New Roman" w:eastAsia="Times New Roman" w:hAnsi="Times New Roman" w:cs="Times New Roman"/>
          <w:sz w:val="28"/>
          <w:szCs w:val="28"/>
          <w:bdr w:val="none" w:sz="0" w:space="0" w:color="auto"/>
          <w:lang w:bidi="hi-IN"/>
        </w:rPr>
        <w:t>Protein aggregation, amyloid fibrils, neurodegenerative diseases, nanoIR, lysozyme</w:t>
      </w:r>
    </w:p>
    <w:p w:rsidR="002121EE" w:rsidRPr="00F31AD8" w:rsidRDefault="002121EE">
      <w:pPr>
        <w:pStyle w:val="Body"/>
        <w:spacing w:line="360" w:lineRule="auto"/>
        <w:jc w:val="both"/>
        <w:rPr>
          <w:rStyle w:val="highlight"/>
          <w:rFonts w:ascii="Times New Roman" w:hAnsi="Times New Roman" w:cs="Times New Roman"/>
          <w:b/>
          <w:bCs/>
          <w:sz w:val="24"/>
          <w:szCs w:val="24"/>
        </w:rPr>
      </w:pPr>
    </w:p>
    <w:p w:rsidR="00410072" w:rsidRDefault="00410072" w:rsidP="00AB153A">
      <w:pPr>
        <w:pStyle w:val="Body"/>
        <w:spacing w:line="360" w:lineRule="auto"/>
        <w:jc w:val="both"/>
        <w:rPr>
          <w:rStyle w:val="highlight"/>
          <w:rFonts w:ascii="Times New Roman" w:hAnsi="Times New Roman"/>
          <w:b/>
          <w:bCs/>
          <w:sz w:val="24"/>
          <w:szCs w:val="24"/>
          <w:lang w:val="de-DE"/>
        </w:rPr>
      </w:pPr>
      <w:r w:rsidRPr="00410072">
        <w:rPr>
          <w:rStyle w:val="highlight"/>
          <w:rFonts w:ascii="Times New Roman" w:hAnsi="Times New Roman"/>
          <w:b/>
          <w:bCs/>
          <w:sz w:val="24"/>
          <w:szCs w:val="24"/>
          <w:lang w:val="de-DE"/>
        </w:rPr>
        <w:lastRenderedPageBreak/>
        <w:t>Supplementary Figure 1.</w:t>
      </w:r>
    </w:p>
    <w:p w:rsidR="00410072" w:rsidRDefault="00912EA2" w:rsidP="00AB153A">
      <w:pPr>
        <w:pStyle w:val="Body"/>
        <w:spacing w:line="360" w:lineRule="auto"/>
        <w:jc w:val="both"/>
        <w:rPr>
          <w:rStyle w:val="highlight"/>
          <w:rFonts w:ascii="Times New Roman" w:hAnsi="Times New Roman"/>
          <w:b/>
          <w:bCs/>
          <w:sz w:val="24"/>
          <w:szCs w:val="24"/>
          <w:lang w:val="de-DE"/>
        </w:rPr>
      </w:pPr>
      <w:r>
        <w:rPr>
          <w:rFonts w:ascii="Times New Roman" w:hAnsi="Times New Roman"/>
          <w:b/>
          <w:bCs/>
          <w:noProof/>
          <w:sz w:val="24"/>
          <w:szCs w:val="24"/>
        </w:rPr>
        <w:drawing>
          <wp:anchor distT="0" distB="0" distL="114300" distR="114300" simplePos="0" relativeHeight="251670528" behindDoc="0" locked="0" layoutInCell="1" allowOverlap="1">
            <wp:simplePos x="0" y="0"/>
            <wp:positionH relativeFrom="column">
              <wp:posOffset>342900</wp:posOffset>
            </wp:positionH>
            <wp:positionV relativeFrom="paragraph">
              <wp:posOffset>10160</wp:posOffset>
            </wp:positionV>
            <wp:extent cx="4743450" cy="299339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pp fig 1 new.png"/>
                    <pic:cNvPicPr/>
                  </pic:nvPicPr>
                  <pic:blipFill rotWithShape="1">
                    <a:blip r:embed="rId8">
                      <a:extLst>
                        <a:ext uri="{28A0092B-C50C-407E-A947-70E740481C1C}">
                          <a14:useLocalDpi xmlns:a14="http://schemas.microsoft.com/office/drawing/2010/main" val="0"/>
                        </a:ext>
                      </a:extLst>
                    </a:blip>
                    <a:srcRect l="30765" t="10051" r="5211" b="18112"/>
                    <a:stretch/>
                  </pic:blipFill>
                  <pic:spPr bwMode="auto">
                    <a:xfrm>
                      <a:off x="0" y="0"/>
                      <a:ext cx="4743450" cy="29933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10072" w:rsidRDefault="00410072" w:rsidP="00AB153A">
      <w:pPr>
        <w:pStyle w:val="Body"/>
        <w:spacing w:line="360" w:lineRule="auto"/>
        <w:jc w:val="both"/>
        <w:rPr>
          <w:rStyle w:val="highlight"/>
          <w:rFonts w:ascii="Times New Roman" w:hAnsi="Times New Roman"/>
          <w:b/>
          <w:bCs/>
          <w:sz w:val="24"/>
          <w:szCs w:val="24"/>
          <w:lang w:val="de-DE"/>
        </w:rPr>
      </w:pPr>
    </w:p>
    <w:p w:rsidR="00410072" w:rsidRDefault="00410072" w:rsidP="00AB153A">
      <w:pPr>
        <w:pStyle w:val="Body"/>
        <w:spacing w:line="360" w:lineRule="auto"/>
        <w:jc w:val="both"/>
        <w:rPr>
          <w:rStyle w:val="highlight"/>
          <w:rFonts w:ascii="Times New Roman" w:hAnsi="Times New Roman"/>
          <w:b/>
          <w:bCs/>
          <w:sz w:val="24"/>
          <w:szCs w:val="24"/>
          <w:lang w:val="de-DE"/>
        </w:rPr>
      </w:pPr>
    </w:p>
    <w:p w:rsidR="00410072" w:rsidRDefault="00410072" w:rsidP="00AB153A">
      <w:pPr>
        <w:pStyle w:val="Body"/>
        <w:spacing w:line="360" w:lineRule="auto"/>
        <w:jc w:val="both"/>
        <w:rPr>
          <w:rStyle w:val="highlight"/>
          <w:rFonts w:ascii="Times New Roman" w:hAnsi="Times New Roman"/>
          <w:b/>
          <w:bCs/>
          <w:sz w:val="24"/>
          <w:szCs w:val="24"/>
          <w:lang w:val="de-DE"/>
        </w:rPr>
      </w:pPr>
    </w:p>
    <w:p w:rsidR="00410072" w:rsidRDefault="00410072" w:rsidP="00AB153A">
      <w:pPr>
        <w:pStyle w:val="Body"/>
        <w:spacing w:line="360" w:lineRule="auto"/>
        <w:jc w:val="both"/>
        <w:rPr>
          <w:rStyle w:val="highlight"/>
          <w:rFonts w:ascii="Times New Roman" w:hAnsi="Times New Roman"/>
          <w:b/>
          <w:bCs/>
          <w:sz w:val="24"/>
          <w:szCs w:val="24"/>
          <w:lang w:val="de-DE"/>
        </w:rPr>
      </w:pPr>
    </w:p>
    <w:p w:rsidR="00410072" w:rsidRDefault="00410072" w:rsidP="00AB153A">
      <w:pPr>
        <w:pStyle w:val="Body"/>
        <w:spacing w:line="360" w:lineRule="auto"/>
        <w:jc w:val="both"/>
        <w:rPr>
          <w:rStyle w:val="highlight"/>
          <w:rFonts w:ascii="Times New Roman" w:hAnsi="Times New Roman"/>
          <w:b/>
          <w:bCs/>
          <w:sz w:val="24"/>
          <w:szCs w:val="24"/>
          <w:lang w:val="de-DE"/>
        </w:rPr>
      </w:pPr>
    </w:p>
    <w:p w:rsidR="00410072" w:rsidRDefault="00410072" w:rsidP="00AB153A">
      <w:pPr>
        <w:pStyle w:val="Body"/>
        <w:spacing w:line="360" w:lineRule="auto"/>
        <w:jc w:val="both"/>
        <w:rPr>
          <w:rStyle w:val="highlight"/>
          <w:rFonts w:ascii="Times New Roman" w:hAnsi="Times New Roman"/>
          <w:b/>
          <w:bCs/>
          <w:sz w:val="24"/>
          <w:szCs w:val="24"/>
          <w:lang w:val="de-DE"/>
        </w:rPr>
      </w:pPr>
    </w:p>
    <w:p w:rsidR="00912EA2" w:rsidRDefault="00912EA2" w:rsidP="00AB153A">
      <w:pPr>
        <w:pStyle w:val="Body"/>
        <w:spacing w:line="360" w:lineRule="auto"/>
        <w:jc w:val="both"/>
        <w:rPr>
          <w:rStyle w:val="highlight"/>
          <w:rFonts w:ascii="Times New Roman" w:hAnsi="Times New Roman"/>
          <w:b/>
          <w:bCs/>
          <w:sz w:val="24"/>
          <w:szCs w:val="24"/>
          <w:lang w:val="de-DE"/>
        </w:rPr>
      </w:pPr>
    </w:p>
    <w:p w:rsidR="00C557D2" w:rsidRDefault="00220740" w:rsidP="00AB153A">
      <w:pPr>
        <w:pStyle w:val="Body"/>
        <w:spacing w:line="360" w:lineRule="auto"/>
        <w:jc w:val="both"/>
        <w:rPr>
          <w:rStyle w:val="highlight"/>
          <w:rFonts w:ascii="Times New Roman" w:hAnsi="Times New Roman"/>
          <w:bCs/>
          <w:sz w:val="24"/>
          <w:szCs w:val="24"/>
          <w:lang w:val="de-DE"/>
        </w:rPr>
      </w:pPr>
      <w:r w:rsidRPr="00984B65">
        <w:rPr>
          <w:rStyle w:val="highlight"/>
          <w:rFonts w:ascii="Times New Roman" w:hAnsi="Times New Roman"/>
          <w:bCs/>
          <w:sz w:val="24"/>
          <w:szCs w:val="24"/>
          <w:lang w:val="de-DE"/>
        </w:rPr>
        <w:t>Schematic diagram of a typical nanoIR instrumentation and working pathway.</w:t>
      </w:r>
      <w:r w:rsidRPr="00984B65" w:rsidDel="008073EA">
        <w:rPr>
          <w:rStyle w:val="highlight"/>
          <w:rFonts w:ascii="Times New Roman" w:hAnsi="Times New Roman"/>
          <w:bCs/>
          <w:sz w:val="24"/>
          <w:szCs w:val="24"/>
          <w:lang w:val="de-DE"/>
        </w:rPr>
        <w:t xml:space="preserve"> </w:t>
      </w:r>
      <w:r w:rsidR="00984B65" w:rsidRPr="00984B65">
        <w:rPr>
          <w:rStyle w:val="highlight"/>
          <w:rFonts w:ascii="Times New Roman" w:hAnsi="Times New Roman"/>
          <w:bCs/>
          <w:sz w:val="24"/>
          <w:szCs w:val="24"/>
          <w:lang w:val="de-DE"/>
        </w:rPr>
        <w:t>Tunable high speed IR laser light is focussed onto the sample located at the cantilever tip. Thermal expansion occurs when the absorption band matches the wavelength. The cantilever oscillation amplitude as a function of wavelength creates a unique spectral fingerprint.</w:t>
      </w:r>
      <w:r w:rsidR="005D4A3B" w:rsidRPr="005D4A3B">
        <w:t xml:space="preserve"> </w:t>
      </w:r>
      <w:r w:rsidR="005D4A3B">
        <w:t>(</w:t>
      </w:r>
      <w:r w:rsidR="005D4A3B" w:rsidRPr="005D4A3B">
        <w:rPr>
          <w:rFonts w:ascii="Times New Roman" w:hAnsi="Times New Roman" w:cs="Times New Roman"/>
          <w:sz w:val="24"/>
          <w:szCs w:val="24"/>
        </w:rPr>
        <w:t xml:space="preserve">Adopted from nanoIR webpage </w:t>
      </w:r>
      <w:r w:rsidR="005D4A3B" w:rsidRPr="005D4A3B">
        <w:rPr>
          <w:rStyle w:val="highlight"/>
          <w:rFonts w:ascii="Times New Roman" w:hAnsi="Times New Roman" w:cs="Times New Roman"/>
          <w:bCs/>
          <w:sz w:val="24"/>
          <w:szCs w:val="24"/>
          <w:lang w:val="de-DE"/>
        </w:rPr>
        <w:t>https://www.epfl.ch/labs/lpmv/facilities/nanoir/</w:t>
      </w:r>
      <w:r w:rsidR="005D4A3B">
        <w:rPr>
          <w:rStyle w:val="highlight"/>
          <w:rFonts w:ascii="Times New Roman" w:hAnsi="Times New Roman"/>
          <w:bCs/>
          <w:sz w:val="24"/>
          <w:szCs w:val="24"/>
          <w:lang w:val="de-DE"/>
        </w:rPr>
        <w:t>).</w:t>
      </w:r>
    </w:p>
    <w:p w:rsidR="00F610D0" w:rsidRDefault="00F610D0" w:rsidP="00AB153A">
      <w:pPr>
        <w:pStyle w:val="Body"/>
        <w:spacing w:line="360" w:lineRule="auto"/>
        <w:jc w:val="both"/>
        <w:rPr>
          <w:rStyle w:val="highlight"/>
          <w:rFonts w:ascii="Times New Roman" w:hAnsi="Times New Roman"/>
          <w:b/>
          <w:bCs/>
          <w:sz w:val="24"/>
          <w:szCs w:val="24"/>
          <w:lang w:val="de-DE"/>
        </w:rPr>
      </w:pPr>
      <w:r w:rsidRPr="00F610D0">
        <w:rPr>
          <w:rStyle w:val="highlight"/>
          <w:rFonts w:ascii="Times New Roman" w:hAnsi="Times New Roman"/>
          <w:b/>
          <w:bCs/>
          <w:sz w:val="24"/>
          <w:szCs w:val="24"/>
          <w:lang w:val="de-DE"/>
        </w:rPr>
        <w:t xml:space="preserve">Supplementary Figure </w:t>
      </w:r>
      <w:r w:rsidR="00044CCC">
        <w:rPr>
          <w:rStyle w:val="highlight"/>
          <w:rFonts w:ascii="Times New Roman" w:hAnsi="Times New Roman"/>
          <w:b/>
          <w:bCs/>
          <w:sz w:val="24"/>
          <w:szCs w:val="24"/>
          <w:lang w:val="de-DE"/>
        </w:rPr>
        <w:t>2</w:t>
      </w:r>
      <w:r w:rsidRPr="00F610D0">
        <w:rPr>
          <w:rStyle w:val="highlight"/>
          <w:rFonts w:ascii="Times New Roman" w:hAnsi="Times New Roman"/>
          <w:b/>
          <w:bCs/>
          <w:sz w:val="24"/>
          <w:szCs w:val="24"/>
          <w:lang w:val="de-DE"/>
        </w:rPr>
        <w:t>.</w:t>
      </w:r>
    </w:p>
    <w:p w:rsidR="00F610D0" w:rsidRDefault="00044CCC" w:rsidP="00AB153A">
      <w:pPr>
        <w:pStyle w:val="Body"/>
        <w:spacing w:line="360" w:lineRule="auto"/>
        <w:jc w:val="both"/>
        <w:rPr>
          <w:rStyle w:val="highlight"/>
          <w:rFonts w:ascii="Times New Roman" w:hAnsi="Times New Roman"/>
          <w:b/>
          <w:bCs/>
          <w:sz w:val="24"/>
          <w:szCs w:val="24"/>
          <w:lang w:val="de-DE"/>
        </w:rPr>
      </w:pPr>
      <w:r w:rsidRPr="00D66398">
        <w:rPr>
          <w:rFonts w:ascii="Times New Roman" w:hAnsi="Times New Roman" w:cs="Times New Roman"/>
          <w:noProof/>
          <w:color w:val="000000" w:themeColor="text1"/>
          <w:sz w:val="24"/>
          <w:szCs w:val="24"/>
        </w:rPr>
        <w:drawing>
          <wp:anchor distT="0" distB="0" distL="114300" distR="114300" simplePos="0" relativeHeight="251673600" behindDoc="0" locked="0" layoutInCell="1" allowOverlap="1" wp14:anchorId="55A641E2" wp14:editId="663A5EFB">
            <wp:simplePos x="0" y="0"/>
            <wp:positionH relativeFrom="margin">
              <wp:posOffset>727075</wp:posOffset>
            </wp:positionH>
            <wp:positionV relativeFrom="paragraph">
              <wp:posOffset>8255</wp:posOffset>
            </wp:positionV>
            <wp:extent cx="4666660" cy="2858135"/>
            <wp:effectExtent l="0" t="0" r="63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5323" t="11240" r="13173"/>
                    <a:stretch/>
                  </pic:blipFill>
                  <pic:spPr bwMode="auto">
                    <a:xfrm>
                      <a:off x="0" y="0"/>
                      <a:ext cx="4666660" cy="28581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610D0" w:rsidRDefault="00F610D0" w:rsidP="00AB153A">
      <w:pPr>
        <w:pStyle w:val="Body"/>
        <w:spacing w:line="360" w:lineRule="auto"/>
        <w:jc w:val="both"/>
        <w:rPr>
          <w:rStyle w:val="highlight"/>
          <w:rFonts w:ascii="Times New Roman" w:hAnsi="Times New Roman"/>
          <w:b/>
          <w:bCs/>
          <w:sz w:val="24"/>
          <w:szCs w:val="24"/>
          <w:lang w:val="de-DE"/>
        </w:rPr>
      </w:pPr>
    </w:p>
    <w:p w:rsidR="00F610D0" w:rsidRDefault="00F610D0" w:rsidP="00AB153A">
      <w:pPr>
        <w:pStyle w:val="Body"/>
        <w:spacing w:line="360" w:lineRule="auto"/>
        <w:jc w:val="both"/>
        <w:rPr>
          <w:rStyle w:val="highlight"/>
          <w:rFonts w:ascii="Times New Roman" w:hAnsi="Times New Roman"/>
          <w:b/>
          <w:bCs/>
          <w:sz w:val="24"/>
          <w:szCs w:val="24"/>
          <w:lang w:val="de-DE"/>
        </w:rPr>
      </w:pPr>
    </w:p>
    <w:p w:rsidR="00F610D0" w:rsidRDefault="00F610D0" w:rsidP="00AB153A">
      <w:pPr>
        <w:pStyle w:val="Body"/>
        <w:spacing w:line="360" w:lineRule="auto"/>
        <w:jc w:val="both"/>
        <w:rPr>
          <w:rStyle w:val="highlight"/>
          <w:rFonts w:ascii="Times New Roman" w:hAnsi="Times New Roman"/>
          <w:b/>
          <w:bCs/>
          <w:sz w:val="24"/>
          <w:szCs w:val="24"/>
          <w:lang w:val="de-DE"/>
        </w:rPr>
      </w:pPr>
    </w:p>
    <w:p w:rsidR="00F610D0" w:rsidRDefault="00F610D0" w:rsidP="00AB153A">
      <w:pPr>
        <w:pStyle w:val="Body"/>
        <w:spacing w:line="360" w:lineRule="auto"/>
        <w:jc w:val="both"/>
        <w:rPr>
          <w:rStyle w:val="highlight"/>
          <w:rFonts w:ascii="Times New Roman" w:hAnsi="Times New Roman"/>
          <w:b/>
          <w:bCs/>
          <w:sz w:val="24"/>
          <w:szCs w:val="24"/>
          <w:lang w:val="de-DE"/>
        </w:rPr>
      </w:pPr>
    </w:p>
    <w:p w:rsidR="00044CCC" w:rsidRDefault="00044CCC" w:rsidP="00AB153A">
      <w:pPr>
        <w:pStyle w:val="Body"/>
        <w:spacing w:line="360" w:lineRule="auto"/>
        <w:jc w:val="both"/>
        <w:rPr>
          <w:rStyle w:val="highlight"/>
          <w:rFonts w:ascii="Times New Roman" w:hAnsi="Times New Roman"/>
          <w:b/>
          <w:bCs/>
          <w:sz w:val="24"/>
          <w:szCs w:val="24"/>
          <w:lang w:val="de-DE"/>
        </w:rPr>
      </w:pPr>
    </w:p>
    <w:p w:rsidR="00044CCC" w:rsidRDefault="00044CCC" w:rsidP="00AB153A">
      <w:pPr>
        <w:pStyle w:val="Body"/>
        <w:spacing w:line="360" w:lineRule="auto"/>
        <w:jc w:val="both"/>
        <w:rPr>
          <w:rStyle w:val="highlight"/>
          <w:rFonts w:ascii="Times New Roman" w:hAnsi="Times New Roman"/>
          <w:b/>
          <w:bCs/>
          <w:sz w:val="24"/>
          <w:szCs w:val="24"/>
          <w:lang w:val="de-DE"/>
        </w:rPr>
      </w:pPr>
    </w:p>
    <w:p w:rsidR="00044CCC" w:rsidRDefault="00044CCC" w:rsidP="00AB153A">
      <w:pPr>
        <w:pStyle w:val="Body"/>
        <w:spacing w:line="360" w:lineRule="auto"/>
        <w:jc w:val="both"/>
        <w:rPr>
          <w:rStyle w:val="highlight"/>
          <w:rFonts w:ascii="Times New Roman" w:hAnsi="Times New Roman"/>
          <w:b/>
          <w:bCs/>
          <w:sz w:val="24"/>
          <w:szCs w:val="24"/>
          <w:lang w:val="de-DE"/>
        </w:rPr>
      </w:pPr>
    </w:p>
    <w:p w:rsidR="00910742" w:rsidRDefault="00044CCC" w:rsidP="00044CCC">
      <w:pPr>
        <w:pStyle w:val="Body"/>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IR spectra of cover slip to use as a background. There is no distinct peak in case of cover slip; all the protein spectra was subtracted from background spectra.</w:t>
      </w:r>
    </w:p>
    <w:p w:rsidR="00910742" w:rsidRDefault="00910742" w:rsidP="00AB153A">
      <w:pPr>
        <w:pStyle w:val="Body"/>
        <w:spacing w:line="360" w:lineRule="auto"/>
        <w:jc w:val="both"/>
        <w:rPr>
          <w:rStyle w:val="highlight"/>
          <w:rFonts w:ascii="Times New Roman" w:hAnsi="Times New Roman"/>
          <w:b/>
          <w:bCs/>
          <w:sz w:val="24"/>
          <w:szCs w:val="24"/>
          <w:lang w:val="de-DE"/>
        </w:rPr>
      </w:pPr>
    </w:p>
    <w:p w:rsidR="00044CCC" w:rsidRDefault="00910742" w:rsidP="00AB153A">
      <w:pPr>
        <w:pStyle w:val="Body"/>
        <w:spacing w:line="360" w:lineRule="auto"/>
        <w:jc w:val="both"/>
        <w:rPr>
          <w:rStyle w:val="highlight"/>
          <w:rFonts w:ascii="Times New Roman" w:hAnsi="Times New Roman"/>
          <w:b/>
          <w:bCs/>
          <w:sz w:val="24"/>
          <w:szCs w:val="24"/>
          <w:lang w:val="de-DE"/>
        </w:rPr>
      </w:pPr>
      <w:r>
        <w:rPr>
          <w:rFonts w:ascii="Times New Roman" w:hAnsi="Times New Roman"/>
          <w:b/>
          <w:bCs/>
          <w:noProof/>
          <w:sz w:val="24"/>
          <w:szCs w:val="24"/>
        </w:rPr>
        <w:drawing>
          <wp:anchor distT="0" distB="0" distL="114300" distR="114300" simplePos="0" relativeHeight="251671552" behindDoc="0" locked="0" layoutInCell="1" allowOverlap="1">
            <wp:simplePos x="0" y="0"/>
            <wp:positionH relativeFrom="margin">
              <wp:posOffset>225425</wp:posOffset>
            </wp:positionH>
            <wp:positionV relativeFrom="paragraph">
              <wp:posOffset>429895</wp:posOffset>
            </wp:positionV>
            <wp:extent cx="5511800" cy="2662555"/>
            <wp:effectExtent l="0" t="0" r="0" b="444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upp fig 2.png"/>
                    <pic:cNvPicPr/>
                  </pic:nvPicPr>
                  <pic:blipFill rotWithShape="1">
                    <a:blip r:embed="rId10">
                      <a:extLst>
                        <a:ext uri="{28A0092B-C50C-407E-A947-70E740481C1C}">
                          <a14:useLocalDpi xmlns:a14="http://schemas.microsoft.com/office/drawing/2010/main" val="0"/>
                        </a:ext>
                      </a:extLst>
                    </a:blip>
                    <a:srcRect l="7649" t="9755" r="13858" b="22842"/>
                    <a:stretch/>
                  </pic:blipFill>
                  <pic:spPr bwMode="auto">
                    <a:xfrm>
                      <a:off x="0" y="0"/>
                      <a:ext cx="5511800" cy="26625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D3D0D">
        <w:rPr>
          <w:rStyle w:val="highlight"/>
          <w:rFonts w:ascii="Times New Roman" w:hAnsi="Times New Roman"/>
          <w:b/>
          <w:bCs/>
          <w:sz w:val="24"/>
          <w:szCs w:val="24"/>
          <w:lang w:val="de-DE"/>
        </w:rPr>
        <w:t xml:space="preserve">Supplementary Figure </w:t>
      </w:r>
      <w:r w:rsidR="00F610D0">
        <w:rPr>
          <w:rStyle w:val="highlight"/>
          <w:rFonts w:ascii="Times New Roman" w:hAnsi="Times New Roman"/>
          <w:b/>
          <w:bCs/>
          <w:sz w:val="24"/>
          <w:szCs w:val="24"/>
          <w:lang w:val="de-DE"/>
        </w:rPr>
        <w:t>3</w:t>
      </w:r>
      <w:r w:rsidR="007D3D0D" w:rsidRPr="00410072">
        <w:rPr>
          <w:rStyle w:val="highlight"/>
          <w:rFonts w:ascii="Times New Roman" w:hAnsi="Times New Roman"/>
          <w:b/>
          <w:bCs/>
          <w:sz w:val="24"/>
          <w:szCs w:val="24"/>
          <w:lang w:val="de-DE"/>
        </w:rPr>
        <w:t>.</w:t>
      </w:r>
    </w:p>
    <w:p w:rsidR="00044CCC" w:rsidRPr="00790BE9" w:rsidRDefault="00044CCC" w:rsidP="00AB153A">
      <w:pPr>
        <w:pStyle w:val="Body"/>
        <w:spacing w:line="360" w:lineRule="auto"/>
        <w:jc w:val="both"/>
        <w:rPr>
          <w:rStyle w:val="highlight"/>
          <w:rFonts w:ascii="Times New Roman" w:hAnsi="Times New Roman"/>
          <w:bCs/>
          <w:sz w:val="24"/>
          <w:szCs w:val="24"/>
          <w:lang w:val="de-DE"/>
        </w:rPr>
      </w:pPr>
      <w:r>
        <w:rPr>
          <w:rStyle w:val="highlight"/>
          <w:rFonts w:ascii="Times New Roman" w:hAnsi="Times New Roman"/>
          <w:bCs/>
          <w:sz w:val="24"/>
          <w:szCs w:val="24"/>
          <w:lang w:val="de-DE"/>
        </w:rPr>
        <w:t>D</w:t>
      </w:r>
      <w:r w:rsidRPr="005863EB">
        <w:rPr>
          <w:rStyle w:val="highlight"/>
          <w:rFonts w:ascii="Times New Roman" w:hAnsi="Times New Roman"/>
          <w:bCs/>
          <w:sz w:val="24"/>
          <w:szCs w:val="24"/>
          <w:lang w:val="de-DE"/>
        </w:rPr>
        <w:t>econvolution curve</w:t>
      </w:r>
      <w:r>
        <w:rPr>
          <w:rStyle w:val="highlight"/>
          <w:rFonts w:ascii="Times New Roman" w:hAnsi="Times New Roman"/>
          <w:bCs/>
          <w:sz w:val="24"/>
          <w:szCs w:val="24"/>
          <w:lang w:val="de-DE"/>
        </w:rPr>
        <w:t xml:space="preserve"> </w:t>
      </w:r>
      <w:r w:rsidRPr="005863EB">
        <w:rPr>
          <w:rStyle w:val="highlight"/>
          <w:rFonts w:ascii="Times New Roman" w:hAnsi="Times New Roman"/>
          <w:bCs/>
          <w:sz w:val="24"/>
          <w:szCs w:val="24"/>
          <w:lang w:val="de-DE"/>
        </w:rPr>
        <w:t>showing amide I components assignments acquired</w:t>
      </w:r>
      <w:r>
        <w:rPr>
          <w:rStyle w:val="highlight"/>
          <w:rFonts w:ascii="Times New Roman" w:hAnsi="Times New Roman"/>
          <w:bCs/>
          <w:sz w:val="24"/>
          <w:szCs w:val="24"/>
          <w:lang w:val="de-DE"/>
        </w:rPr>
        <w:t xml:space="preserve"> from the lysozyme sample incubated for day 21 and 1. </w:t>
      </w:r>
    </w:p>
    <w:p w:rsidR="00044CCC" w:rsidRDefault="00790BE9" w:rsidP="00044CCC">
      <w:pPr>
        <w:pStyle w:val="Body"/>
        <w:spacing w:line="360" w:lineRule="auto"/>
        <w:jc w:val="both"/>
        <w:rPr>
          <w:rStyle w:val="highlight"/>
          <w:rFonts w:ascii="Times New Roman" w:hAnsi="Times New Roman"/>
          <w:b/>
          <w:bCs/>
          <w:sz w:val="24"/>
          <w:szCs w:val="24"/>
          <w:lang w:val="de-DE"/>
        </w:rPr>
      </w:pPr>
      <w:r>
        <w:rPr>
          <w:rFonts w:ascii="Times New Roman" w:hAnsi="Times New Roman"/>
          <w:b/>
          <w:bCs/>
          <w:noProof/>
          <w:sz w:val="24"/>
          <w:szCs w:val="24"/>
        </w:rPr>
        <w:drawing>
          <wp:anchor distT="0" distB="0" distL="114300" distR="114300" simplePos="0" relativeHeight="251669504" behindDoc="0" locked="0" layoutInCell="1" allowOverlap="1">
            <wp:simplePos x="0" y="0"/>
            <wp:positionH relativeFrom="margin">
              <wp:posOffset>442531</wp:posOffset>
            </wp:positionH>
            <wp:positionV relativeFrom="paragraph">
              <wp:posOffset>216967</wp:posOffset>
            </wp:positionV>
            <wp:extent cx="4924425" cy="322199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pp fig 3.png"/>
                    <pic:cNvPicPr/>
                  </pic:nvPicPr>
                  <pic:blipFill rotWithShape="1">
                    <a:blip r:embed="rId11">
                      <a:extLst>
                        <a:ext uri="{28A0092B-C50C-407E-A947-70E740481C1C}">
                          <a14:useLocalDpi xmlns:a14="http://schemas.microsoft.com/office/drawing/2010/main" val="0"/>
                        </a:ext>
                      </a:extLst>
                    </a:blip>
                    <a:srcRect r="14024"/>
                    <a:stretch/>
                  </pic:blipFill>
                  <pic:spPr bwMode="auto">
                    <a:xfrm>
                      <a:off x="0" y="0"/>
                      <a:ext cx="4924425" cy="32219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44CCC">
        <w:rPr>
          <w:rStyle w:val="highlight"/>
          <w:rFonts w:ascii="Times New Roman" w:hAnsi="Times New Roman"/>
          <w:b/>
          <w:bCs/>
          <w:sz w:val="24"/>
          <w:szCs w:val="24"/>
          <w:lang w:val="de-DE"/>
        </w:rPr>
        <w:t xml:space="preserve">Supplementary Figure </w:t>
      </w:r>
      <w:r>
        <w:rPr>
          <w:rStyle w:val="highlight"/>
          <w:rFonts w:ascii="Times New Roman" w:hAnsi="Times New Roman"/>
          <w:b/>
          <w:bCs/>
          <w:sz w:val="24"/>
          <w:szCs w:val="24"/>
          <w:lang w:val="de-DE"/>
        </w:rPr>
        <w:t>4</w:t>
      </w:r>
      <w:bookmarkStart w:id="0" w:name="_GoBack"/>
      <w:bookmarkEnd w:id="0"/>
      <w:r w:rsidR="00044CCC" w:rsidRPr="00410072">
        <w:rPr>
          <w:rStyle w:val="highlight"/>
          <w:rFonts w:ascii="Times New Roman" w:hAnsi="Times New Roman"/>
          <w:b/>
          <w:bCs/>
          <w:sz w:val="24"/>
          <w:szCs w:val="24"/>
          <w:lang w:val="de-DE"/>
        </w:rPr>
        <w:t>.</w:t>
      </w:r>
    </w:p>
    <w:p w:rsidR="00044CCC" w:rsidRDefault="00044CCC" w:rsidP="00AB153A">
      <w:pPr>
        <w:pStyle w:val="Body"/>
        <w:spacing w:line="360" w:lineRule="auto"/>
        <w:jc w:val="both"/>
        <w:rPr>
          <w:rStyle w:val="highlight"/>
          <w:rFonts w:ascii="Times New Roman" w:hAnsi="Times New Roman"/>
          <w:b/>
          <w:bCs/>
          <w:sz w:val="24"/>
          <w:szCs w:val="24"/>
          <w:lang w:val="de-DE"/>
        </w:rPr>
      </w:pPr>
    </w:p>
    <w:p w:rsidR="007D3D0D" w:rsidRDefault="007D3D0D" w:rsidP="00AB153A">
      <w:pPr>
        <w:pStyle w:val="Body"/>
        <w:spacing w:line="360" w:lineRule="auto"/>
        <w:jc w:val="both"/>
        <w:rPr>
          <w:rStyle w:val="highlight"/>
          <w:rFonts w:ascii="Times New Roman" w:hAnsi="Times New Roman"/>
          <w:bCs/>
          <w:sz w:val="24"/>
          <w:szCs w:val="24"/>
          <w:lang w:val="de-DE"/>
        </w:rPr>
      </w:pPr>
    </w:p>
    <w:p w:rsidR="00E81AF4" w:rsidRDefault="00E81AF4" w:rsidP="00AB153A">
      <w:pPr>
        <w:pStyle w:val="Body"/>
        <w:spacing w:line="360" w:lineRule="auto"/>
        <w:jc w:val="both"/>
        <w:rPr>
          <w:rFonts w:ascii="Times New Roman" w:hAnsi="Times New Roman" w:cs="Times New Roman"/>
          <w:sz w:val="24"/>
          <w:szCs w:val="24"/>
        </w:rPr>
      </w:pPr>
    </w:p>
    <w:p w:rsidR="00E81AF4" w:rsidRDefault="00E81AF4" w:rsidP="00AB153A">
      <w:pPr>
        <w:pStyle w:val="Body"/>
        <w:spacing w:line="360" w:lineRule="auto"/>
        <w:jc w:val="both"/>
        <w:rPr>
          <w:rFonts w:ascii="Times New Roman" w:hAnsi="Times New Roman" w:cs="Times New Roman"/>
          <w:sz w:val="24"/>
          <w:szCs w:val="24"/>
        </w:rPr>
      </w:pPr>
    </w:p>
    <w:p w:rsidR="00E81AF4" w:rsidRDefault="00E81AF4" w:rsidP="00AB153A">
      <w:pPr>
        <w:pStyle w:val="Body"/>
        <w:spacing w:line="360" w:lineRule="auto"/>
        <w:jc w:val="both"/>
        <w:rPr>
          <w:rFonts w:ascii="Times New Roman" w:hAnsi="Times New Roman" w:cs="Times New Roman"/>
          <w:sz w:val="24"/>
          <w:szCs w:val="24"/>
        </w:rPr>
      </w:pPr>
    </w:p>
    <w:p w:rsidR="00E81AF4" w:rsidRDefault="00E81AF4" w:rsidP="00AB153A">
      <w:pPr>
        <w:pStyle w:val="Body"/>
        <w:spacing w:line="360" w:lineRule="auto"/>
        <w:jc w:val="both"/>
        <w:rPr>
          <w:rFonts w:ascii="Times New Roman" w:hAnsi="Times New Roman" w:cs="Times New Roman"/>
          <w:sz w:val="24"/>
          <w:szCs w:val="24"/>
        </w:rPr>
      </w:pPr>
    </w:p>
    <w:p w:rsidR="00E81AF4" w:rsidRDefault="00E81AF4" w:rsidP="00AB153A">
      <w:pPr>
        <w:pStyle w:val="Body"/>
        <w:spacing w:line="360" w:lineRule="auto"/>
        <w:jc w:val="both"/>
        <w:rPr>
          <w:rFonts w:ascii="Times New Roman" w:hAnsi="Times New Roman" w:cs="Times New Roman"/>
          <w:sz w:val="24"/>
          <w:szCs w:val="24"/>
        </w:rPr>
      </w:pPr>
    </w:p>
    <w:p w:rsidR="002C3427" w:rsidRDefault="002C3427" w:rsidP="00AB153A">
      <w:pPr>
        <w:pStyle w:val="Body"/>
        <w:spacing w:line="360" w:lineRule="auto"/>
        <w:jc w:val="both"/>
        <w:rPr>
          <w:rFonts w:ascii="Times New Roman" w:hAnsi="Times New Roman" w:cs="Times New Roman"/>
          <w:sz w:val="24"/>
          <w:szCs w:val="24"/>
        </w:rPr>
      </w:pPr>
    </w:p>
    <w:p w:rsidR="002C3427" w:rsidRDefault="000D792B" w:rsidP="000D792B">
      <w:pPr>
        <w:pStyle w:val="Body"/>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Machine learning Model (Random forest). </w:t>
      </w:r>
      <w:r w:rsidR="002C3427">
        <w:rPr>
          <w:rFonts w:ascii="Times New Roman" w:hAnsi="Times New Roman" w:cs="Times New Roman"/>
          <w:sz w:val="24"/>
          <w:szCs w:val="24"/>
        </w:rPr>
        <w:t xml:space="preserve">Here the x-axis represents the scaled feature importance or how important was that ratio in distinguishing the cases from controls. We </w:t>
      </w:r>
      <w:r w:rsidR="002C3427">
        <w:rPr>
          <w:rFonts w:ascii="Times New Roman" w:hAnsi="Times New Roman" w:cs="Times New Roman"/>
          <w:sz w:val="24"/>
          <w:szCs w:val="24"/>
        </w:rPr>
        <w:lastRenderedPageBreak/>
        <w:t>can observe that the ratio of antiparallel β- sheet to α-helix. Amide I and parallel β-sheet are the most important ones.</w:t>
      </w:r>
      <w:r w:rsidR="009B203D">
        <w:rPr>
          <w:rFonts w:ascii="Times New Roman" w:hAnsi="Times New Roman" w:cs="Times New Roman"/>
          <w:sz w:val="24"/>
          <w:szCs w:val="24"/>
        </w:rPr>
        <w:t xml:space="preserve"> (b) The decision trees forming the optimal RF model. (c) Boxplot </w:t>
      </w:r>
      <w:r>
        <w:rPr>
          <w:rFonts w:ascii="Times New Roman" w:hAnsi="Times New Roman" w:cs="Times New Roman"/>
          <w:sz w:val="24"/>
          <w:szCs w:val="24"/>
        </w:rPr>
        <w:t>displaying</w:t>
      </w:r>
      <w:r w:rsidR="009B203D">
        <w:rPr>
          <w:rFonts w:ascii="Times New Roman" w:hAnsi="Times New Roman" w:cs="Times New Roman"/>
          <w:sz w:val="24"/>
          <w:szCs w:val="24"/>
        </w:rPr>
        <w:t xml:space="preserve"> the difference in the ratio of antiparallel β-sheet to parallel</w:t>
      </w:r>
      <w:r w:rsidR="009B203D" w:rsidRPr="009B203D">
        <w:rPr>
          <w:rFonts w:ascii="Times New Roman" w:hAnsi="Times New Roman" w:cs="Times New Roman"/>
          <w:sz w:val="24"/>
          <w:szCs w:val="24"/>
        </w:rPr>
        <w:t xml:space="preserve"> </w:t>
      </w:r>
      <w:r w:rsidR="009B203D">
        <w:rPr>
          <w:rFonts w:ascii="Times New Roman" w:hAnsi="Times New Roman" w:cs="Times New Roman"/>
          <w:sz w:val="24"/>
          <w:szCs w:val="24"/>
        </w:rPr>
        <w:t>β-sheet in case vs control samples.</w:t>
      </w:r>
    </w:p>
    <w:p w:rsidR="00E00ECF" w:rsidRDefault="00E00ECF" w:rsidP="00FC2E89">
      <w:pPr>
        <w:pStyle w:val="Body"/>
        <w:spacing w:line="360" w:lineRule="auto"/>
        <w:jc w:val="both"/>
        <w:rPr>
          <w:rFonts w:ascii="Times New Roman" w:hAnsi="Times New Roman" w:cs="Times New Roman"/>
          <w:sz w:val="24"/>
          <w:szCs w:val="24"/>
        </w:rPr>
      </w:pPr>
    </w:p>
    <w:p w:rsidR="005E571F" w:rsidRDefault="005E571F" w:rsidP="000D792B">
      <w:pPr>
        <w:pStyle w:val="Body"/>
        <w:spacing w:line="360" w:lineRule="auto"/>
        <w:ind w:left="360"/>
        <w:jc w:val="both"/>
        <w:rPr>
          <w:rFonts w:ascii="Times New Roman" w:hAnsi="Times New Roman" w:cs="Times New Roman"/>
          <w:b/>
          <w:sz w:val="24"/>
          <w:szCs w:val="24"/>
        </w:rPr>
      </w:pPr>
      <w:r w:rsidRPr="005E571F">
        <w:rPr>
          <w:rFonts w:ascii="Times New Roman" w:hAnsi="Times New Roman" w:cs="Times New Roman"/>
          <w:b/>
          <w:sz w:val="24"/>
          <w:szCs w:val="24"/>
        </w:rPr>
        <w:t>Supplementary Table 1.</w:t>
      </w:r>
      <w:r>
        <w:rPr>
          <w:rFonts w:ascii="Times New Roman" w:hAnsi="Times New Roman" w:cs="Times New Roman"/>
          <w:b/>
          <w:sz w:val="24"/>
          <w:szCs w:val="24"/>
        </w:rPr>
        <w:t xml:space="preserve"> Secondary structure components with their assigned wavelength in IR region.</w:t>
      </w:r>
    </w:p>
    <w:p w:rsidR="005E571F" w:rsidRDefault="005E571F" w:rsidP="000D792B">
      <w:pPr>
        <w:pStyle w:val="Body"/>
        <w:spacing w:line="360" w:lineRule="auto"/>
        <w:ind w:left="360"/>
        <w:jc w:val="both"/>
        <w:rPr>
          <w:rFonts w:ascii="Times New Roman" w:hAnsi="Times New Roman" w:cs="Times New Roman"/>
          <w:b/>
          <w:sz w:val="24"/>
          <w:szCs w:val="24"/>
        </w:rPr>
      </w:pP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3"/>
        <w:gridCol w:w="3798"/>
      </w:tblGrid>
      <w:tr w:rsidR="005E571F" w:rsidTr="00FC2E89">
        <w:trPr>
          <w:trHeight w:val="690"/>
          <w:jc w:val="center"/>
        </w:trPr>
        <w:tc>
          <w:tcPr>
            <w:tcW w:w="3803" w:type="dxa"/>
          </w:tcPr>
          <w:p w:rsidR="005E571F" w:rsidRDefault="005E571F" w:rsidP="00FC2E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Fonts w:ascii="Times New Roman" w:hAnsi="Times New Roman" w:cs="Times New Roman"/>
                <w:b/>
                <w:sz w:val="24"/>
                <w:szCs w:val="24"/>
              </w:rPr>
            </w:pPr>
            <w:r>
              <w:rPr>
                <w:rFonts w:ascii="Times New Roman" w:hAnsi="Times New Roman" w:cs="Times New Roman"/>
                <w:b/>
                <w:sz w:val="24"/>
                <w:szCs w:val="24"/>
              </w:rPr>
              <w:t>Protein Components</w:t>
            </w:r>
          </w:p>
        </w:tc>
        <w:tc>
          <w:tcPr>
            <w:tcW w:w="3798" w:type="dxa"/>
          </w:tcPr>
          <w:p w:rsidR="005E571F" w:rsidRDefault="005E571F" w:rsidP="00FC2E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Fonts w:ascii="Times New Roman" w:hAnsi="Times New Roman" w:cs="Times New Roman"/>
                <w:b/>
                <w:sz w:val="24"/>
                <w:szCs w:val="24"/>
              </w:rPr>
            </w:pPr>
            <w:r>
              <w:rPr>
                <w:rFonts w:ascii="Times New Roman" w:hAnsi="Times New Roman" w:cs="Times New Roman"/>
                <w:b/>
                <w:sz w:val="24"/>
                <w:szCs w:val="24"/>
              </w:rPr>
              <w:t>Wavelength (cm</w:t>
            </w:r>
            <w:r w:rsidRPr="00FC2E89">
              <w:rPr>
                <w:rFonts w:ascii="Times New Roman" w:hAnsi="Times New Roman" w:cs="Times New Roman"/>
                <w:b/>
                <w:sz w:val="24"/>
                <w:szCs w:val="24"/>
                <w:vertAlign w:val="superscript"/>
              </w:rPr>
              <w:t>-1</w:t>
            </w:r>
            <w:r>
              <w:rPr>
                <w:rFonts w:ascii="Times New Roman" w:hAnsi="Times New Roman" w:cs="Times New Roman"/>
                <w:b/>
                <w:sz w:val="24"/>
                <w:szCs w:val="24"/>
              </w:rPr>
              <w:t>) Assignment</w:t>
            </w:r>
          </w:p>
        </w:tc>
      </w:tr>
      <w:tr w:rsidR="005E571F" w:rsidTr="00FC2E89">
        <w:trPr>
          <w:trHeight w:val="690"/>
          <w:jc w:val="center"/>
        </w:trPr>
        <w:tc>
          <w:tcPr>
            <w:tcW w:w="3803" w:type="dxa"/>
          </w:tcPr>
          <w:p w:rsidR="005E571F" w:rsidRDefault="005E571F" w:rsidP="00FC2E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Fonts w:ascii="Times New Roman" w:hAnsi="Times New Roman" w:cs="Times New Roman"/>
                <w:b/>
                <w:sz w:val="24"/>
                <w:szCs w:val="24"/>
              </w:rPr>
            </w:pPr>
            <w:r>
              <w:rPr>
                <w:rFonts w:ascii="Times New Roman" w:hAnsi="Times New Roman" w:cs="Times New Roman"/>
                <w:b/>
                <w:sz w:val="24"/>
                <w:szCs w:val="24"/>
              </w:rPr>
              <w:t>Amide I</w:t>
            </w:r>
          </w:p>
        </w:tc>
        <w:tc>
          <w:tcPr>
            <w:tcW w:w="3798" w:type="dxa"/>
          </w:tcPr>
          <w:p w:rsidR="005E571F" w:rsidRDefault="005E571F" w:rsidP="00FC2E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Fonts w:ascii="Times New Roman" w:hAnsi="Times New Roman" w:cs="Times New Roman"/>
                <w:b/>
                <w:sz w:val="24"/>
                <w:szCs w:val="24"/>
              </w:rPr>
            </w:pPr>
            <w:r>
              <w:rPr>
                <w:rFonts w:ascii="Times New Roman" w:hAnsi="Times New Roman" w:cs="Times New Roman"/>
                <w:b/>
                <w:sz w:val="24"/>
                <w:szCs w:val="24"/>
              </w:rPr>
              <w:t>1700 – 1600</w:t>
            </w:r>
          </w:p>
        </w:tc>
      </w:tr>
      <w:tr w:rsidR="005E571F" w:rsidTr="00FC2E89">
        <w:trPr>
          <w:trHeight w:val="690"/>
          <w:jc w:val="center"/>
        </w:trPr>
        <w:tc>
          <w:tcPr>
            <w:tcW w:w="3803" w:type="dxa"/>
          </w:tcPr>
          <w:p w:rsidR="005E571F" w:rsidRDefault="005E571F" w:rsidP="00FC2E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Fonts w:ascii="Times New Roman" w:hAnsi="Times New Roman" w:cs="Times New Roman"/>
                <w:b/>
                <w:sz w:val="24"/>
                <w:szCs w:val="24"/>
              </w:rPr>
            </w:pPr>
            <w:r>
              <w:rPr>
                <w:rFonts w:ascii="Times New Roman" w:hAnsi="Times New Roman" w:cs="Times New Roman"/>
                <w:b/>
                <w:sz w:val="24"/>
                <w:szCs w:val="24"/>
              </w:rPr>
              <w:t>Amide II</w:t>
            </w:r>
          </w:p>
        </w:tc>
        <w:tc>
          <w:tcPr>
            <w:tcW w:w="3798" w:type="dxa"/>
          </w:tcPr>
          <w:p w:rsidR="005E571F" w:rsidRDefault="005E571F" w:rsidP="00FC2E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Fonts w:ascii="Times New Roman" w:hAnsi="Times New Roman" w:cs="Times New Roman"/>
                <w:b/>
                <w:sz w:val="24"/>
                <w:szCs w:val="24"/>
              </w:rPr>
            </w:pPr>
            <w:r>
              <w:rPr>
                <w:rFonts w:ascii="Times New Roman" w:hAnsi="Times New Roman" w:cs="Times New Roman"/>
                <w:b/>
                <w:sz w:val="24"/>
                <w:szCs w:val="24"/>
              </w:rPr>
              <w:t>1555 - 1535</w:t>
            </w:r>
          </w:p>
        </w:tc>
      </w:tr>
      <w:tr w:rsidR="005E571F" w:rsidTr="00FC2E89">
        <w:trPr>
          <w:trHeight w:val="690"/>
          <w:jc w:val="center"/>
        </w:trPr>
        <w:tc>
          <w:tcPr>
            <w:tcW w:w="3803" w:type="dxa"/>
          </w:tcPr>
          <w:p w:rsidR="005E571F" w:rsidRDefault="005E571F" w:rsidP="00FC2E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Fonts w:ascii="Times New Roman" w:hAnsi="Times New Roman" w:cs="Times New Roman"/>
                <w:b/>
                <w:sz w:val="24"/>
                <w:szCs w:val="24"/>
              </w:rPr>
            </w:pPr>
            <w:r>
              <w:rPr>
                <w:rFonts w:ascii="Times New Roman" w:hAnsi="Times New Roman" w:cs="Times New Roman"/>
                <w:b/>
                <w:sz w:val="24"/>
                <w:szCs w:val="24"/>
              </w:rPr>
              <w:t>Amide III</w:t>
            </w:r>
          </w:p>
        </w:tc>
        <w:tc>
          <w:tcPr>
            <w:tcW w:w="3798" w:type="dxa"/>
          </w:tcPr>
          <w:p w:rsidR="005E571F" w:rsidRDefault="005E571F" w:rsidP="00FC2E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Fonts w:ascii="Times New Roman" w:hAnsi="Times New Roman" w:cs="Times New Roman"/>
                <w:b/>
                <w:sz w:val="24"/>
                <w:szCs w:val="24"/>
              </w:rPr>
            </w:pPr>
            <w:r>
              <w:rPr>
                <w:rFonts w:ascii="Times New Roman" w:hAnsi="Times New Roman" w:cs="Times New Roman"/>
                <w:b/>
                <w:sz w:val="24"/>
                <w:szCs w:val="24"/>
              </w:rPr>
              <w:t>1350 - 1200</w:t>
            </w:r>
          </w:p>
        </w:tc>
      </w:tr>
      <w:tr w:rsidR="005E571F" w:rsidTr="00FC2E89">
        <w:trPr>
          <w:trHeight w:val="690"/>
          <w:jc w:val="center"/>
        </w:trPr>
        <w:tc>
          <w:tcPr>
            <w:tcW w:w="7601" w:type="dxa"/>
            <w:gridSpan w:val="2"/>
          </w:tcPr>
          <w:p w:rsidR="005E571F" w:rsidRDefault="005E571F" w:rsidP="00FC2E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Fonts w:ascii="Times New Roman" w:hAnsi="Times New Roman" w:cs="Times New Roman"/>
                <w:b/>
                <w:sz w:val="24"/>
                <w:szCs w:val="24"/>
              </w:rPr>
            </w:pPr>
            <w:r w:rsidRPr="00FC2E89">
              <w:rPr>
                <w:rFonts w:ascii="Times New Roman" w:hAnsi="Times New Roman" w:cs="Times New Roman"/>
                <w:b/>
                <w:sz w:val="24"/>
                <w:szCs w:val="24"/>
                <w:highlight w:val="lightGray"/>
              </w:rPr>
              <w:t>Amide I Secondary structure (1700 – 1600)</w:t>
            </w:r>
          </w:p>
        </w:tc>
      </w:tr>
      <w:tr w:rsidR="005E571F" w:rsidTr="00FC2E89">
        <w:trPr>
          <w:trHeight w:val="690"/>
          <w:jc w:val="center"/>
        </w:trPr>
        <w:tc>
          <w:tcPr>
            <w:tcW w:w="3803" w:type="dxa"/>
          </w:tcPr>
          <w:p w:rsidR="005E571F" w:rsidRDefault="005E571F" w:rsidP="00FC2E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Fonts w:ascii="Times New Roman" w:hAnsi="Times New Roman" w:cs="Times New Roman"/>
                <w:b/>
                <w:sz w:val="24"/>
                <w:szCs w:val="24"/>
              </w:rPr>
            </w:pPr>
            <w:r>
              <w:rPr>
                <w:rFonts w:ascii="Times New Roman" w:hAnsi="Times New Roman" w:cs="Times New Roman"/>
                <w:b/>
                <w:sz w:val="24"/>
                <w:szCs w:val="24"/>
              </w:rPr>
              <w:t>α-helix</w:t>
            </w:r>
          </w:p>
        </w:tc>
        <w:tc>
          <w:tcPr>
            <w:tcW w:w="3798" w:type="dxa"/>
          </w:tcPr>
          <w:p w:rsidR="005E571F" w:rsidRDefault="005E571F" w:rsidP="00FC2E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Fonts w:ascii="Times New Roman" w:hAnsi="Times New Roman" w:cs="Times New Roman"/>
                <w:b/>
                <w:sz w:val="24"/>
                <w:szCs w:val="24"/>
              </w:rPr>
            </w:pPr>
            <w:r>
              <w:rPr>
                <w:rFonts w:ascii="Times New Roman" w:hAnsi="Times New Roman" w:cs="Times New Roman"/>
                <w:b/>
                <w:sz w:val="24"/>
                <w:szCs w:val="24"/>
              </w:rPr>
              <w:t>1660 - 1650</w:t>
            </w:r>
          </w:p>
        </w:tc>
      </w:tr>
      <w:tr w:rsidR="005E571F" w:rsidTr="00FC2E89">
        <w:trPr>
          <w:trHeight w:val="690"/>
          <w:jc w:val="center"/>
        </w:trPr>
        <w:tc>
          <w:tcPr>
            <w:tcW w:w="3803" w:type="dxa"/>
          </w:tcPr>
          <w:p w:rsidR="005E571F" w:rsidRDefault="005E571F" w:rsidP="00FC2E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Fonts w:ascii="Times New Roman" w:hAnsi="Times New Roman" w:cs="Times New Roman"/>
                <w:b/>
                <w:sz w:val="24"/>
                <w:szCs w:val="24"/>
              </w:rPr>
            </w:pPr>
            <w:r>
              <w:rPr>
                <w:rFonts w:ascii="Times New Roman" w:hAnsi="Times New Roman" w:cs="Times New Roman"/>
                <w:b/>
                <w:sz w:val="24"/>
                <w:szCs w:val="24"/>
              </w:rPr>
              <w:t>Random coil</w:t>
            </w:r>
          </w:p>
        </w:tc>
        <w:tc>
          <w:tcPr>
            <w:tcW w:w="3798" w:type="dxa"/>
          </w:tcPr>
          <w:p w:rsidR="005E571F" w:rsidRDefault="005E571F" w:rsidP="00FC2E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Fonts w:ascii="Times New Roman" w:hAnsi="Times New Roman" w:cs="Times New Roman"/>
                <w:b/>
                <w:sz w:val="24"/>
                <w:szCs w:val="24"/>
              </w:rPr>
            </w:pPr>
            <w:r>
              <w:rPr>
                <w:rFonts w:ascii="Times New Roman" w:hAnsi="Times New Roman" w:cs="Times New Roman"/>
                <w:b/>
                <w:sz w:val="24"/>
                <w:szCs w:val="24"/>
              </w:rPr>
              <w:t>1645 - 1630</w:t>
            </w:r>
          </w:p>
        </w:tc>
      </w:tr>
      <w:tr w:rsidR="005E571F" w:rsidTr="00FC2E89">
        <w:trPr>
          <w:trHeight w:val="690"/>
          <w:jc w:val="center"/>
        </w:trPr>
        <w:tc>
          <w:tcPr>
            <w:tcW w:w="3803" w:type="dxa"/>
          </w:tcPr>
          <w:p w:rsidR="005E571F" w:rsidRDefault="005E571F" w:rsidP="00FC2E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Fonts w:ascii="Times New Roman" w:hAnsi="Times New Roman" w:cs="Times New Roman"/>
                <w:b/>
                <w:sz w:val="24"/>
                <w:szCs w:val="24"/>
              </w:rPr>
            </w:pPr>
            <w:r>
              <w:rPr>
                <w:rFonts w:ascii="Times New Roman" w:hAnsi="Times New Roman" w:cs="Times New Roman"/>
                <w:b/>
                <w:sz w:val="24"/>
                <w:szCs w:val="24"/>
              </w:rPr>
              <w:t>Parallel β-sheet</w:t>
            </w:r>
          </w:p>
        </w:tc>
        <w:tc>
          <w:tcPr>
            <w:tcW w:w="3798" w:type="dxa"/>
          </w:tcPr>
          <w:p w:rsidR="005E571F" w:rsidRDefault="005E571F" w:rsidP="00FC2E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Fonts w:ascii="Times New Roman" w:hAnsi="Times New Roman" w:cs="Times New Roman"/>
                <w:b/>
                <w:sz w:val="24"/>
                <w:szCs w:val="24"/>
              </w:rPr>
            </w:pPr>
            <w:r>
              <w:rPr>
                <w:rFonts w:ascii="Times New Roman" w:hAnsi="Times New Roman" w:cs="Times New Roman"/>
                <w:b/>
                <w:sz w:val="24"/>
                <w:szCs w:val="24"/>
              </w:rPr>
              <w:t>1610 - 1635</w:t>
            </w:r>
          </w:p>
        </w:tc>
      </w:tr>
      <w:tr w:rsidR="005E571F" w:rsidTr="00FC2E89">
        <w:trPr>
          <w:trHeight w:val="690"/>
          <w:jc w:val="center"/>
        </w:trPr>
        <w:tc>
          <w:tcPr>
            <w:tcW w:w="7601" w:type="dxa"/>
            <w:gridSpan w:val="2"/>
          </w:tcPr>
          <w:p w:rsidR="005E571F" w:rsidRDefault="005E571F" w:rsidP="00FC2E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Fonts w:ascii="Times New Roman" w:hAnsi="Times New Roman" w:cs="Times New Roman"/>
                <w:b/>
                <w:sz w:val="24"/>
                <w:szCs w:val="24"/>
              </w:rPr>
            </w:pPr>
            <w:r w:rsidRPr="00FC2E89">
              <w:rPr>
                <w:rFonts w:ascii="Times New Roman" w:hAnsi="Times New Roman" w:cs="Times New Roman"/>
                <w:b/>
                <w:sz w:val="24"/>
                <w:szCs w:val="24"/>
                <w:highlight w:val="lightGray"/>
              </w:rPr>
              <w:t>Beta-shoulder (1665 – 1695)</w:t>
            </w:r>
          </w:p>
        </w:tc>
      </w:tr>
      <w:tr w:rsidR="005E571F" w:rsidTr="00FC2E89">
        <w:trPr>
          <w:trHeight w:val="690"/>
          <w:jc w:val="center"/>
        </w:trPr>
        <w:tc>
          <w:tcPr>
            <w:tcW w:w="3803" w:type="dxa"/>
          </w:tcPr>
          <w:p w:rsidR="005E571F" w:rsidRDefault="005E571F" w:rsidP="00FC2E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Fonts w:ascii="Times New Roman" w:hAnsi="Times New Roman" w:cs="Times New Roman"/>
                <w:b/>
                <w:sz w:val="24"/>
                <w:szCs w:val="24"/>
              </w:rPr>
            </w:pPr>
            <w:r>
              <w:rPr>
                <w:rFonts w:ascii="Times New Roman" w:hAnsi="Times New Roman" w:cs="Times New Roman"/>
                <w:b/>
                <w:sz w:val="24"/>
                <w:szCs w:val="24"/>
              </w:rPr>
              <w:t>β-turn</w:t>
            </w:r>
          </w:p>
        </w:tc>
        <w:tc>
          <w:tcPr>
            <w:tcW w:w="3798" w:type="dxa"/>
          </w:tcPr>
          <w:p w:rsidR="005E571F" w:rsidRDefault="005E571F" w:rsidP="00FC2E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Fonts w:ascii="Times New Roman" w:hAnsi="Times New Roman" w:cs="Times New Roman"/>
                <w:b/>
                <w:sz w:val="24"/>
                <w:szCs w:val="24"/>
              </w:rPr>
            </w:pPr>
            <w:r>
              <w:rPr>
                <w:rFonts w:ascii="Times New Roman" w:hAnsi="Times New Roman" w:cs="Times New Roman"/>
                <w:b/>
                <w:sz w:val="24"/>
                <w:szCs w:val="24"/>
              </w:rPr>
              <w:t>1680</w:t>
            </w:r>
          </w:p>
        </w:tc>
      </w:tr>
      <w:tr w:rsidR="005E571F" w:rsidTr="00FC2E89">
        <w:trPr>
          <w:trHeight w:val="690"/>
          <w:jc w:val="center"/>
        </w:trPr>
        <w:tc>
          <w:tcPr>
            <w:tcW w:w="3803" w:type="dxa"/>
          </w:tcPr>
          <w:p w:rsidR="005E571F" w:rsidRDefault="005E571F" w:rsidP="00FC2E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Fonts w:ascii="Times New Roman" w:hAnsi="Times New Roman" w:cs="Times New Roman"/>
                <w:b/>
                <w:sz w:val="24"/>
                <w:szCs w:val="24"/>
              </w:rPr>
            </w:pPr>
            <w:r>
              <w:rPr>
                <w:rFonts w:ascii="Times New Roman" w:hAnsi="Times New Roman" w:cs="Times New Roman"/>
                <w:b/>
                <w:sz w:val="24"/>
                <w:szCs w:val="24"/>
              </w:rPr>
              <w:t>Anti-parallel β-sheet</w:t>
            </w:r>
          </w:p>
        </w:tc>
        <w:tc>
          <w:tcPr>
            <w:tcW w:w="3798" w:type="dxa"/>
          </w:tcPr>
          <w:p w:rsidR="005E571F" w:rsidRDefault="005E571F" w:rsidP="00FC2E89">
            <w:pPr>
              <w:pStyle w:val="Body"/>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rPr>
                <w:rFonts w:ascii="Times New Roman" w:hAnsi="Times New Roman" w:cs="Times New Roman"/>
                <w:b/>
                <w:sz w:val="24"/>
                <w:szCs w:val="24"/>
              </w:rPr>
            </w:pPr>
            <w:r>
              <w:rPr>
                <w:rFonts w:ascii="Times New Roman" w:hAnsi="Times New Roman" w:cs="Times New Roman"/>
                <w:b/>
                <w:sz w:val="24"/>
                <w:szCs w:val="24"/>
              </w:rPr>
              <w:t>1695</w:t>
            </w:r>
          </w:p>
        </w:tc>
      </w:tr>
    </w:tbl>
    <w:p w:rsidR="005E571F" w:rsidRDefault="005E571F" w:rsidP="000D792B">
      <w:pPr>
        <w:pStyle w:val="Body"/>
        <w:spacing w:line="360" w:lineRule="auto"/>
        <w:ind w:left="360"/>
        <w:jc w:val="both"/>
        <w:rPr>
          <w:rFonts w:ascii="Times New Roman" w:hAnsi="Times New Roman" w:cs="Times New Roman"/>
          <w:b/>
          <w:sz w:val="24"/>
          <w:szCs w:val="24"/>
        </w:rPr>
      </w:pPr>
    </w:p>
    <w:p w:rsidR="00912A64" w:rsidRDefault="00912A64" w:rsidP="000D792B">
      <w:pPr>
        <w:pStyle w:val="Body"/>
        <w:spacing w:line="360" w:lineRule="auto"/>
        <w:ind w:left="360"/>
        <w:jc w:val="both"/>
        <w:rPr>
          <w:rFonts w:ascii="Times New Roman" w:hAnsi="Times New Roman" w:cs="Times New Roman"/>
          <w:b/>
          <w:sz w:val="24"/>
          <w:szCs w:val="24"/>
        </w:rPr>
      </w:pPr>
    </w:p>
    <w:p w:rsidR="00912A64" w:rsidRDefault="00912A64" w:rsidP="000D792B">
      <w:pPr>
        <w:pStyle w:val="Body"/>
        <w:spacing w:line="360" w:lineRule="auto"/>
        <w:ind w:left="360"/>
        <w:jc w:val="both"/>
        <w:rPr>
          <w:rFonts w:ascii="Times New Roman" w:hAnsi="Times New Roman" w:cs="Times New Roman"/>
          <w:b/>
          <w:sz w:val="24"/>
          <w:szCs w:val="24"/>
        </w:rPr>
      </w:pPr>
    </w:p>
    <w:p w:rsidR="00912A64" w:rsidRDefault="00912A64" w:rsidP="00733AF0">
      <w:pPr>
        <w:pStyle w:val="Body"/>
        <w:spacing w:line="360" w:lineRule="auto"/>
        <w:jc w:val="both"/>
        <w:rPr>
          <w:rFonts w:ascii="Times New Roman" w:hAnsi="Times New Roman" w:cs="Times New Roman"/>
          <w:b/>
          <w:sz w:val="24"/>
          <w:szCs w:val="24"/>
        </w:rPr>
      </w:pPr>
    </w:p>
    <w:p w:rsidR="00912A64" w:rsidRDefault="00912A64" w:rsidP="00912A64">
      <w:pPr>
        <w:pStyle w:val="Body"/>
        <w:spacing w:line="360" w:lineRule="auto"/>
        <w:ind w:left="360"/>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Supplementary Table </w:t>
      </w:r>
      <w:r w:rsidR="00910742">
        <w:rPr>
          <w:rFonts w:ascii="Times New Roman" w:hAnsi="Times New Roman" w:cs="Times New Roman"/>
          <w:b/>
          <w:sz w:val="24"/>
          <w:szCs w:val="24"/>
        </w:rPr>
        <w:t>2</w:t>
      </w:r>
      <w:r w:rsidRPr="005E571F">
        <w:rPr>
          <w:rFonts w:ascii="Times New Roman" w:hAnsi="Times New Roman" w:cs="Times New Roman"/>
          <w:b/>
          <w:sz w:val="24"/>
          <w:szCs w:val="24"/>
        </w:rPr>
        <w:t>.</w:t>
      </w:r>
      <w:r>
        <w:rPr>
          <w:rFonts w:ascii="Times New Roman" w:hAnsi="Times New Roman" w:cs="Times New Roman"/>
          <w:b/>
          <w:sz w:val="24"/>
          <w:szCs w:val="24"/>
        </w:rPr>
        <w:t xml:space="preserve"> </w:t>
      </w:r>
      <w:r w:rsidR="00733AF0" w:rsidRPr="00733AF0">
        <w:rPr>
          <w:rFonts w:ascii="Times New Roman" w:hAnsi="Times New Roman" w:cs="Times New Roman"/>
          <w:b/>
          <w:sz w:val="24"/>
          <w:szCs w:val="24"/>
        </w:rPr>
        <w:t>Secondary structure compositions (%) of lysozyme during fibrillation as elucidated from CD spectral data (deconvulated by CONTIN analysis program on dichroweb).</w:t>
      </w:r>
    </w:p>
    <w:p w:rsidR="00912A64" w:rsidRDefault="00912A64" w:rsidP="00912A64">
      <w:pPr>
        <w:pStyle w:val="Body"/>
        <w:spacing w:line="360" w:lineRule="auto"/>
        <w:ind w:left="360"/>
        <w:jc w:val="both"/>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1802"/>
        <w:gridCol w:w="1802"/>
        <w:gridCol w:w="1802"/>
        <w:gridCol w:w="1802"/>
        <w:gridCol w:w="1802"/>
      </w:tblGrid>
      <w:tr w:rsidR="00733AF0" w:rsidTr="00760105">
        <w:tc>
          <w:tcPr>
            <w:tcW w:w="1802" w:type="dxa"/>
          </w:tcPr>
          <w:p w:rsidR="00733AF0"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b/>
                <w:sz w:val="24"/>
                <w:szCs w:val="24"/>
              </w:rPr>
            </w:pPr>
            <w:r>
              <w:rPr>
                <w:rFonts w:ascii="Times New Roman" w:hAnsi="Times New Roman" w:cs="Times New Roman"/>
                <w:b/>
                <w:sz w:val="24"/>
                <w:szCs w:val="24"/>
              </w:rPr>
              <w:t>Days</w:t>
            </w:r>
          </w:p>
        </w:tc>
        <w:tc>
          <w:tcPr>
            <w:tcW w:w="1802" w:type="dxa"/>
          </w:tcPr>
          <w:p w:rsidR="00733AF0"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b/>
                <w:sz w:val="24"/>
                <w:szCs w:val="24"/>
              </w:rPr>
            </w:pPr>
            <w:r>
              <w:rPr>
                <w:rFonts w:ascii="Times New Roman" w:hAnsi="Times New Roman" w:cs="Times New Roman"/>
                <w:b/>
                <w:sz w:val="24"/>
                <w:szCs w:val="24"/>
              </w:rPr>
              <w:t>α-helices</w:t>
            </w:r>
          </w:p>
        </w:tc>
        <w:tc>
          <w:tcPr>
            <w:tcW w:w="1802" w:type="dxa"/>
          </w:tcPr>
          <w:p w:rsidR="00733AF0"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b/>
                <w:sz w:val="24"/>
                <w:szCs w:val="24"/>
              </w:rPr>
            </w:pPr>
            <w:r>
              <w:rPr>
                <w:rFonts w:ascii="Times New Roman" w:hAnsi="Times New Roman" w:cs="Times New Roman"/>
                <w:b/>
                <w:sz w:val="24"/>
                <w:szCs w:val="24"/>
              </w:rPr>
              <w:t>β-sheet</w:t>
            </w:r>
          </w:p>
        </w:tc>
        <w:tc>
          <w:tcPr>
            <w:tcW w:w="1802" w:type="dxa"/>
          </w:tcPr>
          <w:p w:rsidR="00733AF0"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b/>
                <w:sz w:val="24"/>
                <w:szCs w:val="24"/>
              </w:rPr>
            </w:pPr>
            <w:r>
              <w:rPr>
                <w:rFonts w:ascii="Times New Roman" w:hAnsi="Times New Roman" w:cs="Times New Roman"/>
                <w:b/>
                <w:sz w:val="24"/>
                <w:szCs w:val="24"/>
              </w:rPr>
              <w:t>Turn</w:t>
            </w:r>
          </w:p>
        </w:tc>
        <w:tc>
          <w:tcPr>
            <w:tcW w:w="1802" w:type="dxa"/>
          </w:tcPr>
          <w:p w:rsidR="00733AF0"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b/>
                <w:sz w:val="24"/>
                <w:szCs w:val="24"/>
              </w:rPr>
            </w:pPr>
            <w:r>
              <w:rPr>
                <w:rFonts w:ascii="Times New Roman" w:hAnsi="Times New Roman" w:cs="Times New Roman"/>
                <w:b/>
                <w:sz w:val="24"/>
                <w:szCs w:val="24"/>
              </w:rPr>
              <w:t>Random coil</w:t>
            </w:r>
          </w:p>
        </w:tc>
      </w:tr>
      <w:tr w:rsidR="00733AF0" w:rsidTr="00760105">
        <w:tc>
          <w:tcPr>
            <w:tcW w:w="1802" w:type="dxa"/>
          </w:tcPr>
          <w:p w:rsidR="00733AF0"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b/>
                <w:sz w:val="24"/>
                <w:szCs w:val="24"/>
              </w:rPr>
            </w:pPr>
            <w:r>
              <w:rPr>
                <w:rFonts w:ascii="Times New Roman" w:hAnsi="Times New Roman" w:cs="Times New Roman"/>
                <w:b/>
                <w:sz w:val="24"/>
                <w:szCs w:val="24"/>
              </w:rPr>
              <w:t>0</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Pr>
                <w:rFonts w:ascii="Times New Roman" w:hAnsi="Times New Roman" w:cs="Times New Roman"/>
                <w:sz w:val="24"/>
                <w:szCs w:val="24"/>
              </w:rPr>
              <w:t>20.6</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Pr>
                <w:rFonts w:ascii="Times New Roman" w:hAnsi="Times New Roman" w:cs="Times New Roman"/>
                <w:sz w:val="24"/>
                <w:szCs w:val="24"/>
              </w:rPr>
              <w:t>21.1</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Pr>
                <w:rFonts w:ascii="Times New Roman" w:hAnsi="Times New Roman" w:cs="Times New Roman"/>
                <w:sz w:val="24"/>
                <w:szCs w:val="24"/>
              </w:rPr>
              <w:t>14.3</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Pr>
                <w:rFonts w:ascii="Times New Roman" w:hAnsi="Times New Roman" w:cs="Times New Roman"/>
                <w:sz w:val="24"/>
                <w:szCs w:val="24"/>
              </w:rPr>
              <w:t>44.0</w:t>
            </w:r>
          </w:p>
        </w:tc>
      </w:tr>
      <w:tr w:rsidR="00733AF0" w:rsidTr="00760105">
        <w:tc>
          <w:tcPr>
            <w:tcW w:w="1802" w:type="dxa"/>
          </w:tcPr>
          <w:p w:rsidR="00733AF0"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b/>
                <w:sz w:val="24"/>
                <w:szCs w:val="24"/>
              </w:rPr>
            </w:pPr>
            <w:r>
              <w:rPr>
                <w:rFonts w:ascii="Times New Roman" w:hAnsi="Times New Roman" w:cs="Times New Roman"/>
                <w:b/>
                <w:sz w:val="24"/>
                <w:szCs w:val="24"/>
              </w:rPr>
              <w:t>1</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Pr>
                <w:rFonts w:ascii="Times New Roman" w:hAnsi="Times New Roman" w:cs="Times New Roman"/>
                <w:sz w:val="24"/>
                <w:szCs w:val="24"/>
              </w:rPr>
              <w:t>12.7</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Pr>
                <w:rFonts w:ascii="Times New Roman" w:hAnsi="Times New Roman" w:cs="Times New Roman"/>
                <w:sz w:val="24"/>
                <w:szCs w:val="24"/>
              </w:rPr>
              <w:t>23.1</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Pr>
                <w:rFonts w:ascii="Times New Roman" w:hAnsi="Times New Roman" w:cs="Times New Roman"/>
                <w:sz w:val="24"/>
                <w:szCs w:val="24"/>
              </w:rPr>
              <w:t>14.1</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Pr>
                <w:rFonts w:ascii="Times New Roman" w:hAnsi="Times New Roman" w:cs="Times New Roman"/>
                <w:sz w:val="24"/>
                <w:szCs w:val="24"/>
              </w:rPr>
              <w:t>50.1</w:t>
            </w:r>
          </w:p>
        </w:tc>
      </w:tr>
      <w:tr w:rsidR="00733AF0" w:rsidTr="00760105">
        <w:tc>
          <w:tcPr>
            <w:tcW w:w="1802" w:type="dxa"/>
          </w:tcPr>
          <w:p w:rsidR="00733AF0"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b/>
                <w:sz w:val="24"/>
                <w:szCs w:val="24"/>
              </w:rPr>
            </w:pPr>
            <w:r>
              <w:rPr>
                <w:rFonts w:ascii="Times New Roman" w:hAnsi="Times New Roman" w:cs="Times New Roman"/>
                <w:b/>
                <w:sz w:val="24"/>
                <w:szCs w:val="24"/>
              </w:rPr>
              <w:t>3</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Pr>
                <w:rFonts w:ascii="Times New Roman" w:hAnsi="Times New Roman" w:cs="Times New Roman"/>
                <w:sz w:val="24"/>
                <w:szCs w:val="24"/>
              </w:rPr>
              <w:t>6.2</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Pr>
                <w:rFonts w:ascii="Times New Roman" w:hAnsi="Times New Roman" w:cs="Times New Roman"/>
                <w:sz w:val="24"/>
                <w:szCs w:val="24"/>
              </w:rPr>
              <w:t>23.3</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Pr>
                <w:rFonts w:ascii="Times New Roman" w:hAnsi="Times New Roman" w:cs="Times New Roman"/>
                <w:sz w:val="24"/>
                <w:szCs w:val="24"/>
              </w:rPr>
              <w:t>15.4</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Pr>
                <w:rFonts w:ascii="Times New Roman" w:hAnsi="Times New Roman" w:cs="Times New Roman"/>
                <w:sz w:val="24"/>
                <w:szCs w:val="24"/>
              </w:rPr>
              <w:t>55.1</w:t>
            </w:r>
          </w:p>
        </w:tc>
      </w:tr>
      <w:tr w:rsidR="00733AF0" w:rsidTr="00760105">
        <w:tc>
          <w:tcPr>
            <w:tcW w:w="1802" w:type="dxa"/>
          </w:tcPr>
          <w:p w:rsidR="00733AF0"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b/>
                <w:sz w:val="24"/>
                <w:szCs w:val="24"/>
              </w:rPr>
            </w:pPr>
            <w:r>
              <w:rPr>
                <w:rFonts w:ascii="Times New Roman" w:hAnsi="Times New Roman" w:cs="Times New Roman"/>
                <w:b/>
                <w:sz w:val="24"/>
                <w:szCs w:val="24"/>
              </w:rPr>
              <w:t>6</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Pr>
                <w:rFonts w:ascii="Times New Roman" w:hAnsi="Times New Roman" w:cs="Times New Roman"/>
                <w:sz w:val="24"/>
                <w:szCs w:val="24"/>
              </w:rPr>
              <w:t>4.7</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Pr>
                <w:rFonts w:ascii="Times New Roman" w:hAnsi="Times New Roman" w:cs="Times New Roman"/>
                <w:sz w:val="24"/>
                <w:szCs w:val="24"/>
              </w:rPr>
              <w:t>28.9</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Pr>
                <w:rFonts w:ascii="Times New Roman" w:hAnsi="Times New Roman" w:cs="Times New Roman"/>
                <w:sz w:val="24"/>
                <w:szCs w:val="24"/>
              </w:rPr>
              <w:t>22.3</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Pr>
                <w:rFonts w:ascii="Times New Roman" w:hAnsi="Times New Roman" w:cs="Times New Roman"/>
                <w:sz w:val="24"/>
                <w:szCs w:val="24"/>
              </w:rPr>
              <w:t>44.1</w:t>
            </w:r>
          </w:p>
        </w:tc>
      </w:tr>
      <w:tr w:rsidR="00733AF0" w:rsidTr="00760105">
        <w:tc>
          <w:tcPr>
            <w:tcW w:w="1802" w:type="dxa"/>
          </w:tcPr>
          <w:p w:rsidR="00733AF0"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b/>
                <w:sz w:val="24"/>
                <w:szCs w:val="24"/>
              </w:rPr>
            </w:pPr>
            <w:r>
              <w:rPr>
                <w:rFonts w:ascii="Times New Roman" w:hAnsi="Times New Roman" w:cs="Times New Roman"/>
                <w:b/>
                <w:sz w:val="24"/>
                <w:szCs w:val="24"/>
              </w:rPr>
              <w:t>10</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Pr>
                <w:rFonts w:ascii="Times New Roman" w:hAnsi="Times New Roman" w:cs="Times New Roman"/>
                <w:sz w:val="24"/>
                <w:szCs w:val="24"/>
              </w:rPr>
              <w:t>4.6</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Pr>
                <w:rFonts w:ascii="Times New Roman" w:hAnsi="Times New Roman" w:cs="Times New Roman"/>
                <w:sz w:val="24"/>
                <w:szCs w:val="24"/>
              </w:rPr>
              <w:t>27.6</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sidRPr="00BD2C04">
              <w:rPr>
                <w:rFonts w:ascii="Times New Roman" w:hAnsi="Times New Roman" w:cs="Times New Roman"/>
                <w:sz w:val="24"/>
                <w:szCs w:val="24"/>
              </w:rPr>
              <w:t>22.</w:t>
            </w:r>
            <w:r>
              <w:rPr>
                <w:rFonts w:ascii="Times New Roman" w:hAnsi="Times New Roman" w:cs="Times New Roman"/>
                <w:sz w:val="24"/>
                <w:szCs w:val="24"/>
              </w:rPr>
              <w:t>3</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sidRPr="00BD2C04">
              <w:rPr>
                <w:rFonts w:ascii="Times New Roman" w:hAnsi="Times New Roman" w:cs="Times New Roman"/>
                <w:sz w:val="24"/>
                <w:szCs w:val="24"/>
              </w:rPr>
              <w:t>4</w:t>
            </w:r>
            <w:r>
              <w:rPr>
                <w:rFonts w:ascii="Times New Roman" w:hAnsi="Times New Roman" w:cs="Times New Roman"/>
                <w:sz w:val="24"/>
                <w:szCs w:val="24"/>
              </w:rPr>
              <w:t>5.5</w:t>
            </w:r>
          </w:p>
        </w:tc>
      </w:tr>
      <w:tr w:rsidR="00733AF0" w:rsidTr="00760105">
        <w:tc>
          <w:tcPr>
            <w:tcW w:w="1802" w:type="dxa"/>
          </w:tcPr>
          <w:p w:rsidR="00733AF0"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b/>
                <w:sz w:val="24"/>
                <w:szCs w:val="24"/>
              </w:rPr>
            </w:pPr>
            <w:r>
              <w:rPr>
                <w:rFonts w:ascii="Times New Roman" w:hAnsi="Times New Roman" w:cs="Times New Roman"/>
                <w:b/>
                <w:sz w:val="24"/>
                <w:szCs w:val="24"/>
              </w:rPr>
              <w:t>21</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Pr>
                <w:rFonts w:ascii="Times New Roman" w:hAnsi="Times New Roman" w:cs="Times New Roman"/>
                <w:sz w:val="24"/>
                <w:szCs w:val="24"/>
              </w:rPr>
              <w:t>4.0</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Pr>
                <w:rFonts w:ascii="Times New Roman" w:hAnsi="Times New Roman" w:cs="Times New Roman"/>
                <w:sz w:val="24"/>
                <w:szCs w:val="24"/>
              </w:rPr>
              <w:t>34.4</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Pr>
                <w:rFonts w:ascii="Times New Roman" w:hAnsi="Times New Roman" w:cs="Times New Roman"/>
                <w:sz w:val="24"/>
                <w:szCs w:val="24"/>
              </w:rPr>
              <w:t>15.7</w:t>
            </w:r>
          </w:p>
        </w:tc>
        <w:tc>
          <w:tcPr>
            <w:tcW w:w="1802" w:type="dxa"/>
          </w:tcPr>
          <w:p w:rsidR="00733AF0" w:rsidRPr="00BD2C04" w:rsidRDefault="00733AF0" w:rsidP="00760105">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Times New Roman" w:hAnsi="Times New Roman" w:cs="Times New Roman"/>
                <w:sz w:val="24"/>
                <w:szCs w:val="24"/>
              </w:rPr>
            </w:pPr>
            <w:r>
              <w:rPr>
                <w:rFonts w:ascii="Times New Roman" w:hAnsi="Times New Roman" w:cs="Times New Roman"/>
                <w:sz w:val="24"/>
                <w:szCs w:val="24"/>
              </w:rPr>
              <w:t>45.9</w:t>
            </w:r>
          </w:p>
        </w:tc>
      </w:tr>
    </w:tbl>
    <w:p w:rsidR="005E571F" w:rsidRPr="00984B65" w:rsidRDefault="005E571F" w:rsidP="000D792B">
      <w:pPr>
        <w:pStyle w:val="Body"/>
        <w:spacing w:line="360" w:lineRule="auto"/>
        <w:ind w:left="360"/>
        <w:jc w:val="both"/>
        <w:rPr>
          <w:rFonts w:ascii="Times New Roman" w:hAnsi="Times New Roman" w:cs="Times New Roman"/>
          <w:sz w:val="24"/>
          <w:szCs w:val="24"/>
        </w:rPr>
      </w:pPr>
    </w:p>
    <w:sectPr w:rsidR="005E571F" w:rsidRPr="00984B65">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612" w:rsidRDefault="00F94612">
      <w:r>
        <w:separator/>
      </w:r>
    </w:p>
  </w:endnote>
  <w:endnote w:type="continuationSeparator" w:id="0">
    <w:p w:rsidR="00F94612" w:rsidRDefault="00F94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useo Sans 300">
    <w:altName w:val="Times New Roman"/>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612" w:rsidRDefault="00F94612">
      <w:r>
        <w:separator/>
      </w:r>
    </w:p>
  </w:footnote>
  <w:footnote w:type="continuationSeparator" w:id="0">
    <w:p w:rsidR="00F94612" w:rsidRDefault="00F946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3C0C72"/>
    <w:multiLevelType w:val="hybridMultilevel"/>
    <w:tmpl w:val="F87E97E0"/>
    <w:lvl w:ilvl="0" w:tplc="C4B298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176"/>
    <w:rsid w:val="000219BE"/>
    <w:rsid w:val="0002205B"/>
    <w:rsid w:val="000224E5"/>
    <w:rsid w:val="00031DE5"/>
    <w:rsid w:val="00037D90"/>
    <w:rsid w:val="00044CCC"/>
    <w:rsid w:val="00047D84"/>
    <w:rsid w:val="00056601"/>
    <w:rsid w:val="000568EB"/>
    <w:rsid w:val="000606E5"/>
    <w:rsid w:val="00087132"/>
    <w:rsid w:val="00096AEB"/>
    <w:rsid w:val="000A3884"/>
    <w:rsid w:val="000B520E"/>
    <w:rsid w:val="000C4548"/>
    <w:rsid w:val="000C6049"/>
    <w:rsid w:val="000D5107"/>
    <w:rsid w:val="000D6E30"/>
    <w:rsid w:val="000D792B"/>
    <w:rsid w:val="000E7CAD"/>
    <w:rsid w:val="00103055"/>
    <w:rsid w:val="00111B0D"/>
    <w:rsid w:val="00123E50"/>
    <w:rsid w:val="00135C21"/>
    <w:rsid w:val="00145BAA"/>
    <w:rsid w:val="001610A2"/>
    <w:rsid w:val="00162118"/>
    <w:rsid w:val="00173DFC"/>
    <w:rsid w:val="00175022"/>
    <w:rsid w:val="0018384A"/>
    <w:rsid w:val="001A7DBE"/>
    <w:rsid w:val="001B08EA"/>
    <w:rsid w:val="001C2392"/>
    <w:rsid w:val="001D1901"/>
    <w:rsid w:val="001F459D"/>
    <w:rsid w:val="0020473F"/>
    <w:rsid w:val="002121EE"/>
    <w:rsid w:val="00220740"/>
    <w:rsid w:val="00224F13"/>
    <w:rsid w:val="00234CE0"/>
    <w:rsid w:val="002752BE"/>
    <w:rsid w:val="00284A64"/>
    <w:rsid w:val="00291FE6"/>
    <w:rsid w:val="00295E18"/>
    <w:rsid w:val="002B134C"/>
    <w:rsid w:val="002B1824"/>
    <w:rsid w:val="002B5DCD"/>
    <w:rsid w:val="002C3427"/>
    <w:rsid w:val="002E3424"/>
    <w:rsid w:val="002E5CBA"/>
    <w:rsid w:val="002F00C7"/>
    <w:rsid w:val="002F7881"/>
    <w:rsid w:val="0031096B"/>
    <w:rsid w:val="00321DCE"/>
    <w:rsid w:val="00330264"/>
    <w:rsid w:val="00335915"/>
    <w:rsid w:val="00361F63"/>
    <w:rsid w:val="003708EB"/>
    <w:rsid w:val="0037248C"/>
    <w:rsid w:val="00373855"/>
    <w:rsid w:val="00375DCF"/>
    <w:rsid w:val="00390F5F"/>
    <w:rsid w:val="00395205"/>
    <w:rsid w:val="003C730E"/>
    <w:rsid w:val="00410072"/>
    <w:rsid w:val="004122D6"/>
    <w:rsid w:val="0042098E"/>
    <w:rsid w:val="0043466D"/>
    <w:rsid w:val="004436BC"/>
    <w:rsid w:val="00446C64"/>
    <w:rsid w:val="0045797B"/>
    <w:rsid w:val="004710A1"/>
    <w:rsid w:val="00472B02"/>
    <w:rsid w:val="004821D2"/>
    <w:rsid w:val="00487918"/>
    <w:rsid w:val="004A30EC"/>
    <w:rsid w:val="004A3CDE"/>
    <w:rsid w:val="004A60E7"/>
    <w:rsid w:val="004C1A6A"/>
    <w:rsid w:val="004C6DD5"/>
    <w:rsid w:val="004D01F2"/>
    <w:rsid w:val="004D34E1"/>
    <w:rsid w:val="00511628"/>
    <w:rsid w:val="005153F9"/>
    <w:rsid w:val="005260B1"/>
    <w:rsid w:val="005635CE"/>
    <w:rsid w:val="00575F74"/>
    <w:rsid w:val="005863EB"/>
    <w:rsid w:val="005A7CA4"/>
    <w:rsid w:val="005B33F7"/>
    <w:rsid w:val="005D4A3B"/>
    <w:rsid w:val="005D4F0C"/>
    <w:rsid w:val="005E571F"/>
    <w:rsid w:val="005E59FD"/>
    <w:rsid w:val="00602ABF"/>
    <w:rsid w:val="006220BB"/>
    <w:rsid w:val="00634DBF"/>
    <w:rsid w:val="00644BB7"/>
    <w:rsid w:val="00654970"/>
    <w:rsid w:val="00663EAE"/>
    <w:rsid w:val="00681F2C"/>
    <w:rsid w:val="006847F4"/>
    <w:rsid w:val="00686F6D"/>
    <w:rsid w:val="00697B57"/>
    <w:rsid w:val="006B3154"/>
    <w:rsid w:val="006D2B9C"/>
    <w:rsid w:val="006D4E4B"/>
    <w:rsid w:val="006E6F05"/>
    <w:rsid w:val="006E71D0"/>
    <w:rsid w:val="006F4C83"/>
    <w:rsid w:val="00704522"/>
    <w:rsid w:val="00730ECE"/>
    <w:rsid w:val="00731D94"/>
    <w:rsid w:val="00733AF0"/>
    <w:rsid w:val="00737219"/>
    <w:rsid w:val="007666CB"/>
    <w:rsid w:val="0077268C"/>
    <w:rsid w:val="00772DF6"/>
    <w:rsid w:val="00780294"/>
    <w:rsid w:val="00782630"/>
    <w:rsid w:val="00790BE9"/>
    <w:rsid w:val="0079242D"/>
    <w:rsid w:val="007A5A83"/>
    <w:rsid w:val="007D3D0D"/>
    <w:rsid w:val="007E3826"/>
    <w:rsid w:val="007F37A0"/>
    <w:rsid w:val="00803A4D"/>
    <w:rsid w:val="008060BC"/>
    <w:rsid w:val="008073EA"/>
    <w:rsid w:val="008162C4"/>
    <w:rsid w:val="00860535"/>
    <w:rsid w:val="00863C20"/>
    <w:rsid w:val="008B0317"/>
    <w:rsid w:val="008B679B"/>
    <w:rsid w:val="008E6CDF"/>
    <w:rsid w:val="008F23E1"/>
    <w:rsid w:val="009024A8"/>
    <w:rsid w:val="00904369"/>
    <w:rsid w:val="00910742"/>
    <w:rsid w:val="00912A64"/>
    <w:rsid w:val="00912EA2"/>
    <w:rsid w:val="009305AE"/>
    <w:rsid w:val="009527C5"/>
    <w:rsid w:val="00956DF5"/>
    <w:rsid w:val="009627B3"/>
    <w:rsid w:val="00984B65"/>
    <w:rsid w:val="0098614E"/>
    <w:rsid w:val="009909D0"/>
    <w:rsid w:val="00994977"/>
    <w:rsid w:val="009B203D"/>
    <w:rsid w:val="009B75D7"/>
    <w:rsid w:val="009C3D3E"/>
    <w:rsid w:val="009E3958"/>
    <w:rsid w:val="00A10307"/>
    <w:rsid w:val="00A173E0"/>
    <w:rsid w:val="00A23BC7"/>
    <w:rsid w:val="00A33BC5"/>
    <w:rsid w:val="00A46D0A"/>
    <w:rsid w:val="00A55FFD"/>
    <w:rsid w:val="00A571E7"/>
    <w:rsid w:val="00A57509"/>
    <w:rsid w:val="00A66207"/>
    <w:rsid w:val="00A74BEC"/>
    <w:rsid w:val="00A862C5"/>
    <w:rsid w:val="00A8685D"/>
    <w:rsid w:val="00AA626D"/>
    <w:rsid w:val="00AB140C"/>
    <w:rsid w:val="00AB153A"/>
    <w:rsid w:val="00AB290F"/>
    <w:rsid w:val="00AB60A9"/>
    <w:rsid w:val="00AC3497"/>
    <w:rsid w:val="00AC63F0"/>
    <w:rsid w:val="00AD665C"/>
    <w:rsid w:val="00AD766D"/>
    <w:rsid w:val="00AE474E"/>
    <w:rsid w:val="00AF7372"/>
    <w:rsid w:val="00B26155"/>
    <w:rsid w:val="00B30BCF"/>
    <w:rsid w:val="00B37009"/>
    <w:rsid w:val="00B43A1C"/>
    <w:rsid w:val="00B615CD"/>
    <w:rsid w:val="00B670C4"/>
    <w:rsid w:val="00B73E88"/>
    <w:rsid w:val="00B91CCA"/>
    <w:rsid w:val="00BA0178"/>
    <w:rsid w:val="00BA77C4"/>
    <w:rsid w:val="00BB4D20"/>
    <w:rsid w:val="00BD01A0"/>
    <w:rsid w:val="00BD2C04"/>
    <w:rsid w:val="00BD3BD0"/>
    <w:rsid w:val="00BF24B3"/>
    <w:rsid w:val="00C06478"/>
    <w:rsid w:val="00C31582"/>
    <w:rsid w:val="00C316FD"/>
    <w:rsid w:val="00C42BFB"/>
    <w:rsid w:val="00C464CD"/>
    <w:rsid w:val="00C51FD1"/>
    <w:rsid w:val="00C557D2"/>
    <w:rsid w:val="00C56262"/>
    <w:rsid w:val="00C675D7"/>
    <w:rsid w:val="00C67AA2"/>
    <w:rsid w:val="00C82443"/>
    <w:rsid w:val="00C8419A"/>
    <w:rsid w:val="00C944F6"/>
    <w:rsid w:val="00CA6E37"/>
    <w:rsid w:val="00CC70EE"/>
    <w:rsid w:val="00CC76A1"/>
    <w:rsid w:val="00CD122B"/>
    <w:rsid w:val="00CD2FF8"/>
    <w:rsid w:val="00CE5A76"/>
    <w:rsid w:val="00D060CE"/>
    <w:rsid w:val="00D202A9"/>
    <w:rsid w:val="00D25A04"/>
    <w:rsid w:val="00D4428F"/>
    <w:rsid w:val="00D8451E"/>
    <w:rsid w:val="00DA0260"/>
    <w:rsid w:val="00DA6EB1"/>
    <w:rsid w:val="00DB45BB"/>
    <w:rsid w:val="00DC21BD"/>
    <w:rsid w:val="00DC68A6"/>
    <w:rsid w:val="00DD0CAB"/>
    <w:rsid w:val="00DD28F3"/>
    <w:rsid w:val="00DD54E0"/>
    <w:rsid w:val="00DE5E86"/>
    <w:rsid w:val="00DF4BCC"/>
    <w:rsid w:val="00E00ECF"/>
    <w:rsid w:val="00E041DF"/>
    <w:rsid w:val="00E04EBA"/>
    <w:rsid w:val="00E06176"/>
    <w:rsid w:val="00E107EC"/>
    <w:rsid w:val="00E12A11"/>
    <w:rsid w:val="00E4030D"/>
    <w:rsid w:val="00E44500"/>
    <w:rsid w:val="00E445F1"/>
    <w:rsid w:val="00E51DE3"/>
    <w:rsid w:val="00E53E45"/>
    <w:rsid w:val="00E53EE1"/>
    <w:rsid w:val="00E77D75"/>
    <w:rsid w:val="00E80126"/>
    <w:rsid w:val="00E81AF4"/>
    <w:rsid w:val="00E84B96"/>
    <w:rsid w:val="00EB19DF"/>
    <w:rsid w:val="00ED4DB8"/>
    <w:rsid w:val="00EE2162"/>
    <w:rsid w:val="00F01548"/>
    <w:rsid w:val="00F10E11"/>
    <w:rsid w:val="00F14A09"/>
    <w:rsid w:val="00F22271"/>
    <w:rsid w:val="00F25B6F"/>
    <w:rsid w:val="00F31AD8"/>
    <w:rsid w:val="00F4086C"/>
    <w:rsid w:val="00F42CFE"/>
    <w:rsid w:val="00F610D0"/>
    <w:rsid w:val="00F746D0"/>
    <w:rsid w:val="00F8100F"/>
    <w:rsid w:val="00F87266"/>
    <w:rsid w:val="00F94612"/>
    <w:rsid w:val="00F969FE"/>
    <w:rsid w:val="00F96DBA"/>
    <w:rsid w:val="00FA384A"/>
    <w:rsid w:val="00FB40B4"/>
    <w:rsid w:val="00FB5ACA"/>
    <w:rsid w:val="00FC19B0"/>
    <w:rsid w:val="00FC2E89"/>
    <w:rsid w:val="00FD35E3"/>
    <w:rsid w:val="00FD5D1B"/>
    <w:rsid w:val="00FE173C"/>
    <w:rsid w:val="00FE4819"/>
    <w:rsid w:val="00FF3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5FB523"/>
  <w15:docId w15:val="{6F1E5DE7-0143-46B2-9FF4-6DACB59D4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qFormat/>
    <w:pPr>
      <w:spacing w:after="200" w:line="276" w:lineRule="auto"/>
    </w:pPr>
    <w:rPr>
      <w:rFonts w:ascii="Calibri" w:eastAsia="Calibri" w:hAnsi="Calibri" w:cs="Calibri"/>
      <w:color w:val="000000"/>
      <w:sz w:val="22"/>
      <w:szCs w:val="22"/>
      <w:u w:color="000000"/>
    </w:rPr>
  </w:style>
  <w:style w:type="character" w:customStyle="1" w:styleId="highlight">
    <w:name w:val="highlight"/>
    <w:rPr>
      <w:lang w:val="en-US"/>
    </w:rPr>
  </w:style>
  <w:style w:type="paragraph" w:styleId="HTMLPreformatted">
    <w:name w:val="HTML Preformatt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Arial Unicode MS"/>
      <w:color w:val="000000"/>
      <w:u w:color="000000"/>
    </w:rPr>
  </w:style>
  <w:style w:type="character" w:customStyle="1" w:styleId="Link">
    <w:name w:val="Link"/>
    <w:rPr>
      <w:color w:val="0000FF"/>
      <w:u w:val="single" w:color="0000FF"/>
    </w:rPr>
  </w:style>
  <w:style w:type="character" w:customStyle="1" w:styleId="Hyperlink0">
    <w:name w:val="Hyperlink.0"/>
    <w:basedOn w:val="Link"/>
    <w:rPr>
      <w:rFonts w:ascii="Times New Roman" w:eastAsia="Times New Roman" w:hAnsi="Times New Roman" w:cs="Times New Roman"/>
      <w:color w:val="000000"/>
      <w:sz w:val="24"/>
      <w:szCs w:val="24"/>
      <w:u w:val="single" w:color="000000"/>
    </w:rPr>
  </w:style>
  <w:style w:type="table" w:styleId="TableGrid">
    <w:name w:val="Table Grid"/>
    <w:basedOn w:val="TableNormal"/>
    <w:uiPriority w:val="39"/>
    <w:rsid w:val="006F4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DC68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3">
    <w:name w:val="A3"/>
    <w:uiPriority w:val="99"/>
    <w:qFormat/>
    <w:rsid w:val="00F969FE"/>
    <w:rPr>
      <w:rFonts w:cs="Museo Sans 300"/>
      <w:color w:val="000000"/>
      <w:sz w:val="60"/>
      <w:szCs w:val="60"/>
    </w:rPr>
  </w:style>
  <w:style w:type="paragraph" w:styleId="BalloonText">
    <w:name w:val="Balloon Text"/>
    <w:basedOn w:val="Normal"/>
    <w:link w:val="BalloonTextChar"/>
    <w:uiPriority w:val="99"/>
    <w:semiHidden/>
    <w:unhideWhenUsed/>
    <w:rsid w:val="003952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52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2195414">
      <w:bodyDiv w:val="1"/>
      <w:marLeft w:val="0"/>
      <w:marRight w:val="0"/>
      <w:marTop w:val="0"/>
      <w:marBottom w:val="0"/>
      <w:divBdr>
        <w:top w:val="none" w:sz="0" w:space="0" w:color="auto"/>
        <w:left w:val="none" w:sz="0" w:space="0" w:color="auto"/>
        <w:bottom w:val="none" w:sz="0" w:space="0" w:color="auto"/>
        <w:right w:val="none" w:sz="0" w:space="0" w:color="auto"/>
      </w:divBdr>
      <w:divsChild>
        <w:div w:id="272372626">
          <w:marLeft w:val="0"/>
          <w:marRight w:val="0"/>
          <w:marTop w:val="0"/>
          <w:marBottom w:val="0"/>
          <w:divBdr>
            <w:top w:val="none" w:sz="0" w:space="0" w:color="auto"/>
            <w:left w:val="none" w:sz="0" w:space="0" w:color="auto"/>
            <w:bottom w:val="none" w:sz="0" w:space="0" w:color="auto"/>
            <w:right w:val="none" w:sz="0" w:space="0" w:color="auto"/>
          </w:divBdr>
        </w:div>
        <w:div w:id="1306470788">
          <w:marLeft w:val="0"/>
          <w:marRight w:val="0"/>
          <w:marTop w:val="0"/>
          <w:marBottom w:val="0"/>
          <w:divBdr>
            <w:top w:val="none" w:sz="0" w:space="0" w:color="auto"/>
            <w:left w:val="none" w:sz="0" w:space="0" w:color="auto"/>
            <w:bottom w:val="none" w:sz="0" w:space="0" w:color="auto"/>
            <w:right w:val="none" w:sz="0" w:space="0" w:color="auto"/>
          </w:divBdr>
        </w:div>
        <w:div w:id="1004934742">
          <w:marLeft w:val="0"/>
          <w:marRight w:val="0"/>
          <w:marTop w:val="0"/>
          <w:marBottom w:val="0"/>
          <w:divBdr>
            <w:top w:val="none" w:sz="0" w:space="0" w:color="auto"/>
            <w:left w:val="none" w:sz="0" w:space="0" w:color="auto"/>
            <w:bottom w:val="none" w:sz="0" w:space="0" w:color="auto"/>
            <w:right w:val="none" w:sz="0" w:space="0" w:color="auto"/>
          </w:divBdr>
        </w:div>
        <w:div w:id="1869414511">
          <w:marLeft w:val="0"/>
          <w:marRight w:val="0"/>
          <w:marTop w:val="0"/>
          <w:marBottom w:val="0"/>
          <w:divBdr>
            <w:top w:val="none" w:sz="0" w:space="0" w:color="auto"/>
            <w:left w:val="none" w:sz="0" w:space="0" w:color="auto"/>
            <w:bottom w:val="none" w:sz="0" w:space="0" w:color="auto"/>
            <w:right w:val="none" w:sz="0" w:space="0" w:color="auto"/>
          </w:divBdr>
        </w:div>
        <w:div w:id="503056066">
          <w:marLeft w:val="0"/>
          <w:marRight w:val="0"/>
          <w:marTop w:val="0"/>
          <w:marBottom w:val="0"/>
          <w:divBdr>
            <w:top w:val="none" w:sz="0" w:space="0" w:color="auto"/>
            <w:left w:val="none" w:sz="0" w:space="0" w:color="auto"/>
            <w:bottom w:val="none" w:sz="0" w:space="0" w:color="auto"/>
            <w:right w:val="none" w:sz="0" w:space="0" w:color="auto"/>
          </w:divBdr>
        </w:div>
        <w:div w:id="1412847403">
          <w:marLeft w:val="0"/>
          <w:marRight w:val="0"/>
          <w:marTop w:val="0"/>
          <w:marBottom w:val="0"/>
          <w:divBdr>
            <w:top w:val="none" w:sz="0" w:space="0" w:color="auto"/>
            <w:left w:val="none" w:sz="0" w:space="0" w:color="auto"/>
            <w:bottom w:val="none" w:sz="0" w:space="0" w:color="auto"/>
            <w:right w:val="none" w:sz="0" w:space="0" w:color="auto"/>
          </w:divBdr>
        </w:div>
        <w:div w:id="988830216">
          <w:marLeft w:val="0"/>
          <w:marRight w:val="0"/>
          <w:marTop w:val="0"/>
          <w:marBottom w:val="0"/>
          <w:divBdr>
            <w:top w:val="none" w:sz="0" w:space="0" w:color="auto"/>
            <w:left w:val="none" w:sz="0" w:space="0" w:color="auto"/>
            <w:bottom w:val="none" w:sz="0" w:space="0" w:color="auto"/>
            <w:right w:val="none" w:sz="0" w:space="0" w:color="auto"/>
          </w:divBdr>
        </w:div>
        <w:div w:id="2120177460">
          <w:marLeft w:val="0"/>
          <w:marRight w:val="0"/>
          <w:marTop w:val="0"/>
          <w:marBottom w:val="0"/>
          <w:divBdr>
            <w:top w:val="none" w:sz="0" w:space="0" w:color="auto"/>
            <w:left w:val="none" w:sz="0" w:space="0" w:color="auto"/>
            <w:bottom w:val="none" w:sz="0" w:space="0" w:color="auto"/>
            <w:right w:val="none" w:sz="0" w:space="0" w:color="auto"/>
          </w:divBdr>
        </w:div>
        <w:div w:id="2098013893">
          <w:marLeft w:val="0"/>
          <w:marRight w:val="0"/>
          <w:marTop w:val="0"/>
          <w:marBottom w:val="0"/>
          <w:divBdr>
            <w:top w:val="none" w:sz="0" w:space="0" w:color="auto"/>
            <w:left w:val="none" w:sz="0" w:space="0" w:color="auto"/>
            <w:bottom w:val="none" w:sz="0" w:space="0" w:color="auto"/>
            <w:right w:val="none" w:sz="0" w:space="0" w:color="auto"/>
          </w:divBdr>
        </w:div>
        <w:div w:id="2045516505">
          <w:marLeft w:val="0"/>
          <w:marRight w:val="0"/>
          <w:marTop w:val="0"/>
          <w:marBottom w:val="0"/>
          <w:divBdr>
            <w:top w:val="none" w:sz="0" w:space="0" w:color="auto"/>
            <w:left w:val="none" w:sz="0" w:space="0" w:color="auto"/>
            <w:bottom w:val="none" w:sz="0" w:space="0" w:color="auto"/>
            <w:right w:val="none" w:sz="0" w:space="0" w:color="auto"/>
          </w:divBdr>
        </w:div>
        <w:div w:id="335423454">
          <w:marLeft w:val="0"/>
          <w:marRight w:val="0"/>
          <w:marTop w:val="0"/>
          <w:marBottom w:val="0"/>
          <w:divBdr>
            <w:top w:val="none" w:sz="0" w:space="0" w:color="auto"/>
            <w:left w:val="none" w:sz="0" w:space="0" w:color="auto"/>
            <w:bottom w:val="none" w:sz="0" w:space="0" w:color="auto"/>
            <w:right w:val="none" w:sz="0" w:space="0" w:color="auto"/>
          </w:divBdr>
        </w:div>
        <w:div w:id="2073498449">
          <w:marLeft w:val="0"/>
          <w:marRight w:val="0"/>
          <w:marTop w:val="0"/>
          <w:marBottom w:val="0"/>
          <w:divBdr>
            <w:top w:val="none" w:sz="0" w:space="0" w:color="auto"/>
            <w:left w:val="none" w:sz="0" w:space="0" w:color="auto"/>
            <w:bottom w:val="none" w:sz="0" w:space="0" w:color="auto"/>
            <w:right w:val="none" w:sz="0" w:space="0" w:color="auto"/>
          </w:divBdr>
        </w:div>
        <w:div w:id="43221474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BEB07-7BE2-4634-BA7D-7A17F59F8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33500</TotalTime>
  <Pages>5</Pages>
  <Words>460</Words>
  <Characters>2626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Qatar Foundation</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Zeyaul Islam</dc:creator>
  <cp:lastModifiedBy>Dr. Zeyaul Islam</cp:lastModifiedBy>
  <cp:revision>232</cp:revision>
  <cp:lastPrinted>2019-09-08T09:50:00Z</cp:lastPrinted>
  <dcterms:created xsi:type="dcterms:W3CDTF">2018-08-14T06:13:00Z</dcterms:created>
  <dcterms:modified xsi:type="dcterms:W3CDTF">2020-01-14T06:10:00Z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http://www.zotero.org/styles/biomacromolecules</vt:lpwstr>
  </property>
  <property fmtid="{D5CDD505-2E9C-101B-9397-08002B2CF9AE}" pid="9" name="Mendeley Recent Style Name 3_1">
    <vt:lpwstr>Biomacromolecules</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178e8d36-fc75-326a-8ed8-382743deb2d0</vt:lpwstr>
  </property>
  <property fmtid="{D5CDD505-2E9C-101B-9397-08002B2CF9AE}" pid="24" name="Mendeley Citation Style_1">
    <vt:lpwstr>http://www.zotero.org/styles/biomacromolecules</vt:lpwstr>
  </property>
</Properties>
</file>