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D0F4966" w14:textId="5B7E8356" w:rsidR="008F27AF" w:rsidRDefault="00B42B52" w:rsidP="00B53352">
      <w:pPr>
        <w:rPr>
          <w:rFonts w:asciiTheme="majorBidi" w:hAnsiTheme="majorBidi" w:cstheme="majorBidi"/>
          <w:b/>
          <w:bCs/>
          <w:noProof/>
          <w:sz w:val="24"/>
          <w:szCs w:val="24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w:t>Additional information:</w:t>
      </w:r>
      <w:bookmarkStart w:id="0" w:name="_GoBack"/>
      <w:bookmarkEnd w:id="0"/>
    </w:p>
    <w:p w14:paraId="3F60FCDA" w14:textId="67878403" w:rsidR="00B42B52" w:rsidRPr="005079B4" w:rsidRDefault="005079B4" w:rsidP="005079B4">
      <w:pPr>
        <w:pStyle w:val="ListParagraph"/>
        <w:numPr>
          <w:ilvl w:val="0"/>
          <w:numId w:val="1"/>
        </w:numPr>
        <w:ind w:left="360"/>
        <w:rPr>
          <w:rFonts w:asciiTheme="majorBidi" w:hAnsiTheme="majorBidi" w:cstheme="majorBidi"/>
          <w:sz w:val="24"/>
          <w:szCs w:val="24"/>
        </w:rPr>
      </w:pPr>
      <w:r w:rsidRPr="005079B4">
        <w:rPr>
          <w:rFonts w:asciiTheme="majorBidi" w:hAnsiTheme="majorBidi" w:cstheme="majorBidi"/>
          <w:sz w:val="24"/>
          <w:szCs w:val="24"/>
        </w:rPr>
        <w:t>TEM analysis</w:t>
      </w:r>
    </w:p>
    <w:p w14:paraId="6755F890" w14:textId="41D94288" w:rsidR="005079B4" w:rsidRDefault="005079B4" w:rsidP="005079B4">
      <w:pPr>
        <w:ind w:left="360"/>
        <w:jc w:val="center"/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w:drawing>
          <wp:inline distT="0" distB="0" distL="0" distR="0" wp14:anchorId="46DA39AA" wp14:editId="08C4557F">
            <wp:extent cx="3569818" cy="4149182"/>
            <wp:effectExtent l="0" t="0" r="0" b="381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178" cy="41716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C8693E" w14:textId="0B2BD632" w:rsidR="00B76EEC" w:rsidRDefault="00B76EEC" w:rsidP="00B76EEC">
      <w:pPr>
        <w:pStyle w:val="Caption"/>
        <w:spacing w:after="0"/>
        <w:jc w:val="center"/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</w:pPr>
      <w:r w:rsidRPr="0091348E">
        <w:rPr>
          <w:rFonts w:asciiTheme="majorBidi" w:hAnsiTheme="majorBidi" w:cstheme="majorBidi"/>
          <w:i w:val="0"/>
          <w:iCs w:val="0"/>
          <w:color w:val="FF0000"/>
          <w:sz w:val="24"/>
          <w:szCs w:val="24"/>
        </w:rPr>
        <w:t xml:space="preserve">Figure </w:t>
      </w:r>
      <w:r w:rsidR="00A176BD" w:rsidRPr="0091348E">
        <w:rPr>
          <w:rFonts w:asciiTheme="majorBidi" w:hAnsiTheme="majorBidi" w:cstheme="majorBidi"/>
          <w:i w:val="0"/>
          <w:iCs w:val="0"/>
          <w:color w:val="FF0000"/>
          <w:sz w:val="24"/>
          <w:szCs w:val="24"/>
        </w:rPr>
        <w:t>S</w:t>
      </w:r>
      <w:r w:rsidR="00B42B52" w:rsidRPr="0091348E">
        <w:rPr>
          <w:rFonts w:asciiTheme="majorBidi" w:hAnsiTheme="majorBidi" w:cstheme="majorBidi"/>
          <w:i w:val="0"/>
          <w:iCs w:val="0"/>
          <w:color w:val="FF0000"/>
          <w:sz w:val="24"/>
          <w:szCs w:val="24"/>
        </w:rPr>
        <w:t>1</w:t>
      </w:r>
      <w:r w:rsidRPr="008A277E"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>: TEM images and the corresponded particle size distribution of (a) 10Cu10Na</w:t>
      </w:r>
      <w:r w:rsidRPr="008A277E">
        <w:rPr>
          <w:rFonts w:asciiTheme="majorBidi" w:hAnsiTheme="majorBidi" w:cstheme="majorBidi"/>
          <w:i w:val="0"/>
          <w:iCs w:val="0"/>
          <w:color w:val="auto"/>
          <w:sz w:val="24"/>
          <w:szCs w:val="24"/>
          <w:vertAlign w:val="subscript"/>
        </w:rPr>
        <w:t>2</w:t>
      </w:r>
      <w:r w:rsidRPr="008A277E"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>O, (b)10Cu10CaO, (c) 20Cu10CaO, (d) 30Cu10C</w:t>
      </w:r>
      <w:r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>a</w:t>
      </w:r>
      <w:r w:rsidRPr="008A277E"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>O, (e) 20Cu5CaO and (f) 0.5Rh20Cu5CaO</w:t>
      </w:r>
      <w:r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>.</w:t>
      </w:r>
    </w:p>
    <w:p w14:paraId="2B228EF0" w14:textId="77777777" w:rsidR="005079B4" w:rsidRDefault="005079B4" w:rsidP="005079B4"/>
    <w:p w14:paraId="72BD49B9" w14:textId="77777777" w:rsidR="00F25DB9" w:rsidRPr="00F25DB9" w:rsidRDefault="00F25DB9" w:rsidP="00F25DB9">
      <w:pPr>
        <w:pStyle w:val="ListParagraph"/>
        <w:numPr>
          <w:ilvl w:val="0"/>
          <w:numId w:val="1"/>
        </w:numPr>
        <w:ind w:left="360"/>
        <w:jc w:val="both"/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</w:pPr>
      <w:bookmarkStart w:id="1" w:name="_Toc116799635"/>
      <w:bookmarkStart w:id="2" w:name="_Toc116815975"/>
      <w:r w:rsidRPr="00F25DB9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N</w:t>
      </w:r>
      <w:r w:rsidRPr="00F25DB9">
        <w:rPr>
          <w:rFonts w:asciiTheme="majorBidi" w:hAnsiTheme="majorBidi" w:cstheme="majorBidi"/>
          <w:b/>
          <w:bCs/>
          <w:color w:val="000000" w:themeColor="text1"/>
          <w:sz w:val="24"/>
          <w:szCs w:val="24"/>
          <w:vertAlign w:val="subscript"/>
        </w:rPr>
        <w:t>2</w:t>
      </w:r>
      <w:r w:rsidRPr="00F25DB9">
        <w:rPr>
          <w:rStyle w:val="Heading3Char"/>
          <w:rFonts w:eastAsiaTheme="minorHAnsi"/>
          <w:b/>
          <w:bCs/>
          <w:color w:val="000000" w:themeColor="text1"/>
          <w:sz w:val="24"/>
          <w:szCs w:val="24"/>
        </w:rPr>
        <w:t xml:space="preserve"> adsorption-desorption measurements</w:t>
      </w:r>
      <w:bookmarkEnd w:id="1"/>
      <w:bookmarkEnd w:id="2"/>
    </w:p>
    <w:p w14:paraId="62C22169" w14:textId="396F5E27" w:rsidR="00F25DB9" w:rsidRPr="00F25DB9" w:rsidRDefault="00F25DB9" w:rsidP="00F25DB9">
      <w:pPr>
        <w:spacing w:before="240" w:after="240" w:line="360" w:lineRule="auto"/>
        <w:ind w:right="29"/>
        <w:jc w:val="both"/>
        <w:rPr>
          <w:rFonts w:asciiTheme="majorBidi" w:eastAsia="Calibri" w:hAnsiTheme="majorBidi" w:cstheme="majorBidi"/>
          <w:color w:val="000000" w:themeColor="text1"/>
          <w:sz w:val="24"/>
          <w:szCs w:val="24"/>
        </w:rPr>
      </w:pPr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</w:rPr>
        <w:t>Surface area and pore volume are significant factors affecting the adsorbent uptake capacity. Generally, this is because higher pore volume allows to trap more CO</w:t>
      </w:r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  <w:vertAlign w:val="subscript"/>
        </w:rPr>
        <w:t>2</w:t>
      </w:r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</w:rPr>
        <w:t xml:space="preserve"> within the pores. In addition, the surface area also influences the portion of effective interaction between the adsorbents and CO</w:t>
      </w:r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  <w:vertAlign w:val="subscript"/>
        </w:rPr>
        <w:t>2</w:t>
      </w:r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</w:rPr>
        <w:t xml:space="preserve">. </w:t>
      </w:r>
      <w:bookmarkStart w:id="3" w:name="_Hlk159412603"/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</w:rPr>
        <w:t xml:space="preserve">The BET isotherm for nitrogen adsorption-desorption obtained with the synthesized </w:t>
      </w:r>
      <w:r w:rsidR="00A14F06">
        <w:rPr>
          <w:rFonts w:asciiTheme="majorBidi" w:eastAsia="Calibri" w:hAnsiTheme="majorBidi" w:cstheme="majorBidi"/>
          <w:color w:val="000000" w:themeColor="text1"/>
          <w:sz w:val="24"/>
          <w:szCs w:val="24"/>
        </w:rPr>
        <w:t>materials</w:t>
      </w:r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</w:rPr>
        <w:t xml:space="preserve"> are presented in </w:t>
      </w:r>
      <w:r w:rsidRPr="0091348E">
        <w:rPr>
          <w:rFonts w:asciiTheme="majorBidi" w:eastAsia="Calibri" w:hAnsiTheme="majorBidi" w:cstheme="majorBidi"/>
          <w:color w:val="FF0000"/>
          <w:sz w:val="24"/>
          <w:szCs w:val="24"/>
        </w:rPr>
        <w:t xml:space="preserve">Figure </w:t>
      </w:r>
      <w:r w:rsidR="0091348E" w:rsidRPr="0091348E">
        <w:rPr>
          <w:rFonts w:asciiTheme="majorBidi" w:eastAsia="Calibri" w:hAnsiTheme="majorBidi" w:cstheme="majorBidi"/>
          <w:color w:val="FF0000"/>
          <w:sz w:val="24"/>
          <w:szCs w:val="24"/>
        </w:rPr>
        <w:t>S2</w:t>
      </w:r>
      <w:r w:rsidRPr="0091348E">
        <w:rPr>
          <w:rFonts w:asciiTheme="majorBidi" w:eastAsia="Calibri" w:hAnsiTheme="majorBidi" w:cstheme="majorBidi"/>
          <w:color w:val="FF0000"/>
          <w:sz w:val="24"/>
          <w:szCs w:val="24"/>
        </w:rPr>
        <w:t>.</w:t>
      </w:r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</w:rPr>
        <w:t xml:space="preserve"> </w:t>
      </w:r>
      <w:bookmarkEnd w:id="3"/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</w:rPr>
        <w:t>The N</w:t>
      </w:r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  <w:vertAlign w:val="subscript"/>
        </w:rPr>
        <w:t>2</w:t>
      </w:r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</w:rPr>
        <w:t xml:space="preserve"> physisorption isotherm of all materials was attributed to type (</w:t>
      </w:r>
      <w:proofErr w:type="spellStart"/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</w:rPr>
        <w:t>IVa</w:t>
      </w:r>
      <w:proofErr w:type="spellEnd"/>
      <w:r w:rsidRPr="00F25DB9">
        <w:rPr>
          <w:rFonts w:asciiTheme="majorBidi" w:eastAsia="Calibri" w:hAnsiTheme="majorBidi" w:cstheme="majorBidi"/>
          <w:color w:val="000000" w:themeColor="text1"/>
          <w:sz w:val="24"/>
          <w:szCs w:val="24"/>
        </w:rPr>
        <w:t>), which is corresponding to the International Union of Pure and Applied chemistry (IUPAC) classification, indicating a mesoporous structure.</w:t>
      </w:r>
    </w:p>
    <w:p w14:paraId="4C88A5DD" w14:textId="77777777" w:rsidR="00F25DB9" w:rsidRPr="001346A1" w:rsidRDefault="00F25DB9" w:rsidP="00F25DB9">
      <w:pPr>
        <w:jc w:val="center"/>
      </w:pPr>
    </w:p>
    <w:p w14:paraId="314FFEA1" w14:textId="77777777" w:rsidR="00F25DB9" w:rsidRPr="001346A1" w:rsidRDefault="00F25DB9" w:rsidP="00F25DB9">
      <w:pPr>
        <w:tabs>
          <w:tab w:val="center" w:pos="4153"/>
        </w:tabs>
        <w:sectPr w:rsidR="00F25DB9" w:rsidRPr="001346A1" w:rsidSect="000B45C6">
          <w:pgSz w:w="11906" w:h="16838" w:code="9"/>
          <w:pgMar w:top="1440" w:right="1440" w:bottom="1440" w:left="2160" w:header="720" w:footer="720" w:gutter="0"/>
          <w:cols w:space="720"/>
          <w:docGrid w:linePitch="360"/>
        </w:sectPr>
      </w:pPr>
    </w:p>
    <w:p w14:paraId="64E83D2E" w14:textId="77777777" w:rsidR="00F25DB9" w:rsidRPr="001346A1" w:rsidRDefault="00F25DB9" w:rsidP="00F25DB9">
      <w:pPr>
        <w:tabs>
          <w:tab w:val="left" w:pos="1772"/>
        </w:tabs>
        <w:spacing w:line="360" w:lineRule="auto"/>
      </w:pPr>
      <w:r w:rsidRPr="001346A1">
        <w:rPr>
          <w:noProof/>
        </w:rPr>
        <w:lastRenderedPageBreak/>
        <w:drawing>
          <wp:inline distT="0" distB="0" distL="0" distR="0" wp14:anchorId="2BAEF4BA" wp14:editId="71EF49C7">
            <wp:extent cx="5201285" cy="6817995"/>
            <wp:effectExtent l="0" t="0" r="0" b="1905"/>
            <wp:docPr id="183" name="Picture 183" descr="A collage of graph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Picture 183" descr="A collage of graphs&#10;&#10;Description automatically generated"/>
                    <pic:cNvPicPr/>
                  </pic:nvPicPr>
                  <pic:blipFill rotWithShape="1">
                    <a:blip r:embed="rId6"/>
                    <a:srcRect l="1751" r="2602"/>
                    <a:stretch/>
                  </pic:blipFill>
                  <pic:spPr bwMode="auto">
                    <a:xfrm>
                      <a:off x="0" y="0"/>
                      <a:ext cx="5220213" cy="68428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7FED9F" w14:textId="3E86C195" w:rsidR="00F25DB9" w:rsidRPr="00F25DB9" w:rsidRDefault="00F25DB9" w:rsidP="00F25DB9">
      <w:pPr>
        <w:pStyle w:val="Caption"/>
        <w:jc w:val="center"/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</w:pPr>
      <w:bookmarkStart w:id="4" w:name="_Toc116816028"/>
      <w:r w:rsidRPr="004B56D9">
        <w:rPr>
          <w:rFonts w:asciiTheme="majorBidi" w:hAnsiTheme="majorBidi" w:cstheme="majorBidi"/>
          <w:i w:val="0"/>
          <w:iCs w:val="0"/>
          <w:color w:val="FF0000"/>
          <w:sz w:val="24"/>
          <w:szCs w:val="24"/>
        </w:rPr>
        <w:t xml:space="preserve">Figure </w:t>
      </w:r>
      <w:r w:rsidR="00955AA3" w:rsidRPr="004B56D9">
        <w:rPr>
          <w:rFonts w:asciiTheme="majorBidi" w:hAnsiTheme="majorBidi" w:cstheme="majorBidi"/>
          <w:i w:val="0"/>
          <w:iCs w:val="0"/>
          <w:color w:val="FF0000"/>
          <w:sz w:val="24"/>
          <w:szCs w:val="24"/>
        </w:rPr>
        <w:t>S</w:t>
      </w:r>
      <w:r w:rsidRPr="004B56D9">
        <w:rPr>
          <w:rFonts w:asciiTheme="majorBidi" w:hAnsiTheme="majorBidi" w:cstheme="majorBidi"/>
          <w:i w:val="0"/>
          <w:iCs w:val="0"/>
          <w:color w:val="FF0000"/>
          <w:sz w:val="24"/>
          <w:szCs w:val="24"/>
        </w:rPr>
        <w:t>2</w:t>
      </w:r>
      <w:r w:rsidRPr="00F25DB9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 xml:space="preserve">: Isothermal linear plot of (a)10Cu10CaO, (b)20Cu10CaO, (c)30Cu10CaO, (d) 20Cu5CaO, </w:t>
      </w:r>
      <w:proofErr w:type="gramStart"/>
      <w:r w:rsidRPr="00F25DB9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>and  (</w:t>
      </w:r>
      <w:proofErr w:type="gramEnd"/>
      <w:r w:rsidRPr="00F25DB9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>e) 0.5Rh20Cu5CaO.</w:t>
      </w:r>
      <w:bookmarkEnd w:id="4"/>
    </w:p>
    <w:p w14:paraId="12CBB36C" w14:textId="77777777" w:rsidR="00F25DB9" w:rsidRDefault="00F25DB9" w:rsidP="00F25DB9"/>
    <w:p w14:paraId="08F060F5" w14:textId="62929C18" w:rsidR="005079B4" w:rsidRPr="005079B4" w:rsidRDefault="005079B4" w:rsidP="00F25DB9"/>
    <w:p w14:paraId="6AB309C9" w14:textId="77777777" w:rsidR="00842202" w:rsidRDefault="00842202" w:rsidP="00B53352"/>
    <w:sectPr w:rsidR="0084220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6542EE"/>
    <w:multiLevelType w:val="hybridMultilevel"/>
    <w:tmpl w:val="4C54AE74"/>
    <w:lvl w:ilvl="0" w:tplc="36142C34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513F0B"/>
    <w:multiLevelType w:val="multilevel"/>
    <w:tmpl w:val="58426F8A"/>
    <w:lvl w:ilvl="0">
      <w:start w:val="4"/>
      <w:numFmt w:val="decimal"/>
      <w:lvlText w:val="%1."/>
      <w:lvlJc w:val="left"/>
      <w:pPr>
        <w:ind w:left="540" w:hanging="540"/>
      </w:pPr>
      <w:rPr>
        <w:rFonts w:eastAsiaTheme="minorHAnsi"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eastAsiaTheme="minorHAnsi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Theme="minorHAnsi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Theme="minorHAns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Theme="minorHAnsi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Theme="minorHAnsi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Theme="minorHAnsi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65B6"/>
    <w:rsid w:val="004B56D9"/>
    <w:rsid w:val="005079B4"/>
    <w:rsid w:val="006B3DF7"/>
    <w:rsid w:val="007F65B6"/>
    <w:rsid w:val="00842202"/>
    <w:rsid w:val="008F27AF"/>
    <w:rsid w:val="0091348E"/>
    <w:rsid w:val="00955AA3"/>
    <w:rsid w:val="00A11DE4"/>
    <w:rsid w:val="00A14F06"/>
    <w:rsid w:val="00A176BD"/>
    <w:rsid w:val="00B42B52"/>
    <w:rsid w:val="00B53352"/>
    <w:rsid w:val="00B574B0"/>
    <w:rsid w:val="00B76EEC"/>
    <w:rsid w:val="00C157EE"/>
    <w:rsid w:val="00EC18E3"/>
    <w:rsid w:val="00F25D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FEABF3"/>
  <w15:chartTrackingRefBased/>
  <w15:docId w15:val="{186BD4C4-AF61-4652-BE52-309270CAE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3">
    <w:name w:val="heading 3"/>
    <w:aliases w:val="APA6 H3"/>
    <w:basedOn w:val="Normal"/>
    <w:next w:val="Normal"/>
    <w:link w:val="Heading3Char"/>
    <w:uiPriority w:val="9"/>
    <w:unhideWhenUsed/>
    <w:qFormat/>
    <w:rsid w:val="00F25DB9"/>
    <w:pPr>
      <w:keepNext/>
      <w:keepLines/>
      <w:widowControl w:val="0"/>
      <w:spacing w:before="160" w:after="80" w:line="480" w:lineRule="auto"/>
      <w:jc w:val="both"/>
      <w:outlineLvl w:val="2"/>
    </w:pPr>
    <w:rPr>
      <w:rFonts w:asciiTheme="majorBidi" w:eastAsiaTheme="majorEastAsia" w:hAnsiTheme="majorBidi" w:cstheme="majorBidi"/>
      <w:color w:val="2F5496" w:themeColor="accent1" w:themeShade="BF"/>
      <w:kern w:val="0"/>
      <w:sz w:val="28"/>
      <w:szCs w:val="28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B76EEC"/>
    <w:pPr>
      <w:spacing w:after="200" w:line="240" w:lineRule="auto"/>
    </w:pPr>
    <w:rPr>
      <w:i/>
      <w:iCs/>
      <w:color w:val="44546A" w:themeColor="text2"/>
      <w:kern w:val="0"/>
      <w:sz w:val="18"/>
      <w:szCs w:val="18"/>
      <w14:ligatures w14:val="none"/>
    </w:rPr>
  </w:style>
  <w:style w:type="paragraph" w:styleId="ListParagraph">
    <w:name w:val="List Paragraph"/>
    <w:basedOn w:val="Normal"/>
    <w:uiPriority w:val="34"/>
    <w:qFormat/>
    <w:rsid w:val="005079B4"/>
    <w:pPr>
      <w:ind w:left="720"/>
      <w:contextualSpacing/>
    </w:pPr>
  </w:style>
  <w:style w:type="character" w:customStyle="1" w:styleId="Heading3Char">
    <w:name w:val="Heading 3 Char"/>
    <w:aliases w:val="APA6 H3 Char"/>
    <w:basedOn w:val="DefaultParagraphFont"/>
    <w:link w:val="Heading3"/>
    <w:uiPriority w:val="9"/>
    <w:rsid w:val="00F25DB9"/>
    <w:rPr>
      <w:rFonts w:asciiTheme="majorBidi" w:eastAsiaTheme="majorEastAsia" w:hAnsiTheme="majorBidi" w:cstheme="majorBidi"/>
      <w:color w:val="2F5496" w:themeColor="accent1" w:themeShade="BF"/>
      <w:kern w:val="0"/>
      <w:sz w:val="28"/>
      <w:szCs w:val="2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2</Pages>
  <Words>149</Words>
  <Characters>855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Doha for Science &amp; Technology</Company>
  <LinksUpToDate>false</LinksUpToDate>
  <CharactersWithSpaces>1002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Ali, Sardar</dc:creator>
  <cp:keywords/>
  <dc:description/>
  <cp:lastModifiedBy>Abdelbaki Benamor</cp:lastModifiedBy>
  <cp:revision>13</cp:revision>
  <dcterms:created xsi:type="dcterms:W3CDTF">2024-01-29T14:03:00Z</dcterms:created>
  <dcterms:modified xsi:type="dcterms:W3CDTF">2024-02-22T07:50:00Z</dcterms:modified>
</cp:coreProperties>
</file>