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908" w:rsidRPr="00F33908" w:rsidRDefault="00F33908" w:rsidP="00D5634D">
      <w:pPr>
        <w:shd w:val="clear" w:color="auto" w:fill="FFFFFF"/>
        <w:spacing w:line="480" w:lineRule="auto"/>
        <w:jc w:val="center"/>
        <w:rPr>
          <w:b/>
          <w:snapToGrid w:val="0"/>
        </w:rPr>
      </w:pPr>
      <w:bookmarkStart w:id="0" w:name="_GoBack"/>
      <w:bookmarkEnd w:id="0"/>
      <w:r w:rsidRPr="00F33908">
        <w:rPr>
          <w:b/>
          <w:noProof/>
        </w:rPr>
        <w:t xml:space="preserve">Appendix </w:t>
      </w:r>
      <w:r w:rsidR="00D5634D">
        <w:rPr>
          <w:b/>
          <w:noProof/>
        </w:rPr>
        <w:t>2</w:t>
      </w:r>
      <w:r w:rsidRPr="00F33908">
        <w:rPr>
          <w:b/>
          <w:noProof/>
        </w:rPr>
        <w:t xml:space="preserve">: The </w:t>
      </w:r>
      <w:r w:rsidRPr="00F33908">
        <w:rPr>
          <w:b/>
          <w:snapToGrid w:val="0"/>
        </w:rPr>
        <w:t xml:space="preserve">ELM </w:t>
      </w:r>
      <w:r>
        <w:rPr>
          <w:b/>
          <w:snapToGrid w:val="0"/>
        </w:rPr>
        <w:t xml:space="preserve">Conceptual </w:t>
      </w:r>
      <w:r w:rsidRPr="00F33908">
        <w:rPr>
          <w:b/>
          <w:snapToGrid w:val="0"/>
        </w:rPr>
        <w:t>limitations</w:t>
      </w:r>
    </w:p>
    <w:p w:rsidR="00F33908" w:rsidRDefault="00F33908" w:rsidP="00E90DD7">
      <w:pPr>
        <w:shd w:val="clear" w:color="auto" w:fill="FFFFFF"/>
        <w:spacing w:line="480" w:lineRule="auto"/>
        <w:ind w:firstLine="720"/>
        <w:rPr>
          <w:b/>
          <w:bCs/>
          <w:i/>
          <w:iCs/>
          <w:lang w:val="en"/>
        </w:rPr>
      </w:pPr>
    </w:p>
    <w:p w:rsidR="00E90DD7" w:rsidRDefault="00E90DD7" w:rsidP="00BF22C3">
      <w:pPr>
        <w:shd w:val="clear" w:color="auto" w:fill="FFFFFF"/>
        <w:spacing w:line="480" w:lineRule="auto"/>
        <w:ind w:firstLine="720"/>
        <w:rPr>
          <w:lang w:val="en"/>
        </w:rPr>
      </w:pPr>
      <w:r w:rsidRPr="00F37149">
        <w:rPr>
          <w:b/>
          <w:bCs/>
          <w:i/>
          <w:iCs/>
          <w:lang w:val="en"/>
        </w:rPr>
        <w:t>Parallel Information Processing</w:t>
      </w:r>
      <w:r w:rsidRPr="00D01CE9">
        <w:rPr>
          <w:lang w:val="en"/>
        </w:rPr>
        <w:t>.</w:t>
      </w:r>
      <w:r>
        <w:rPr>
          <w:lang w:val="en"/>
        </w:rPr>
        <w:t xml:space="preserve"> I</w:t>
      </w:r>
      <w:r w:rsidRPr="006316D4">
        <w:rPr>
          <w:lang w:val="en"/>
        </w:rPr>
        <w:t>n Stiff</w:t>
      </w:r>
      <w:r w:rsidRPr="006316D4">
        <w:t>’</w:t>
      </w:r>
      <w:r w:rsidRPr="006316D4">
        <w:rPr>
          <w:lang w:val="en"/>
        </w:rPr>
        <w:t xml:space="preserve">s eyes, the schematic diagram depicting the </w:t>
      </w:r>
      <w:r w:rsidRPr="006316D4">
        <w:rPr>
          <w:i/>
          <w:iCs/>
          <w:lang w:val="en"/>
        </w:rPr>
        <w:t>ELM</w:t>
      </w:r>
      <w:r w:rsidRPr="006316D4">
        <w:t>’</w:t>
      </w:r>
      <w:r w:rsidRPr="006316D4">
        <w:rPr>
          <w:lang w:val="en"/>
        </w:rPr>
        <w:t xml:space="preserve">s sequential logic (as described by Petty </w:t>
      </w:r>
      <w:r w:rsidR="00BF22C3">
        <w:rPr>
          <w:lang w:val="en"/>
        </w:rPr>
        <w:t xml:space="preserve">and </w:t>
      </w:r>
      <w:proofErr w:type="spellStart"/>
      <w:r w:rsidRPr="006316D4">
        <w:rPr>
          <w:lang w:val="en"/>
        </w:rPr>
        <w:t>Cacioppo</w:t>
      </w:r>
      <w:proofErr w:type="spellEnd"/>
      <w:r w:rsidRPr="006316D4">
        <w:rPr>
          <w:lang w:val="en"/>
        </w:rPr>
        <w:t xml:space="preserve"> 1986) perfectly illustrates this unidimensional conceptualization of individual</w:t>
      </w:r>
      <w:r w:rsidRPr="006316D4">
        <w:t>’</w:t>
      </w:r>
      <w:r w:rsidRPr="006316D4">
        <w:rPr>
          <w:lang w:val="en"/>
        </w:rPr>
        <w:t xml:space="preserve">s information processing ability. Indeed, as Stiff and </w:t>
      </w:r>
      <w:proofErr w:type="spellStart"/>
      <w:r w:rsidRPr="006316D4">
        <w:rPr>
          <w:lang w:val="en"/>
        </w:rPr>
        <w:t>Boster</w:t>
      </w:r>
      <w:proofErr w:type="spellEnd"/>
      <w:r w:rsidRPr="006316D4">
        <w:rPr>
          <w:lang w:val="en"/>
        </w:rPr>
        <w:t xml:space="preserve"> (1987</w:t>
      </w:r>
      <w:r w:rsidR="00BF22C3">
        <w:rPr>
          <w:lang w:val="en"/>
        </w:rPr>
        <w:t>, 250</w:t>
      </w:r>
      <w:r w:rsidRPr="006316D4">
        <w:rPr>
          <w:lang w:val="en"/>
        </w:rPr>
        <w:t>) point out, “[a]t each point of view, they are depicted as channeling their efforts to either central or peripheral processing, but not both</w:t>
      </w:r>
      <w:r w:rsidR="00BF22C3">
        <w:rPr>
          <w:lang w:val="en"/>
        </w:rPr>
        <w:t>.</w:t>
      </w:r>
      <w:proofErr w:type="gramStart"/>
      <w:r w:rsidRPr="006316D4">
        <w:rPr>
          <w:lang w:val="en"/>
        </w:rPr>
        <w:t>” .</w:t>
      </w:r>
      <w:proofErr w:type="gramEnd"/>
      <w:r w:rsidRPr="006316D4">
        <w:rPr>
          <w:lang w:val="en"/>
        </w:rPr>
        <w:t xml:space="preserve"> Put it differently, according to Stiff, the </w:t>
      </w:r>
      <w:r w:rsidRPr="006316D4">
        <w:rPr>
          <w:i/>
          <w:iCs/>
          <w:lang w:val="en"/>
        </w:rPr>
        <w:t>ELM</w:t>
      </w:r>
      <w:r w:rsidRPr="006316D4">
        <w:rPr>
          <w:lang w:val="en"/>
        </w:rPr>
        <w:t xml:space="preserve"> does not take into account the human </w:t>
      </w:r>
      <w:r>
        <w:rPr>
          <w:lang w:val="en"/>
        </w:rPr>
        <w:t xml:space="preserve">ability </w:t>
      </w:r>
      <w:r w:rsidRPr="006316D4">
        <w:rPr>
          <w:lang w:val="en"/>
        </w:rPr>
        <w:t xml:space="preserve">to conduct parallel processing of information. </w:t>
      </w:r>
    </w:p>
    <w:p w:rsidR="00E90DD7" w:rsidRPr="00E90DD7" w:rsidRDefault="00E90DD7" w:rsidP="00BF22C3">
      <w:pPr>
        <w:shd w:val="clear" w:color="auto" w:fill="FFFFFF"/>
        <w:spacing w:line="480" w:lineRule="auto"/>
        <w:ind w:firstLine="720"/>
        <w:rPr>
          <w:snapToGrid w:val="0"/>
          <w:lang w:val="en"/>
        </w:rPr>
      </w:pPr>
      <w:r w:rsidRPr="00E90DD7">
        <w:rPr>
          <w:b/>
          <w:bCs/>
          <w:i/>
          <w:iCs/>
          <w:snapToGrid w:val="0"/>
          <w:lang w:val="en"/>
        </w:rPr>
        <w:t>Variables</w:t>
      </w:r>
      <w:r w:rsidRPr="00E90DD7">
        <w:rPr>
          <w:b/>
          <w:bCs/>
          <w:i/>
          <w:iCs/>
          <w:snapToGrid w:val="0"/>
        </w:rPr>
        <w:t>’</w:t>
      </w:r>
      <w:r w:rsidRPr="00E90DD7">
        <w:rPr>
          <w:b/>
          <w:bCs/>
          <w:i/>
          <w:iCs/>
          <w:snapToGrid w:val="0"/>
          <w:lang w:val="en"/>
        </w:rPr>
        <w:t xml:space="preserve"> Ambiguity</w:t>
      </w:r>
      <w:r w:rsidRPr="00E90DD7">
        <w:rPr>
          <w:snapToGrid w:val="0"/>
          <w:lang w:val="en"/>
        </w:rPr>
        <w:t>.</w:t>
      </w:r>
      <w:r w:rsidRPr="00E90DD7">
        <w:rPr>
          <w:b/>
          <w:bCs/>
          <w:snapToGrid w:val="0"/>
          <w:lang w:val="en"/>
        </w:rPr>
        <w:t xml:space="preserve"> </w:t>
      </w:r>
      <w:r w:rsidRPr="00E90DD7">
        <w:rPr>
          <w:snapToGrid w:val="0"/>
          <w:lang w:val="en"/>
        </w:rPr>
        <w:t xml:space="preserve">Another recurrent conceptual limitation concerns the </w:t>
      </w:r>
      <w:r w:rsidRPr="00E90DD7">
        <w:rPr>
          <w:i/>
          <w:iCs/>
          <w:snapToGrid w:val="0"/>
          <w:lang w:val="en"/>
        </w:rPr>
        <w:t>ELM</w:t>
      </w:r>
      <w:r w:rsidRPr="00E90DD7">
        <w:rPr>
          <w:snapToGrid w:val="0"/>
        </w:rPr>
        <w:t>’</w:t>
      </w:r>
      <w:r w:rsidRPr="00E90DD7">
        <w:rPr>
          <w:snapToGrid w:val="0"/>
          <w:lang w:val="en"/>
        </w:rPr>
        <w:t xml:space="preserve">s inability </w:t>
      </w:r>
      <w:proofErr w:type="gramStart"/>
      <w:r w:rsidRPr="00E90DD7">
        <w:rPr>
          <w:snapToGrid w:val="0"/>
          <w:lang w:val="en"/>
        </w:rPr>
        <w:t>to clearly indicate</w:t>
      </w:r>
      <w:proofErr w:type="gramEnd"/>
      <w:r w:rsidRPr="00E90DD7">
        <w:rPr>
          <w:snapToGrid w:val="0"/>
          <w:lang w:val="en"/>
        </w:rPr>
        <w:t xml:space="preserve"> as to why some variables serve as peripheral cues and others as central elements (Corneille 1993). The </w:t>
      </w:r>
      <w:r w:rsidRPr="00E90DD7">
        <w:rPr>
          <w:i/>
          <w:iCs/>
          <w:snapToGrid w:val="0"/>
          <w:lang w:val="en"/>
        </w:rPr>
        <w:t xml:space="preserve">ELM </w:t>
      </w:r>
      <w:r w:rsidRPr="00E90DD7">
        <w:rPr>
          <w:snapToGrid w:val="0"/>
          <w:lang w:val="en"/>
        </w:rPr>
        <w:t>authors initially linked specific elements to each route. They originally argued that the message</w:t>
      </w:r>
      <w:r w:rsidRPr="00E90DD7">
        <w:rPr>
          <w:snapToGrid w:val="0"/>
        </w:rPr>
        <w:t>’</w:t>
      </w:r>
      <w:r w:rsidRPr="00E90DD7">
        <w:rPr>
          <w:snapToGrid w:val="0"/>
          <w:lang w:val="en"/>
        </w:rPr>
        <w:t xml:space="preserve">s arguments correspond to elements of the central route, whereas the source-related variables (e.g., credibility, attractiveness) </w:t>
      </w:r>
      <w:proofErr w:type="gramStart"/>
      <w:r w:rsidRPr="00E90DD7">
        <w:rPr>
          <w:snapToGrid w:val="0"/>
          <w:lang w:val="en"/>
        </w:rPr>
        <w:t>are related</w:t>
      </w:r>
      <w:proofErr w:type="gramEnd"/>
      <w:r w:rsidRPr="00E90DD7">
        <w:rPr>
          <w:snapToGrid w:val="0"/>
          <w:lang w:val="en"/>
        </w:rPr>
        <w:t xml:space="preserve"> to the peripheral route. However, in a refined version of the </w:t>
      </w:r>
      <w:r w:rsidRPr="00E90DD7">
        <w:rPr>
          <w:i/>
          <w:iCs/>
          <w:snapToGrid w:val="0"/>
          <w:lang w:val="en"/>
        </w:rPr>
        <w:t>ELM</w:t>
      </w:r>
      <w:r w:rsidRPr="00E90DD7">
        <w:rPr>
          <w:snapToGrid w:val="0"/>
          <w:lang w:val="en"/>
        </w:rPr>
        <w:t xml:space="preserve">, the postulate of the multiple roles of the same variable </w:t>
      </w:r>
      <w:proofErr w:type="gramStart"/>
      <w:r w:rsidRPr="00E90DD7">
        <w:rPr>
          <w:snapToGrid w:val="0"/>
          <w:lang w:val="en"/>
        </w:rPr>
        <w:t>has been emphasized</w:t>
      </w:r>
      <w:proofErr w:type="gramEnd"/>
      <w:r w:rsidRPr="00E90DD7">
        <w:rPr>
          <w:snapToGrid w:val="0"/>
          <w:lang w:val="en"/>
        </w:rPr>
        <w:t xml:space="preserve"> to address the criticisms concerning the ambiguity associated with the distinction between the </w:t>
      </w:r>
      <w:r w:rsidRPr="00E90DD7">
        <w:rPr>
          <w:i/>
          <w:iCs/>
          <w:snapToGrid w:val="0"/>
          <w:lang w:val="en"/>
        </w:rPr>
        <w:t xml:space="preserve">ELM </w:t>
      </w:r>
      <w:r w:rsidRPr="00E90DD7">
        <w:rPr>
          <w:snapToGrid w:val="0"/>
          <w:lang w:val="en"/>
        </w:rPr>
        <w:t xml:space="preserve">central and peripheral variables. </w:t>
      </w:r>
    </w:p>
    <w:p w:rsidR="00E90DD7" w:rsidRPr="00E90DD7" w:rsidRDefault="00E90DD7" w:rsidP="00BF22C3">
      <w:pPr>
        <w:shd w:val="clear" w:color="auto" w:fill="FFFFFF"/>
        <w:spacing w:line="480" w:lineRule="auto"/>
        <w:ind w:firstLine="720"/>
        <w:rPr>
          <w:snapToGrid w:val="0"/>
        </w:rPr>
      </w:pPr>
      <w:r w:rsidRPr="00E90DD7">
        <w:rPr>
          <w:b/>
          <w:bCs/>
          <w:i/>
          <w:iCs/>
          <w:snapToGrid w:val="0"/>
          <w:lang w:val="en"/>
        </w:rPr>
        <w:t>Conceptual Flexibility</w:t>
      </w:r>
      <w:r w:rsidRPr="00E90DD7">
        <w:rPr>
          <w:snapToGrid w:val="0"/>
          <w:lang w:val="en"/>
        </w:rPr>
        <w:t xml:space="preserve">. </w:t>
      </w:r>
      <w:r w:rsidRPr="00E90DD7">
        <w:rPr>
          <w:snapToGrid w:val="0"/>
        </w:rPr>
        <w:t xml:space="preserve">The ascribed multiple roles to a given variable led to another conceptual limitation, however. In fact, a serious consideration of the multiple roles postulate implies that any observed finding of a given persuasion study might be able to support the </w:t>
      </w:r>
      <w:r w:rsidRPr="00E90DD7">
        <w:rPr>
          <w:i/>
          <w:iCs/>
          <w:snapToGrid w:val="0"/>
        </w:rPr>
        <w:t>ELM</w:t>
      </w:r>
      <w:r w:rsidRPr="00E90DD7">
        <w:rPr>
          <w:snapToGrid w:val="0"/>
        </w:rPr>
        <w:t>. In other words, by embracing this postulate, the authors afford a sort of conceptual flexibility that puts into question the falsifiability of the model and consequently its theoretical value (Stiff 1994) as well as its practical worthiness (</w:t>
      </w:r>
      <w:proofErr w:type="spellStart"/>
      <w:r w:rsidRPr="00E90DD7">
        <w:rPr>
          <w:snapToGrid w:val="0"/>
        </w:rPr>
        <w:t>Bitner</w:t>
      </w:r>
      <w:proofErr w:type="spellEnd"/>
      <w:r w:rsidRPr="00E90DD7">
        <w:rPr>
          <w:snapToGrid w:val="0"/>
        </w:rPr>
        <w:t xml:space="preserve"> </w:t>
      </w:r>
      <w:r w:rsidR="00BF22C3">
        <w:rPr>
          <w:snapToGrid w:val="0"/>
        </w:rPr>
        <w:t xml:space="preserve">and </w:t>
      </w:r>
      <w:proofErr w:type="spellStart"/>
      <w:r w:rsidRPr="00E90DD7">
        <w:rPr>
          <w:snapToGrid w:val="0"/>
        </w:rPr>
        <w:t>Obermiller</w:t>
      </w:r>
      <w:proofErr w:type="spellEnd"/>
      <w:r w:rsidRPr="00E90DD7">
        <w:rPr>
          <w:snapToGrid w:val="0"/>
        </w:rPr>
        <w:t xml:space="preserve"> 1985).  </w:t>
      </w:r>
    </w:p>
    <w:p w:rsidR="00E90DD7" w:rsidRPr="006316D4" w:rsidRDefault="00E90DD7" w:rsidP="00BF22C3">
      <w:pPr>
        <w:shd w:val="clear" w:color="auto" w:fill="FFFFFF"/>
        <w:spacing w:line="480" w:lineRule="auto"/>
        <w:ind w:firstLine="720"/>
        <w:rPr>
          <w:lang w:val="en"/>
        </w:rPr>
      </w:pPr>
      <w:r w:rsidRPr="00F37149">
        <w:rPr>
          <w:b/>
          <w:bCs/>
          <w:i/>
          <w:iCs/>
          <w:lang w:val="en"/>
        </w:rPr>
        <w:lastRenderedPageBreak/>
        <w:t>Lack of a Priori Conditions and the ELM</w:t>
      </w:r>
      <w:r w:rsidRPr="00F37149">
        <w:rPr>
          <w:b/>
          <w:bCs/>
          <w:i/>
          <w:iCs/>
        </w:rPr>
        <w:t>’</w:t>
      </w:r>
      <w:r w:rsidRPr="00F37149">
        <w:rPr>
          <w:b/>
          <w:bCs/>
          <w:i/>
          <w:iCs/>
          <w:lang w:val="en"/>
        </w:rPr>
        <w:t>s Un-deterministic Nature</w:t>
      </w:r>
      <w:r w:rsidRPr="00D01CE9">
        <w:rPr>
          <w:lang w:val="en"/>
        </w:rPr>
        <w:t>.</w:t>
      </w:r>
      <w:r w:rsidRPr="006316D4">
        <w:rPr>
          <w:lang w:val="en"/>
        </w:rPr>
        <w:t xml:space="preserve"> From the </w:t>
      </w:r>
      <w:r w:rsidRPr="006316D4">
        <w:rPr>
          <w:i/>
          <w:iCs/>
          <w:lang w:val="en"/>
        </w:rPr>
        <w:t>ELM</w:t>
      </w:r>
      <w:r w:rsidRPr="006316D4">
        <w:t>’</w:t>
      </w:r>
      <w:r w:rsidRPr="006316D4">
        <w:rPr>
          <w:lang w:val="en"/>
        </w:rPr>
        <w:t xml:space="preserve">s conceptual flexibility stems another conceptual limitation manifested in the failure of the </w:t>
      </w:r>
      <w:r w:rsidRPr="006316D4">
        <w:rPr>
          <w:i/>
          <w:iCs/>
          <w:lang w:val="en"/>
        </w:rPr>
        <w:t>ELM</w:t>
      </w:r>
      <w:r w:rsidRPr="006316D4">
        <w:rPr>
          <w:lang w:val="en"/>
        </w:rPr>
        <w:t xml:space="preserve"> to specify a priori the conditions under which a given persuasive element can be treated as central or peripheral by the receiver (</w:t>
      </w:r>
      <w:proofErr w:type="spellStart"/>
      <w:r w:rsidRPr="006316D4">
        <w:rPr>
          <w:lang w:val="en"/>
        </w:rPr>
        <w:t>Mongeau</w:t>
      </w:r>
      <w:proofErr w:type="spellEnd"/>
      <w:r w:rsidRPr="006316D4">
        <w:rPr>
          <w:lang w:val="en"/>
        </w:rPr>
        <w:t xml:space="preserve"> </w:t>
      </w:r>
      <w:r w:rsidR="00BF22C3">
        <w:rPr>
          <w:lang w:val="en"/>
        </w:rPr>
        <w:t xml:space="preserve">and </w:t>
      </w:r>
      <w:r w:rsidRPr="006316D4">
        <w:rPr>
          <w:lang w:val="en"/>
        </w:rPr>
        <w:t xml:space="preserve">Stiff 1993). By proposing a qualitative distinction between the central and peripheral routes, Petty and </w:t>
      </w:r>
      <w:proofErr w:type="spellStart"/>
      <w:r w:rsidRPr="006316D4">
        <w:rPr>
          <w:lang w:val="en"/>
        </w:rPr>
        <w:t>Cacioppo</w:t>
      </w:r>
      <w:proofErr w:type="spellEnd"/>
      <w:r w:rsidRPr="006316D4">
        <w:rPr>
          <w:lang w:val="en"/>
        </w:rPr>
        <w:t xml:space="preserve"> suggest that the recipient</w:t>
      </w:r>
      <w:r w:rsidRPr="006316D4">
        <w:t>’</w:t>
      </w:r>
      <w:r w:rsidRPr="006316D4">
        <w:rPr>
          <w:lang w:val="en"/>
        </w:rPr>
        <w:t xml:space="preserve">s level of elaboration is the key determinant of the persuasion route to </w:t>
      </w:r>
      <w:proofErr w:type="gramStart"/>
      <w:r w:rsidRPr="006316D4">
        <w:rPr>
          <w:lang w:val="en"/>
        </w:rPr>
        <w:t>be taken</w:t>
      </w:r>
      <w:proofErr w:type="gramEnd"/>
      <w:r w:rsidRPr="00C52523">
        <w:rPr>
          <w:lang w:val="en"/>
        </w:rPr>
        <w:t xml:space="preserve">. However, the </w:t>
      </w:r>
      <w:r w:rsidRPr="00C52523">
        <w:rPr>
          <w:i/>
          <w:iCs/>
          <w:lang w:val="en"/>
        </w:rPr>
        <w:t>ELM</w:t>
      </w:r>
      <w:r w:rsidRPr="00C52523">
        <w:rPr>
          <w:lang w:val="en"/>
        </w:rPr>
        <w:t xml:space="preserve"> </w:t>
      </w:r>
      <w:r>
        <w:rPr>
          <w:lang w:val="en"/>
        </w:rPr>
        <w:t>wa</w:t>
      </w:r>
      <w:r w:rsidRPr="00C52523">
        <w:rPr>
          <w:lang w:val="en"/>
        </w:rPr>
        <w:t xml:space="preserve">s unable to explain how elaboration (e.g., the cognitive effort) </w:t>
      </w:r>
      <w:proofErr w:type="gramStart"/>
      <w:r w:rsidRPr="00C52523">
        <w:rPr>
          <w:lang w:val="en"/>
        </w:rPr>
        <w:t>is operationalized and measured</w:t>
      </w:r>
      <w:proofErr w:type="gramEnd"/>
      <w:r w:rsidRPr="00C52523">
        <w:rPr>
          <w:lang w:val="en"/>
        </w:rPr>
        <w:t>.</w:t>
      </w:r>
      <w:r w:rsidRPr="006316D4">
        <w:rPr>
          <w:lang w:val="en"/>
        </w:rPr>
        <w:t xml:space="preserve"> Does elaboration refer to the amount of information in the working memory or the cognitive patterns activated in the long-term memory? From which threshold can one consider that the level of elaboration is high or low? </w:t>
      </w:r>
      <w:proofErr w:type="gramStart"/>
      <w:r w:rsidRPr="006316D4">
        <w:rPr>
          <w:lang w:val="en"/>
        </w:rPr>
        <w:t>All of these</w:t>
      </w:r>
      <w:proofErr w:type="gramEnd"/>
      <w:r w:rsidRPr="006316D4">
        <w:rPr>
          <w:lang w:val="en"/>
        </w:rPr>
        <w:t xml:space="preserve"> issues question the </w:t>
      </w:r>
      <w:r w:rsidRPr="006316D4">
        <w:rPr>
          <w:i/>
          <w:iCs/>
          <w:lang w:val="en"/>
        </w:rPr>
        <w:t>ELM</w:t>
      </w:r>
      <w:r w:rsidRPr="006316D4">
        <w:t>’</w:t>
      </w:r>
      <w:r w:rsidRPr="006316D4">
        <w:rPr>
          <w:lang w:val="en"/>
        </w:rPr>
        <w:t>s predictive performance in terms of determining which route will be undertaken by the recipient in a persuasive setting (</w:t>
      </w:r>
      <w:proofErr w:type="spellStart"/>
      <w:r w:rsidRPr="006316D4">
        <w:rPr>
          <w:lang w:val="en"/>
        </w:rPr>
        <w:t>Mongeau</w:t>
      </w:r>
      <w:proofErr w:type="spellEnd"/>
      <w:r w:rsidRPr="006316D4">
        <w:rPr>
          <w:lang w:val="en"/>
        </w:rPr>
        <w:t xml:space="preserve"> </w:t>
      </w:r>
      <w:r w:rsidR="00BF22C3">
        <w:rPr>
          <w:lang w:val="en"/>
        </w:rPr>
        <w:t xml:space="preserve">and </w:t>
      </w:r>
      <w:r w:rsidRPr="006316D4">
        <w:rPr>
          <w:lang w:val="en"/>
        </w:rPr>
        <w:t>Stiff 1993).</w:t>
      </w:r>
    </w:p>
    <w:p w:rsidR="00E90DD7" w:rsidRPr="00E90DD7" w:rsidRDefault="00E90DD7" w:rsidP="00BF22C3">
      <w:pPr>
        <w:shd w:val="clear" w:color="auto" w:fill="FFFFFF"/>
        <w:spacing w:line="480" w:lineRule="auto"/>
        <w:ind w:firstLine="720"/>
      </w:pPr>
      <w:r w:rsidRPr="00E90DD7">
        <w:rPr>
          <w:b/>
          <w:bCs/>
          <w:i/>
          <w:iCs/>
        </w:rPr>
        <w:t>Unclear Underlying Mechanisms</w:t>
      </w:r>
      <w:r w:rsidRPr="00E90DD7">
        <w:t>.</w:t>
      </w:r>
      <w:r w:rsidRPr="00E90DD7">
        <w:rPr>
          <w:b/>
          <w:bCs/>
        </w:rPr>
        <w:t xml:space="preserve"> </w:t>
      </w:r>
      <w:r w:rsidRPr="00E90DD7">
        <w:t xml:space="preserve">The </w:t>
      </w:r>
      <w:r w:rsidRPr="00E90DD7">
        <w:rPr>
          <w:i/>
          <w:iCs/>
        </w:rPr>
        <w:t>ELM</w:t>
      </w:r>
      <w:r w:rsidRPr="00E90DD7">
        <w:t xml:space="preserve"> has been also criticized for the fact that </w:t>
      </w:r>
      <w:r w:rsidRPr="00E90DD7">
        <w:rPr>
          <w:lang w:val="en"/>
        </w:rPr>
        <w:t xml:space="preserve">attitude change measures are made a posteriori (i.e., after the very exposure to the persuasive message) using Likert or semantic differential scales of attitudes. As such, this method of attitude change measurement is questionable from the perspective that it does not allow </w:t>
      </w:r>
      <w:proofErr w:type="gramStart"/>
      <w:r w:rsidRPr="00E90DD7">
        <w:rPr>
          <w:lang w:val="en"/>
        </w:rPr>
        <w:t>to authentically infer</w:t>
      </w:r>
      <w:proofErr w:type="gramEnd"/>
      <w:r w:rsidRPr="00E90DD7">
        <w:rPr>
          <w:lang w:val="en"/>
        </w:rPr>
        <w:t xml:space="preserve"> the underlying processes inherent to the triggered cognitive responses, which are the key drivers of the attitude change</w:t>
      </w:r>
      <w:r w:rsidRPr="00E90DD7">
        <w:rPr>
          <w:vertAlign w:val="superscript"/>
          <w:lang w:val="en"/>
        </w:rPr>
        <w:footnoteReference w:id="1"/>
      </w:r>
      <w:r w:rsidRPr="00E90DD7">
        <w:rPr>
          <w:lang w:val="en"/>
        </w:rPr>
        <w:t xml:space="preserve">. Accordingly, the </w:t>
      </w:r>
      <w:r w:rsidRPr="00E90DD7">
        <w:rPr>
          <w:i/>
          <w:iCs/>
          <w:lang w:val="en"/>
        </w:rPr>
        <w:t>ELM</w:t>
      </w:r>
      <w:r w:rsidRPr="00E90DD7">
        <w:rPr>
          <w:lang w:val="en"/>
        </w:rPr>
        <w:t xml:space="preserve"> fails to explain the psycho-cognitive mechanisms underlying the processes of persuasion (</w:t>
      </w:r>
      <w:proofErr w:type="spellStart"/>
      <w:r w:rsidRPr="00E90DD7">
        <w:rPr>
          <w:lang w:val="en"/>
        </w:rPr>
        <w:t>Mongeau</w:t>
      </w:r>
      <w:proofErr w:type="spellEnd"/>
      <w:r w:rsidRPr="00E90DD7">
        <w:rPr>
          <w:lang w:val="en"/>
        </w:rPr>
        <w:t xml:space="preserve"> </w:t>
      </w:r>
      <w:r w:rsidR="00BF22C3">
        <w:rPr>
          <w:lang w:val="en"/>
        </w:rPr>
        <w:t xml:space="preserve">and </w:t>
      </w:r>
      <w:r w:rsidRPr="00E90DD7">
        <w:rPr>
          <w:lang w:val="en"/>
        </w:rPr>
        <w:t xml:space="preserve">Stiff 1993). The </w:t>
      </w:r>
      <w:r w:rsidRPr="00E90DD7">
        <w:rPr>
          <w:i/>
          <w:iCs/>
          <w:lang w:val="en"/>
        </w:rPr>
        <w:t>ELM</w:t>
      </w:r>
      <w:r w:rsidRPr="00E90DD7">
        <w:rPr>
          <w:lang w:val="en"/>
        </w:rPr>
        <w:t xml:space="preserve"> </w:t>
      </w:r>
      <w:proofErr w:type="gramStart"/>
      <w:r w:rsidRPr="00E90DD7">
        <w:rPr>
          <w:lang w:val="en"/>
        </w:rPr>
        <w:t>is then criticized</w:t>
      </w:r>
      <w:proofErr w:type="gramEnd"/>
      <w:r w:rsidRPr="00E90DD7">
        <w:rPr>
          <w:lang w:val="en"/>
        </w:rPr>
        <w:t xml:space="preserve"> for its predictive inability, in that it explains the findings a posteriori (</w:t>
      </w:r>
      <w:proofErr w:type="spellStart"/>
      <w:r w:rsidRPr="00E90DD7">
        <w:rPr>
          <w:lang w:val="en"/>
        </w:rPr>
        <w:t>Mongeau</w:t>
      </w:r>
      <w:proofErr w:type="spellEnd"/>
      <w:r w:rsidRPr="00E90DD7">
        <w:rPr>
          <w:lang w:val="en"/>
        </w:rPr>
        <w:t xml:space="preserve"> </w:t>
      </w:r>
      <w:r w:rsidR="00BF22C3">
        <w:rPr>
          <w:lang w:val="en"/>
        </w:rPr>
        <w:t xml:space="preserve">and </w:t>
      </w:r>
      <w:r w:rsidRPr="00E90DD7">
        <w:rPr>
          <w:lang w:val="en"/>
        </w:rPr>
        <w:t>Stiff 1993).</w:t>
      </w:r>
    </w:p>
    <w:p w:rsidR="00E90DD7" w:rsidRPr="00E90DD7" w:rsidRDefault="00E90DD7" w:rsidP="00E90DD7">
      <w:pPr>
        <w:shd w:val="clear" w:color="auto" w:fill="FFFFFF"/>
        <w:spacing w:line="480" w:lineRule="auto"/>
        <w:ind w:firstLine="720"/>
        <w:rPr>
          <w:lang w:val="en"/>
        </w:rPr>
      </w:pPr>
      <w:proofErr w:type="gramStart"/>
      <w:r w:rsidRPr="00E90DD7">
        <w:rPr>
          <w:b/>
          <w:bCs/>
          <w:i/>
          <w:iCs/>
        </w:rPr>
        <w:lastRenderedPageBreak/>
        <w:t>ELM’s</w:t>
      </w:r>
      <w:proofErr w:type="gramEnd"/>
      <w:r w:rsidRPr="00E90DD7">
        <w:rPr>
          <w:b/>
          <w:bCs/>
          <w:i/>
          <w:iCs/>
        </w:rPr>
        <w:t xml:space="preserve"> Descriptive Nature</w:t>
      </w:r>
      <w:r w:rsidRPr="00E90DD7">
        <w:t xml:space="preserve">. </w:t>
      </w:r>
      <w:r w:rsidRPr="00E90DD7">
        <w:rPr>
          <w:lang w:val="en"/>
        </w:rPr>
        <w:t xml:space="preserve">The abovementioned conceptual limitations stemming essentially from the </w:t>
      </w:r>
      <w:r w:rsidRPr="00E90DD7">
        <w:rPr>
          <w:i/>
          <w:iCs/>
          <w:lang w:val="en"/>
        </w:rPr>
        <w:t>ELM</w:t>
      </w:r>
      <w:r w:rsidRPr="00E90DD7">
        <w:t>’</w:t>
      </w:r>
      <w:r w:rsidRPr="00E90DD7">
        <w:rPr>
          <w:lang w:val="en"/>
        </w:rPr>
        <w:t xml:space="preserve">s conceptual flexibility make it essentially a descriptive model. Indeed, </w:t>
      </w:r>
      <w:proofErr w:type="spellStart"/>
      <w:r w:rsidRPr="00E90DD7">
        <w:rPr>
          <w:lang w:val="en"/>
        </w:rPr>
        <w:t>Eagly</w:t>
      </w:r>
      <w:proofErr w:type="spellEnd"/>
      <w:r w:rsidRPr="00E90DD7">
        <w:rPr>
          <w:lang w:val="en"/>
        </w:rPr>
        <w:t xml:space="preserve"> and </w:t>
      </w:r>
      <w:proofErr w:type="spellStart"/>
      <w:r w:rsidRPr="00E90DD7">
        <w:rPr>
          <w:lang w:val="en"/>
        </w:rPr>
        <w:t>Chaiken</w:t>
      </w:r>
      <w:proofErr w:type="spellEnd"/>
      <w:r w:rsidRPr="00E90DD7">
        <w:rPr>
          <w:lang w:val="en"/>
        </w:rPr>
        <w:t xml:space="preserve"> (1993</w:t>
      </w:r>
      <w:r w:rsidR="00BF22C3">
        <w:rPr>
          <w:lang w:val="en"/>
        </w:rPr>
        <w:t>, 321</w:t>
      </w:r>
      <w:r w:rsidRPr="00E90DD7">
        <w:rPr>
          <w:lang w:val="en"/>
        </w:rPr>
        <w:t xml:space="preserve">) criticize this descriptive nature of the </w:t>
      </w:r>
      <w:r w:rsidRPr="00E90DD7">
        <w:rPr>
          <w:i/>
          <w:iCs/>
          <w:lang w:val="en"/>
        </w:rPr>
        <w:t xml:space="preserve">ELM </w:t>
      </w:r>
      <w:r w:rsidRPr="00E90DD7">
        <w:rPr>
          <w:lang w:val="en"/>
        </w:rPr>
        <w:t xml:space="preserve">by suggesting that </w:t>
      </w:r>
    </w:p>
    <w:p w:rsidR="00E90DD7" w:rsidRPr="00E90DD7" w:rsidRDefault="00E90DD7" w:rsidP="00BF22C3">
      <w:pPr>
        <w:shd w:val="clear" w:color="auto" w:fill="FFFFFF"/>
        <w:spacing w:line="480" w:lineRule="auto"/>
        <w:ind w:left="720"/>
        <w:rPr>
          <w:lang w:val="en"/>
        </w:rPr>
      </w:pPr>
      <w:r w:rsidRPr="00E90DD7">
        <w:t>[t]</w:t>
      </w:r>
      <w:proofErr w:type="spellStart"/>
      <w:r w:rsidRPr="00E90DD7">
        <w:t>hese</w:t>
      </w:r>
      <w:proofErr w:type="spellEnd"/>
      <w:r w:rsidRPr="00E90DD7">
        <w:t xml:space="preserve"> inferences are descriptive . . . because the model does not specify on an a priori basis why exposure to many (vs. few) arguments ought to motivate or enable objective processing, why prior knowledge ought to motivate or enable biased processing, or why source variables ought to motivate objective processing when the elaboration likelihood is moderate. </w:t>
      </w:r>
    </w:p>
    <w:p w:rsidR="00E90DD7" w:rsidRPr="00E90DD7" w:rsidRDefault="00E90DD7" w:rsidP="00E90DD7">
      <w:pPr>
        <w:shd w:val="clear" w:color="auto" w:fill="FFFFFF"/>
        <w:spacing w:line="480" w:lineRule="auto"/>
        <w:ind w:firstLine="720"/>
        <w:rPr>
          <w:rFonts w:eastAsia="Calibri"/>
        </w:rPr>
      </w:pPr>
      <w:r w:rsidRPr="00E90DD7">
        <w:rPr>
          <w:b/>
          <w:bCs/>
          <w:i/>
          <w:iCs/>
          <w:lang w:val="en"/>
        </w:rPr>
        <w:t>Artificiality of the Qualitative Distinction</w:t>
      </w:r>
      <w:r w:rsidRPr="00E90DD7">
        <w:rPr>
          <w:lang w:val="en"/>
        </w:rPr>
        <w:t xml:space="preserve">. Chief among the stream of the conceptual limitations of the </w:t>
      </w:r>
      <w:r w:rsidRPr="00E90DD7">
        <w:rPr>
          <w:i/>
          <w:iCs/>
          <w:lang w:val="en"/>
        </w:rPr>
        <w:t>ELM</w:t>
      </w:r>
      <w:r w:rsidRPr="00E90DD7">
        <w:rPr>
          <w:lang w:val="en"/>
        </w:rPr>
        <w:t xml:space="preserve">, </w:t>
      </w:r>
      <w:proofErr w:type="spellStart"/>
      <w:r w:rsidRPr="00E90DD7">
        <w:rPr>
          <w:lang w:val="en"/>
        </w:rPr>
        <w:t>Kruglanski</w:t>
      </w:r>
      <w:proofErr w:type="spellEnd"/>
      <w:r w:rsidRPr="00E90DD7">
        <w:rPr>
          <w:lang w:val="en"/>
        </w:rPr>
        <w:t xml:space="preserve"> and Thompson (1999) argue that the </w:t>
      </w:r>
      <w:r w:rsidRPr="00E90DD7">
        <w:rPr>
          <w:i/>
          <w:iCs/>
          <w:lang w:val="en"/>
        </w:rPr>
        <w:t>ELM</w:t>
      </w:r>
      <w:r w:rsidRPr="00E90DD7">
        <w:t>’</w:t>
      </w:r>
      <w:r w:rsidRPr="00E90DD7">
        <w:rPr>
          <w:lang w:val="en"/>
        </w:rPr>
        <w:t>s qualitative distinction between the central and the peripheral routes is artificial. In particular, they point out that there are not two routes to persuasion but rather one.</w:t>
      </w:r>
      <w:r w:rsidRPr="00E90DD7">
        <w:rPr>
          <w:rFonts w:eastAsia="Calibri"/>
        </w:rPr>
        <w:t xml:space="preserve"> According to the </w:t>
      </w:r>
      <w:proofErr w:type="spellStart"/>
      <w:r w:rsidRPr="00E90DD7">
        <w:rPr>
          <w:rFonts w:eastAsia="Calibri"/>
          <w:i/>
          <w:iCs/>
        </w:rPr>
        <w:t>unimodel</w:t>
      </w:r>
      <w:proofErr w:type="spellEnd"/>
      <w:r w:rsidRPr="00E90DD7">
        <w:rPr>
          <w:rFonts w:eastAsia="Calibri"/>
        </w:rPr>
        <w:t xml:space="preserve">, dual-process models, such as the </w:t>
      </w:r>
      <w:r w:rsidRPr="00E90DD7">
        <w:rPr>
          <w:rFonts w:eastAsia="Calibri"/>
          <w:i/>
          <w:iCs/>
        </w:rPr>
        <w:t>ELM</w:t>
      </w:r>
      <w:r w:rsidRPr="00E90DD7">
        <w:rPr>
          <w:rFonts w:eastAsia="Calibri"/>
        </w:rPr>
        <w:t xml:space="preserve">, do not describe qualitatively different processes but depict only more or less complex variants of the very same underlying mechanism of the persuasion phenomenon. </w:t>
      </w:r>
    </w:p>
    <w:p w:rsidR="00200517" w:rsidRDefault="00200517" w:rsidP="00200517">
      <w:pPr>
        <w:shd w:val="clear" w:color="auto" w:fill="FFFFFF"/>
        <w:spacing w:line="480" w:lineRule="auto"/>
        <w:rPr>
          <w:b/>
          <w:bCs/>
          <w:lang w:val="en"/>
        </w:rPr>
      </w:pPr>
      <w:r w:rsidRPr="00200517">
        <w:rPr>
          <w:b/>
          <w:bCs/>
          <w:lang w:val="en"/>
        </w:rPr>
        <w:t>References</w:t>
      </w:r>
    </w:p>
    <w:p w:rsidR="00BF22C3" w:rsidRPr="00BF22C3" w:rsidRDefault="00BF22C3" w:rsidP="00BF22C3">
      <w:pPr>
        <w:spacing w:line="480" w:lineRule="auto"/>
        <w:ind w:left="720" w:hanging="720"/>
        <w:rPr>
          <w:iCs/>
        </w:rPr>
      </w:pPr>
      <w:r w:rsidRPr="00BF22C3">
        <w:rPr>
          <w:lang w:val="de-DE"/>
        </w:rPr>
        <w:t xml:space="preserve">Bitner, M. J., and C. Obermiller. 1985. </w:t>
      </w:r>
      <w:r w:rsidRPr="00BF22C3">
        <w:t xml:space="preserve">“The Elaboration Likelihood Model: Limitations and Extensions in Marketing.” </w:t>
      </w:r>
      <w:r w:rsidRPr="00BF22C3">
        <w:rPr>
          <w:i/>
        </w:rPr>
        <w:t xml:space="preserve">Advances in Consumer Research </w:t>
      </w:r>
      <w:r w:rsidRPr="00BF22C3">
        <w:rPr>
          <w:iCs/>
        </w:rPr>
        <w:t>12 (1): 420</w:t>
      </w:r>
      <w:r w:rsidRPr="00BF22C3">
        <w:rPr>
          <w:iCs/>
          <w:shd w:val="clear" w:color="auto" w:fill="FFFFFF"/>
        </w:rPr>
        <w:t>–</w:t>
      </w:r>
      <w:r w:rsidRPr="00BF22C3">
        <w:rPr>
          <w:iCs/>
        </w:rPr>
        <w:t>425.</w:t>
      </w:r>
    </w:p>
    <w:p w:rsidR="00BF22C3" w:rsidRPr="00BF22C3" w:rsidRDefault="00BF22C3" w:rsidP="00BF22C3">
      <w:pPr>
        <w:spacing w:line="480" w:lineRule="auto"/>
        <w:ind w:left="720" w:hanging="720"/>
      </w:pPr>
      <w:proofErr w:type="spellStart"/>
      <w:r w:rsidRPr="00BF22C3">
        <w:t>Eagly</w:t>
      </w:r>
      <w:proofErr w:type="spellEnd"/>
      <w:r w:rsidRPr="00BF22C3">
        <w:t xml:space="preserve">, A. </w:t>
      </w:r>
      <w:proofErr w:type="gramStart"/>
      <w:r w:rsidRPr="00BF22C3">
        <w:t>H.,</w:t>
      </w:r>
      <w:proofErr w:type="gramEnd"/>
      <w:r w:rsidRPr="00BF22C3">
        <w:t xml:space="preserve"> and S. </w:t>
      </w:r>
      <w:proofErr w:type="spellStart"/>
      <w:r w:rsidRPr="00BF22C3">
        <w:t>Chaiken</w:t>
      </w:r>
      <w:proofErr w:type="spellEnd"/>
      <w:r w:rsidRPr="00BF22C3">
        <w:t xml:space="preserve">. 1993. </w:t>
      </w:r>
      <w:r w:rsidRPr="00BF22C3">
        <w:rPr>
          <w:i/>
          <w:iCs/>
        </w:rPr>
        <w:t>The Psychology of Attitudes</w:t>
      </w:r>
      <w:r w:rsidRPr="00BF22C3">
        <w:rPr>
          <w:iCs/>
        </w:rPr>
        <w:t>.</w:t>
      </w:r>
      <w:r w:rsidRPr="00BF22C3">
        <w:t xml:space="preserve"> Harcourt Brace Jovanovich.</w:t>
      </w:r>
    </w:p>
    <w:p w:rsidR="00BF22C3" w:rsidRPr="00BF22C3" w:rsidRDefault="00BF22C3" w:rsidP="00907953">
      <w:pPr>
        <w:spacing w:line="480" w:lineRule="auto"/>
        <w:ind w:left="720" w:hanging="720"/>
      </w:pPr>
      <w:proofErr w:type="spellStart"/>
      <w:r w:rsidRPr="00BF22C3">
        <w:rPr>
          <w:shd w:val="clear" w:color="auto" w:fill="FFFFFF"/>
        </w:rPr>
        <w:t>Mongeau</w:t>
      </w:r>
      <w:proofErr w:type="spellEnd"/>
      <w:r w:rsidRPr="00BF22C3">
        <w:rPr>
          <w:shd w:val="clear" w:color="auto" w:fill="FFFFFF"/>
        </w:rPr>
        <w:t>, P. A., and J. B. Stiff. 1993. “Specifying Causal Relationships in the Elaboration Likelihood Model.” </w:t>
      </w:r>
      <w:r w:rsidRPr="00BF22C3">
        <w:rPr>
          <w:i/>
          <w:iCs/>
          <w:shd w:val="clear" w:color="auto" w:fill="FFFFFF"/>
        </w:rPr>
        <w:t>Communication Theory</w:t>
      </w:r>
      <w:r w:rsidRPr="00BF22C3">
        <w:rPr>
          <w:shd w:val="clear" w:color="auto" w:fill="FFFFFF"/>
        </w:rPr>
        <w:t xml:space="preserve"> 3 (1): 65–72</w:t>
      </w:r>
      <w:r w:rsidRPr="00BF22C3">
        <w:t xml:space="preserve">. </w:t>
      </w:r>
      <w:hyperlink r:id="rId6" w:history="1">
        <w:r w:rsidRPr="00BF22C3">
          <w:rPr>
            <w:color w:val="0000FF"/>
            <w:u w:val="single"/>
          </w:rPr>
          <w:t>doi:10.1111/j.1468-2885.1993.tb00057.x</w:t>
        </w:r>
      </w:hyperlink>
    </w:p>
    <w:p w:rsidR="00BF22C3" w:rsidRPr="005330D1" w:rsidRDefault="00BF22C3" w:rsidP="00BF22C3">
      <w:pPr>
        <w:spacing w:line="480" w:lineRule="auto"/>
        <w:ind w:left="720" w:hanging="720"/>
      </w:pPr>
    </w:p>
    <w:p w:rsidR="005330D1" w:rsidRDefault="005330D1" w:rsidP="00907953">
      <w:pPr>
        <w:spacing w:line="480" w:lineRule="auto"/>
        <w:ind w:left="720" w:hanging="720"/>
        <w:rPr>
          <w:rFonts w:asciiTheme="majorBidi" w:hAnsiTheme="majorBidi" w:cstheme="majorBidi"/>
        </w:rPr>
      </w:pPr>
      <w:r w:rsidRPr="004110A1">
        <w:lastRenderedPageBreak/>
        <w:t xml:space="preserve">Petty, R. E., </w:t>
      </w:r>
      <w:r w:rsidR="00BF22C3">
        <w:t xml:space="preserve">and J. T. </w:t>
      </w:r>
      <w:proofErr w:type="spellStart"/>
      <w:r w:rsidRPr="004110A1">
        <w:t>Cacioppo</w:t>
      </w:r>
      <w:proofErr w:type="spellEnd"/>
      <w:r w:rsidRPr="004110A1">
        <w:t xml:space="preserve">. 1986. </w:t>
      </w:r>
      <w:r w:rsidR="00BF22C3">
        <w:t>“</w:t>
      </w:r>
      <w:r w:rsidRPr="005330D1">
        <w:t>The elaboration likelihood model of persuasion.</w:t>
      </w:r>
      <w:r w:rsidR="00BF22C3">
        <w:t>”</w:t>
      </w:r>
      <w:r w:rsidRPr="005330D1">
        <w:t xml:space="preserve"> </w:t>
      </w:r>
      <w:r w:rsidRPr="005330D1">
        <w:rPr>
          <w:i/>
        </w:rPr>
        <w:t xml:space="preserve">Advances in Experimental Social Psychology </w:t>
      </w:r>
      <w:r w:rsidRPr="00BF22C3">
        <w:t>19</w:t>
      </w:r>
      <w:r w:rsidR="00BF22C3">
        <w:rPr>
          <w:i/>
          <w:iCs/>
        </w:rPr>
        <w:t>:</w:t>
      </w:r>
      <w:r w:rsidRPr="005330D1">
        <w:t xml:space="preserve"> 123</w:t>
      </w:r>
      <w:r w:rsidRPr="005330D1">
        <w:rPr>
          <w:shd w:val="clear" w:color="auto" w:fill="FFFFFF"/>
        </w:rPr>
        <w:t>–</w:t>
      </w:r>
      <w:r w:rsidRPr="005330D1">
        <w:t xml:space="preserve">205. </w:t>
      </w:r>
      <w:proofErr w:type="gramStart"/>
      <w:r w:rsidR="00BF22C3" w:rsidRPr="00BF22C3">
        <w:t>doi</w:t>
      </w:r>
      <w:proofErr w:type="gramEnd"/>
      <w:r w:rsidR="00BF22C3" w:rsidRPr="00BF22C3">
        <w:rPr>
          <w:rFonts w:asciiTheme="majorBidi" w:hAnsiTheme="majorBidi" w:cstheme="majorBidi"/>
          <w:shd w:val="clear" w:color="auto" w:fill="FFFFFF"/>
        </w:rPr>
        <w:t>:</w:t>
      </w:r>
      <w:hyperlink r:id="rId7" w:tgtFrame="_blank" w:history="1">
        <w:r w:rsidR="00BF22C3" w:rsidRPr="00BF22C3">
          <w:rPr>
            <w:rFonts w:asciiTheme="majorBidi" w:hAnsiTheme="majorBidi" w:cstheme="majorBidi"/>
            <w:u w:val="single"/>
            <w:bdr w:val="none" w:sz="0" w:space="0" w:color="auto" w:frame="1"/>
            <w:shd w:val="clear" w:color="auto" w:fill="FFFFFF"/>
          </w:rPr>
          <w:t>10.1016/S0065-2601(08)60214-2</w:t>
        </w:r>
      </w:hyperlink>
    </w:p>
    <w:p w:rsidR="005330D1" w:rsidRDefault="005330D1" w:rsidP="00907953">
      <w:pPr>
        <w:spacing w:line="480" w:lineRule="auto"/>
        <w:ind w:left="720" w:hanging="720"/>
      </w:pPr>
      <w:r w:rsidRPr="005330D1">
        <w:rPr>
          <w:shd w:val="clear" w:color="auto" w:fill="FFFFFF"/>
        </w:rPr>
        <w:t>Stiff, J. B.,</w:t>
      </w:r>
      <w:r w:rsidR="004F1082">
        <w:rPr>
          <w:shd w:val="clear" w:color="auto" w:fill="FFFFFF"/>
        </w:rPr>
        <w:t xml:space="preserve"> and </w:t>
      </w:r>
      <w:r w:rsidR="00BF22C3">
        <w:rPr>
          <w:shd w:val="clear" w:color="auto" w:fill="FFFFFF"/>
        </w:rPr>
        <w:t xml:space="preserve">F. J. </w:t>
      </w:r>
      <w:proofErr w:type="spellStart"/>
      <w:r w:rsidRPr="005330D1">
        <w:rPr>
          <w:shd w:val="clear" w:color="auto" w:fill="FFFFFF"/>
        </w:rPr>
        <w:t>Boster</w:t>
      </w:r>
      <w:proofErr w:type="spellEnd"/>
      <w:r w:rsidR="00BF22C3">
        <w:rPr>
          <w:shd w:val="clear" w:color="auto" w:fill="FFFFFF"/>
        </w:rPr>
        <w:t>.</w:t>
      </w:r>
      <w:r w:rsidRPr="005330D1">
        <w:rPr>
          <w:shd w:val="clear" w:color="auto" w:fill="FFFFFF"/>
        </w:rPr>
        <w:t xml:space="preserve"> 1987. Cognitive </w:t>
      </w:r>
      <w:r w:rsidR="00BF22C3">
        <w:rPr>
          <w:shd w:val="clear" w:color="auto" w:fill="FFFFFF"/>
        </w:rPr>
        <w:t>P</w:t>
      </w:r>
      <w:r w:rsidRPr="005330D1">
        <w:rPr>
          <w:shd w:val="clear" w:color="auto" w:fill="FFFFFF"/>
        </w:rPr>
        <w:t xml:space="preserve">rocessing: Additional </w:t>
      </w:r>
      <w:r w:rsidR="00BF22C3">
        <w:rPr>
          <w:shd w:val="clear" w:color="auto" w:fill="FFFFFF"/>
        </w:rPr>
        <w:t>T</w:t>
      </w:r>
      <w:r w:rsidRPr="005330D1">
        <w:rPr>
          <w:shd w:val="clear" w:color="auto" w:fill="FFFFFF"/>
        </w:rPr>
        <w:t xml:space="preserve">houghts and a </w:t>
      </w:r>
      <w:r w:rsidR="00BF22C3">
        <w:rPr>
          <w:shd w:val="clear" w:color="auto" w:fill="FFFFFF"/>
        </w:rPr>
        <w:t>R</w:t>
      </w:r>
      <w:r w:rsidRPr="005330D1">
        <w:rPr>
          <w:shd w:val="clear" w:color="auto" w:fill="FFFFFF"/>
        </w:rPr>
        <w:t xml:space="preserve">eply to </w:t>
      </w:r>
      <w:r w:rsidR="00BF22C3">
        <w:rPr>
          <w:shd w:val="clear" w:color="auto" w:fill="FFFFFF"/>
        </w:rPr>
        <w:t>P</w:t>
      </w:r>
      <w:r w:rsidRPr="005330D1">
        <w:rPr>
          <w:shd w:val="clear" w:color="auto" w:fill="FFFFFF"/>
        </w:rPr>
        <w:t xml:space="preserve">etty, </w:t>
      </w:r>
      <w:proofErr w:type="spellStart"/>
      <w:r w:rsidRPr="005330D1">
        <w:rPr>
          <w:shd w:val="clear" w:color="auto" w:fill="FFFFFF"/>
        </w:rPr>
        <w:t>Kasmer</w:t>
      </w:r>
      <w:proofErr w:type="spellEnd"/>
      <w:r w:rsidRPr="005330D1">
        <w:rPr>
          <w:shd w:val="clear" w:color="auto" w:fill="FFFFFF"/>
        </w:rPr>
        <w:t xml:space="preserve">, </w:t>
      </w:r>
      <w:proofErr w:type="spellStart"/>
      <w:r w:rsidRPr="005330D1">
        <w:rPr>
          <w:shd w:val="clear" w:color="auto" w:fill="FFFFFF"/>
        </w:rPr>
        <w:t>Haugtvedt</w:t>
      </w:r>
      <w:proofErr w:type="spellEnd"/>
      <w:r w:rsidRPr="005330D1">
        <w:rPr>
          <w:shd w:val="clear" w:color="auto" w:fill="FFFFFF"/>
        </w:rPr>
        <w:t xml:space="preserve">, and </w:t>
      </w:r>
      <w:proofErr w:type="spellStart"/>
      <w:r w:rsidRPr="005330D1">
        <w:rPr>
          <w:shd w:val="clear" w:color="auto" w:fill="FFFFFF"/>
        </w:rPr>
        <w:t>Cacioppo</w:t>
      </w:r>
      <w:proofErr w:type="spellEnd"/>
      <w:r w:rsidRPr="005330D1">
        <w:rPr>
          <w:shd w:val="clear" w:color="auto" w:fill="FFFFFF"/>
        </w:rPr>
        <w:t>.</w:t>
      </w:r>
      <w:r w:rsidR="00BF22C3">
        <w:rPr>
          <w:shd w:val="clear" w:color="auto" w:fill="FFFFFF"/>
        </w:rPr>
        <w:t>”</w:t>
      </w:r>
      <w:r w:rsidRPr="005330D1">
        <w:t xml:space="preserve"> </w:t>
      </w:r>
      <w:r w:rsidRPr="005330D1">
        <w:rPr>
          <w:i/>
        </w:rPr>
        <w:t>Communication Monographs</w:t>
      </w:r>
      <w:r w:rsidRPr="005330D1">
        <w:rPr>
          <w:iCs/>
        </w:rPr>
        <w:t xml:space="preserve"> </w:t>
      </w:r>
      <w:r w:rsidRPr="004F1082">
        <w:rPr>
          <w:iCs/>
        </w:rPr>
        <w:t>54</w:t>
      </w:r>
      <w:r w:rsidR="004F1082">
        <w:rPr>
          <w:iCs/>
        </w:rPr>
        <w:t xml:space="preserve"> (3)</w:t>
      </w:r>
      <w:r w:rsidR="00BF22C3" w:rsidRPr="004F1082">
        <w:rPr>
          <w:iCs/>
        </w:rPr>
        <w:t>:</w:t>
      </w:r>
      <w:r w:rsidRPr="004F1082">
        <w:rPr>
          <w:iCs/>
        </w:rPr>
        <w:t xml:space="preserve"> 250</w:t>
      </w:r>
      <w:r w:rsidRPr="004F1082">
        <w:rPr>
          <w:iCs/>
          <w:shd w:val="clear" w:color="auto" w:fill="FFFFFF"/>
        </w:rPr>
        <w:t>–</w:t>
      </w:r>
      <w:r w:rsidRPr="004F1082">
        <w:rPr>
          <w:iCs/>
        </w:rPr>
        <w:t>256.</w:t>
      </w:r>
      <w:r w:rsidRPr="005330D1">
        <w:t xml:space="preserve"> </w:t>
      </w:r>
      <w:hyperlink r:id="rId8" w:history="1">
        <w:proofErr w:type="gramStart"/>
        <w:r w:rsidR="00A56721" w:rsidRPr="00615DA3">
          <w:rPr>
            <w:rStyle w:val="Hyperlink"/>
          </w:rPr>
          <w:t>doi:</w:t>
        </w:r>
        <w:proofErr w:type="gramEnd"/>
        <w:r w:rsidR="00A56721" w:rsidRPr="00615DA3">
          <w:rPr>
            <w:rStyle w:val="Hyperlink"/>
          </w:rPr>
          <w:t>10.1080/03637758709390230</w:t>
        </w:r>
      </w:hyperlink>
    </w:p>
    <w:p w:rsidR="005330D1" w:rsidRPr="005330D1" w:rsidRDefault="005330D1" w:rsidP="004F1082">
      <w:pPr>
        <w:spacing w:line="480" w:lineRule="auto"/>
        <w:ind w:left="720" w:hanging="720"/>
      </w:pPr>
      <w:r w:rsidRPr="005330D1">
        <w:t xml:space="preserve">Stiff, J. B. 1994. </w:t>
      </w:r>
      <w:r w:rsidRPr="005330D1">
        <w:rPr>
          <w:i/>
        </w:rPr>
        <w:t>Persuasive communication</w:t>
      </w:r>
      <w:r w:rsidRPr="005330D1">
        <w:t>. Ford Press.</w:t>
      </w:r>
    </w:p>
    <w:p w:rsidR="005330D1" w:rsidRDefault="005330D1" w:rsidP="00200517">
      <w:pPr>
        <w:spacing w:line="480" w:lineRule="auto"/>
        <w:ind w:left="720" w:hanging="720"/>
        <w:rPr>
          <w:shd w:val="clear" w:color="auto" w:fill="FFFFFF"/>
        </w:rPr>
      </w:pPr>
    </w:p>
    <w:p w:rsidR="00200517" w:rsidRPr="00E90DD7" w:rsidRDefault="00200517"/>
    <w:sectPr w:rsidR="00200517" w:rsidRPr="00E90DD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50B" w:rsidRDefault="0010750B" w:rsidP="00E90DD7">
      <w:r>
        <w:separator/>
      </w:r>
    </w:p>
  </w:endnote>
  <w:endnote w:type="continuationSeparator" w:id="0">
    <w:p w:rsidR="0010750B" w:rsidRDefault="0010750B" w:rsidP="00E9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5" w:rsidRDefault="001D3E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5" w:rsidRDefault="001D3E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5" w:rsidRDefault="001D3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50B" w:rsidRDefault="0010750B" w:rsidP="00E90DD7">
      <w:r>
        <w:separator/>
      </w:r>
    </w:p>
  </w:footnote>
  <w:footnote w:type="continuationSeparator" w:id="0">
    <w:p w:rsidR="0010750B" w:rsidRDefault="0010750B" w:rsidP="00E90DD7">
      <w:r>
        <w:continuationSeparator/>
      </w:r>
    </w:p>
  </w:footnote>
  <w:footnote w:id="1">
    <w:p w:rsidR="00E90DD7" w:rsidRPr="006316D4" w:rsidRDefault="00E90DD7" w:rsidP="00E90DD7">
      <w:pPr>
        <w:pStyle w:val="EndnoteText"/>
        <w:rPr>
          <w:lang w:val="en"/>
        </w:rPr>
      </w:pPr>
      <w:r w:rsidRPr="006316D4">
        <w:rPr>
          <w:rStyle w:val="FootnoteReference"/>
        </w:rPr>
        <w:footnoteRef/>
      </w:r>
      <w:r w:rsidRPr="006316D4">
        <w:t xml:space="preserve"> </w:t>
      </w:r>
      <w:r w:rsidRPr="006316D4">
        <w:rPr>
          <w:lang w:val="en"/>
        </w:rPr>
        <w:t>As a remedy, thoughts</w:t>
      </w:r>
      <w:r w:rsidRPr="006316D4">
        <w:t>’</w:t>
      </w:r>
      <w:r w:rsidRPr="006316D4">
        <w:rPr>
          <w:lang w:val="en"/>
        </w:rPr>
        <w:t xml:space="preserve"> listing </w:t>
      </w:r>
      <w:proofErr w:type="gramStart"/>
      <w:r w:rsidRPr="006316D4">
        <w:rPr>
          <w:lang w:val="en"/>
        </w:rPr>
        <w:t>has been used</w:t>
      </w:r>
      <w:proofErr w:type="gramEnd"/>
      <w:r w:rsidRPr="006316D4">
        <w:rPr>
          <w:lang w:val="en"/>
        </w:rPr>
        <w:t xml:space="preserve"> in conjunction with attitudes</w:t>
      </w:r>
      <w:r w:rsidRPr="006316D4">
        <w:t>’</w:t>
      </w:r>
      <w:r w:rsidRPr="006316D4">
        <w:rPr>
          <w:lang w:val="en"/>
        </w:rPr>
        <w:t xml:space="preserve"> scales. Nevertheless, this method is not without its own limits such as demand characteristic</w:t>
      </w:r>
      <w:r>
        <w:rPr>
          <w:lang w:val="en"/>
        </w:rPr>
        <w:t xml:space="preserve"> and </w:t>
      </w:r>
      <w:r w:rsidRPr="006316D4">
        <w:rPr>
          <w:lang w:val="en"/>
        </w:rPr>
        <w:t>social desirability</w:t>
      </w:r>
      <w:r>
        <w:rPr>
          <w:lang w:val="en"/>
        </w:rPr>
        <w:t>.</w:t>
      </w:r>
      <w:r w:rsidRPr="006316D4">
        <w:rPr>
          <w:lang w:val="en"/>
        </w:rPr>
        <w:t xml:space="preserve"> </w:t>
      </w:r>
    </w:p>
    <w:p w:rsidR="00E90DD7" w:rsidRPr="00257EA1" w:rsidRDefault="00E90DD7" w:rsidP="00E90DD7">
      <w:pPr>
        <w:pStyle w:val="FootnoteText"/>
        <w:rPr>
          <w:lang w:val="e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5" w:rsidRDefault="001D3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5" w:rsidRDefault="001D3E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5" w:rsidRDefault="001D3E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DD7"/>
    <w:rsid w:val="0010750B"/>
    <w:rsid w:val="001D3E65"/>
    <w:rsid w:val="00200517"/>
    <w:rsid w:val="0021064D"/>
    <w:rsid w:val="003D1B00"/>
    <w:rsid w:val="004110A1"/>
    <w:rsid w:val="0043014C"/>
    <w:rsid w:val="004F1082"/>
    <w:rsid w:val="00514055"/>
    <w:rsid w:val="005330D1"/>
    <w:rsid w:val="007246EB"/>
    <w:rsid w:val="00796896"/>
    <w:rsid w:val="00907953"/>
    <w:rsid w:val="00A42C85"/>
    <w:rsid w:val="00A56721"/>
    <w:rsid w:val="00AF3ED2"/>
    <w:rsid w:val="00BF22C3"/>
    <w:rsid w:val="00C6131B"/>
    <w:rsid w:val="00D5634D"/>
    <w:rsid w:val="00E90DD7"/>
    <w:rsid w:val="00ED197E"/>
    <w:rsid w:val="00F33908"/>
    <w:rsid w:val="00FC5D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D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90DD7"/>
    <w:rPr>
      <w:sz w:val="20"/>
      <w:szCs w:val="20"/>
    </w:rPr>
  </w:style>
  <w:style w:type="character" w:customStyle="1" w:styleId="FootnoteTextChar">
    <w:name w:val="Footnote Text Char"/>
    <w:basedOn w:val="DefaultParagraphFont"/>
    <w:link w:val="FootnoteText"/>
    <w:semiHidden/>
    <w:rsid w:val="00E90DD7"/>
    <w:rPr>
      <w:rFonts w:ascii="Times New Roman" w:eastAsia="Times New Roman" w:hAnsi="Times New Roman" w:cs="Times New Roman"/>
      <w:sz w:val="20"/>
      <w:szCs w:val="20"/>
    </w:rPr>
  </w:style>
  <w:style w:type="character" w:styleId="FootnoteReference">
    <w:name w:val="footnote reference"/>
    <w:uiPriority w:val="99"/>
    <w:semiHidden/>
    <w:rsid w:val="00E90DD7"/>
    <w:rPr>
      <w:vertAlign w:val="superscript"/>
    </w:rPr>
  </w:style>
  <w:style w:type="paragraph" w:styleId="EndnoteText">
    <w:name w:val="endnote text"/>
    <w:basedOn w:val="Normal"/>
    <w:link w:val="EndnoteTextChar"/>
    <w:rsid w:val="00E90DD7"/>
    <w:rPr>
      <w:sz w:val="20"/>
      <w:szCs w:val="20"/>
    </w:rPr>
  </w:style>
  <w:style w:type="character" w:customStyle="1" w:styleId="EndnoteTextChar">
    <w:name w:val="Endnote Text Char"/>
    <w:basedOn w:val="DefaultParagraphFont"/>
    <w:link w:val="EndnoteText"/>
    <w:rsid w:val="00E90DD7"/>
    <w:rPr>
      <w:rFonts w:ascii="Times New Roman" w:eastAsia="Times New Roman" w:hAnsi="Times New Roman" w:cs="Times New Roman"/>
      <w:sz w:val="20"/>
      <w:szCs w:val="20"/>
    </w:rPr>
  </w:style>
  <w:style w:type="character" w:styleId="Hyperlink">
    <w:name w:val="Hyperlink"/>
    <w:basedOn w:val="DefaultParagraphFont"/>
    <w:uiPriority w:val="99"/>
    <w:unhideWhenUsed/>
    <w:rsid w:val="00A56721"/>
    <w:rPr>
      <w:color w:val="0563C1" w:themeColor="hyperlink"/>
      <w:u w:val="single"/>
    </w:rPr>
  </w:style>
  <w:style w:type="paragraph" w:styleId="Header">
    <w:name w:val="header"/>
    <w:basedOn w:val="Normal"/>
    <w:link w:val="HeaderChar"/>
    <w:uiPriority w:val="99"/>
    <w:unhideWhenUsed/>
    <w:rsid w:val="001D3E65"/>
    <w:pPr>
      <w:tabs>
        <w:tab w:val="center" w:pos="4680"/>
        <w:tab w:val="right" w:pos="9360"/>
      </w:tabs>
    </w:pPr>
  </w:style>
  <w:style w:type="character" w:customStyle="1" w:styleId="HeaderChar">
    <w:name w:val="Header Char"/>
    <w:basedOn w:val="DefaultParagraphFont"/>
    <w:link w:val="Header"/>
    <w:uiPriority w:val="99"/>
    <w:rsid w:val="001D3E6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D3E65"/>
    <w:pPr>
      <w:tabs>
        <w:tab w:val="center" w:pos="4680"/>
        <w:tab w:val="right" w:pos="9360"/>
      </w:tabs>
    </w:pPr>
  </w:style>
  <w:style w:type="character" w:customStyle="1" w:styleId="FooterChar">
    <w:name w:val="Footer Char"/>
    <w:basedOn w:val="DefaultParagraphFont"/>
    <w:link w:val="Footer"/>
    <w:uiPriority w:val="99"/>
    <w:rsid w:val="001D3E6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10.1080/03637758709390230"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dx.doi.org/10.1016/S0065-2601(08)60214-2"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10.1111/j.1468-2885.1993.tb00057.x"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902</Words>
  <Characters>5143</Characters>
  <Application>Microsoft Office Word</Application>
  <DocSecurity>0</DocSecurity>
  <Lines>42</Lines>
  <Paragraphs>12</Paragraphs>
  <ScaleCrop>false</ScaleCrop>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2021-11-19T05:01:00Z</dcterms:created>
  <dcterms:modified xsi:type="dcterms:W3CDTF">2021-11-19T05:01:00Z</dcterms:modified>
</cp:coreProperties>
</file>