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tiff" ContentType="image/tiff"/>
  <Default Extension="tif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07F96F" w14:textId="3C1F267B" w:rsidR="007D68EC" w:rsidRPr="000D3477" w:rsidRDefault="00563652" w:rsidP="00563652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0D3477">
        <w:rPr>
          <w:rFonts w:asciiTheme="majorBidi" w:hAnsiTheme="majorBidi" w:cstheme="majorBidi"/>
          <w:b/>
          <w:bCs/>
          <w:sz w:val="24"/>
          <w:szCs w:val="24"/>
        </w:rPr>
        <w:t xml:space="preserve">Supplementary </w:t>
      </w:r>
      <w:r w:rsidR="00047C52">
        <w:rPr>
          <w:rFonts w:asciiTheme="majorBidi" w:hAnsiTheme="majorBidi" w:cstheme="majorBidi"/>
          <w:b/>
          <w:bCs/>
          <w:sz w:val="24"/>
          <w:szCs w:val="24"/>
        </w:rPr>
        <w:t>Material</w:t>
      </w:r>
    </w:p>
    <w:p w14:paraId="67D6FDBF" w14:textId="77777777" w:rsidR="00D03C0C" w:rsidRPr="000D3477" w:rsidRDefault="00D03C0C" w:rsidP="00D03C0C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  <w:r w:rsidRPr="000D3477">
        <w:rPr>
          <w:rFonts w:asciiTheme="majorBidi" w:hAnsiTheme="majorBidi" w:cstheme="majorBidi"/>
          <w:b/>
          <w:bCs/>
          <w:sz w:val="24"/>
          <w:szCs w:val="24"/>
          <w:lang w:val="en-GB"/>
        </w:rPr>
        <w:t>Formulation and rheological characterization of piezoelectric nanofluid</w:t>
      </w:r>
    </w:p>
    <w:p w14:paraId="3DD181D9" w14:textId="77777777" w:rsidR="00D03C0C" w:rsidRPr="000D3477" w:rsidRDefault="00D03C0C" w:rsidP="00D03C0C">
      <w:pPr>
        <w:jc w:val="center"/>
        <w:rPr>
          <w:rFonts w:asciiTheme="majorBidi" w:hAnsiTheme="majorBidi" w:cstheme="majorBidi"/>
          <w:sz w:val="24"/>
          <w:szCs w:val="24"/>
          <w:lang w:val="en-GB"/>
        </w:rPr>
      </w:pPr>
      <w:r w:rsidRPr="000D3477">
        <w:rPr>
          <w:rFonts w:asciiTheme="majorBidi" w:hAnsiTheme="majorBidi" w:cstheme="majorBidi"/>
          <w:sz w:val="24"/>
          <w:szCs w:val="24"/>
          <w:lang w:val="en-GB"/>
        </w:rPr>
        <w:t>Mohamed Youssry*, Sara Al–Abed, Raghad Abu Zannad, Maram M. Meslam, Rahaf Asad</w:t>
      </w:r>
    </w:p>
    <w:p w14:paraId="296F262B" w14:textId="5419D2B2" w:rsidR="00D03C0C" w:rsidRPr="001F6907" w:rsidRDefault="001F6907" w:rsidP="00D03C0C">
      <w:pPr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 w:rsidRPr="001F6907">
        <w:rPr>
          <w:rFonts w:ascii="Times New Roman" w:eastAsia="Arial Unicode MS" w:hAnsi="Times New Roman" w:cs="Times New Roman"/>
          <w:sz w:val="24"/>
          <w:szCs w:val="24"/>
        </w:rPr>
        <w:t>Chemistry Program, Department of Chemistry and Earth Sciences, College of Arts and Sciences, Qatar Univers</w:t>
      </w:r>
      <w:bookmarkStart w:id="0" w:name="_GoBack"/>
      <w:bookmarkEnd w:id="0"/>
      <w:r w:rsidRPr="001F6907">
        <w:rPr>
          <w:rFonts w:ascii="Times New Roman" w:eastAsia="Arial Unicode MS" w:hAnsi="Times New Roman" w:cs="Times New Roman"/>
          <w:sz w:val="24"/>
          <w:szCs w:val="24"/>
        </w:rPr>
        <w:t>ity, Doha 2713, Qatar</w:t>
      </w:r>
    </w:p>
    <w:p w14:paraId="355A64BA" w14:textId="77777777" w:rsidR="00D03C0C" w:rsidRPr="000D3477" w:rsidRDefault="00D03C0C" w:rsidP="00563652">
      <w:pPr>
        <w:jc w:val="center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</w:p>
    <w:p w14:paraId="386DDE73" w14:textId="20477258" w:rsidR="00827B43" w:rsidRPr="000D3477" w:rsidRDefault="00D03C0C" w:rsidP="00A845F3">
      <w:pPr>
        <w:ind w:firstLine="360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  <w:r w:rsidRPr="000D3477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S.1. </w:t>
      </w:r>
      <w:r w:rsidR="00827B43" w:rsidRPr="000D3477">
        <w:rPr>
          <w:rFonts w:asciiTheme="majorBidi" w:hAnsiTheme="majorBidi" w:cstheme="majorBidi"/>
          <w:b/>
          <w:bCs/>
          <w:sz w:val="24"/>
          <w:szCs w:val="24"/>
          <w:lang w:val="en-GB"/>
        </w:rPr>
        <w:t>Synthesis</w:t>
      </w:r>
      <w:r w:rsidR="00E640A0" w:rsidRPr="000D3477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 </w:t>
      </w:r>
      <w:r w:rsidR="00827B43" w:rsidRPr="000D3477">
        <w:rPr>
          <w:rFonts w:asciiTheme="majorBidi" w:hAnsiTheme="majorBidi" w:cstheme="majorBidi"/>
          <w:b/>
          <w:bCs/>
          <w:sz w:val="24"/>
          <w:szCs w:val="24"/>
          <w:lang w:val="en-GB"/>
        </w:rPr>
        <w:t>of barium titanate (BaTiO</w:t>
      </w:r>
      <w:r w:rsidR="00827B43" w:rsidRPr="000D3477">
        <w:rPr>
          <w:rFonts w:asciiTheme="majorBidi" w:hAnsiTheme="majorBidi" w:cstheme="majorBidi"/>
          <w:b/>
          <w:bCs/>
          <w:sz w:val="24"/>
          <w:szCs w:val="24"/>
          <w:vertAlign w:val="subscript"/>
          <w:lang w:val="en-GB"/>
        </w:rPr>
        <w:t>3</w:t>
      </w:r>
      <w:r w:rsidR="00827B43" w:rsidRPr="000D3477">
        <w:rPr>
          <w:rFonts w:asciiTheme="majorBidi" w:hAnsiTheme="majorBidi" w:cstheme="majorBidi"/>
          <w:b/>
          <w:bCs/>
          <w:sz w:val="24"/>
          <w:szCs w:val="24"/>
          <w:lang w:val="en-GB"/>
        </w:rPr>
        <w:t>)</w:t>
      </w:r>
    </w:p>
    <w:p w14:paraId="69FBAC2E" w14:textId="537D921A" w:rsidR="00827B43" w:rsidRPr="000D3477" w:rsidRDefault="00827B43" w:rsidP="00F57D84">
      <w:pPr>
        <w:spacing w:before="240" w:after="240" w:line="360" w:lineRule="auto"/>
        <w:ind w:firstLine="360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0D3477">
        <w:rPr>
          <w:rFonts w:asciiTheme="majorBidi" w:hAnsiTheme="majorBidi" w:cstheme="majorBidi"/>
          <w:sz w:val="24"/>
          <w:szCs w:val="24"/>
          <w:lang w:val="en-GB"/>
        </w:rPr>
        <w:t>First, the precursor materials (Ba(OH)</w:t>
      </w:r>
      <w:r w:rsidRPr="000D34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2</w:t>
      </w:r>
      <w:r w:rsidRPr="000D3477">
        <w:rPr>
          <w:rFonts w:asciiTheme="majorBidi" w:hAnsiTheme="majorBidi" w:cstheme="majorBidi"/>
          <w:sz w:val="24"/>
          <w:szCs w:val="24"/>
          <w:lang w:val="en-GB"/>
        </w:rPr>
        <w:t>.8H</w:t>
      </w:r>
      <w:r w:rsidRPr="000D34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2</w:t>
      </w:r>
      <w:r w:rsidRPr="000D3477">
        <w:rPr>
          <w:rFonts w:asciiTheme="majorBidi" w:hAnsiTheme="majorBidi" w:cstheme="majorBidi"/>
          <w:sz w:val="24"/>
          <w:szCs w:val="24"/>
          <w:lang w:val="en-GB"/>
        </w:rPr>
        <w:t>O</w:t>
      </w:r>
      <w:r w:rsidR="00F57D84" w:rsidRPr="000D3477">
        <w:rPr>
          <w:rFonts w:asciiTheme="majorBidi" w:hAnsiTheme="majorBidi" w:cstheme="majorBidi"/>
          <w:sz w:val="24"/>
          <w:szCs w:val="24"/>
          <w:lang w:val="en-GB"/>
        </w:rPr>
        <w:t xml:space="preserve"> from </w:t>
      </w:r>
      <w:r w:rsidR="00F57D84" w:rsidRPr="000D3477">
        <w:rPr>
          <w:rFonts w:asciiTheme="majorBidi" w:hAnsiTheme="majorBidi" w:cstheme="majorBidi"/>
          <w:sz w:val="24"/>
          <w:szCs w:val="24"/>
          <w:lang w:val="en-GB" w:bidi="ar-QA"/>
        </w:rPr>
        <w:t xml:space="preserve">Riedel-De Haen, Germany </w:t>
      </w:r>
      <w:r w:rsidRPr="000D3477">
        <w:rPr>
          <w:rFonts w:asciiTheme="majorBidi" w:hAnsiTheme="majorBidi" w:cstheme="majorBidi"/>
          <w:sz w:val="24"/>
          <w:szCs w:val="24"/>
          <w:lang w:val="en-GB"/>
        </w:rPr>
        <w:t>and TiO</w:t>
      </w:r>
      <w:r w:rsidRPr="000D34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2</w:t>
      </w:r>
      <w:r w:rsidRPr="000D3477">
        <w:rPr>
          <w:rFonts w:asciiTheme="majorBidi" w:hAnsiTheme="majorBidi" w:cstheme="majorBidi"/>
          <w:sz w:val="24"/>
          <w:szCs w:val="24"/>
          <w:lang w:val="en-GB"/>
        </w:rPr>
        <w:t xml:space="preserve"> anatase</w:t>
      </w:r>
      <w:r w:rsidR="00F57D84" w:rsidRPr="000D3477">
        <w:rPr>
          <w:rFonts w:asciiTheme="majorBidi" w:hAnsiTheme="majorBidi" w:cstheme="majorBidi"/>
          <w:sz w:val="24"/>
          <w:szCs w:val="24"/>
          <w:lang w:val="en-GB"/>
        </w:rPr>
        <w:t xml:space="preserve"> from Sigma-Aldrich</w:t>
      </w:r>
      <w:r w:rsidRPr="000D3477">
        <w:rPr>
          <w:rFonts w:asciiTheme="majorBidi" w:hAnsiTheme="majorBidi" w:cstheme="majorBidi"/>
          <w:sz w:val="24"/>
          <w:szCs w:val="24"/>
          <w:lang w:val="en-GB"/>
        </w:rPr>
        <w:t>) were mechanically activated by, separately, milling for 5 h at 500 rpm using planetary ball mill (</w:t>
      </w:r>
      <w:r w:rsidRPr="000D3477">
        <w:rPr>
          <w:rFonts w:asciiTheme="majorBidi" w:hAnsiTheme="majorBidi" w:cstheme="majorBidi"/>
          <w:sz w:val="24"/>
          <w:szCs w:val="24"/>
          <w:lang w:val="en-GB" w:bidi="ar-QA"/>
        </w:rPr>
        <w:t xml:space="preserve">Changsha </w:t>
      </w:r>
      <w:proofErr w:type="spellStart"/>
      <w:r w:rsidRPr="000D3477">
        <w:rPr>
          <w:rFonts w:asciiTheme="majorBidi" w:hAnsiTheme="majorBidi" w:cstheme="majorBidi"/>
          <w:sz w:val="24"/>
          <w:szCs w:val="24"/>
          <w:lang w:val="en-GB" w:bidi="ar-QA"/>
        </w:rPr>
        <w:t>Tianchuang</w:t>
      </w:r>
      <w:proofErr w:type="spellEnd"/>
      <w:r w:rsidRPr="000D3477">
        <w:rPr>
          <w:rFonts w:asciiTheme="majorBidi" w:hAnsiTheme="majorBidi" w:cstheme="majorBidi"/>
          <w:sz w:val="24"/>
          <w:szCs w:val="24"/>
          <w:lang w:val="en-GB" w:bidi="ar-QA"/>
        </w:rPr>
        <w:t xml:space="preserve"> Powder Technology Co., Ltd., China</w:t>
      </w:r>
      <w:r w:rsidRPr="000D3477">
        <w:rPr>
          <w:rFonts w:asciiTheme="majorBidi" w:hAnsiTheme="majorBidi" w:cstheme="majorBidi"/>
          <w:sz w:val="24"/>
          <w:szCs w:val="24"/>
          <w:lang w:val="en-GB"/>
        </w:rPr>
        <w:t xml:space="preserve">) at ambient temperature. Stoichiometric amounts of dry activated precursor materials were transferred into 50–mL agate jars and mixed by ball milling for 10 h at 500 rpm using agate balls (Ø 4 and 6 mm). The mass ratio of solid materials to balls was kept at 1:10. The mixed materials were transferred in ceramic boat crucibles and calcined at 800 °C for 3 h (heating rate </w:t>
      </w:r>
      <w:proofErr w:type="gramStart"/>
      <w:r w:rsidRPr="000D3477">
        <w:rPr>
          <w:rFonts w:asciiTheme="majorBidi" w:hAnsiTheme="majorBidi" w:cstheme="majorBidi"/>
          <w:sz w:val="24"/>
          <w:szCs w:val="24"/>
          <w:lang w:val="en-GB"/>
        </w:rPr>
        <w:t>of 5 ºC min</w:t>
      </w:r>
      <w:r w:rsidRPr="000D3477">
        <w:rPr>
          <w:rFonts w:asciiTheme="majorBidi" w:hAnsiTheme="majorBidi" w:cstheme="majorBidi"/>
          <w:sz w:val="24"/>
          <w:szCs w:val="24"/>
          <w:vertAlign w:val="superscript"/>
          <w:lang w:val="en-GB"/>
        </w:rPr>
        <w:t>–1</w:t>
      </w:r>
      <w:proofErr w:type="gramEnd"/>
      <w:r w:rsidRPr="000D3477">
        <w:rPr>
          <w:rFonts w:asciiTheme="majorBidi" w:hAnsiTheme="majorBidi" w:cstheme="majorBidi"/>
          <w:sz w:val="24"/>
          <w:szCs w:val="24"/>
          <w:lang w:val="en-GB"/>
        </w:rPr>
        <w:t>) under air in a tube furnace. The as–synthesized material was left to naturally cool down to room temperature.</w:t>
      </w:r>
    </w:p>
    <w:p w14:paraId="770948B5" w14:textId="5F06ABE5" w:rsidR="00827B43" w:rsidRPr="000D3477" w:rsidRDefault="00D03C0C" w:rsidP="00A845F3">
      <w:pPr>
        <w:ind w:firstLine="360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  <w:r w:rsidRPr="000D3477">
        <w:rPr>
          <w:rFonts w:asciiTheme="majorBidi" w:hAnsiTheme="majorBidi" w:cstheme="majorBidi"/>
          <w:b/>
          <w:bCs/>
          <w:sz w:val="24"/>
          <w:szCs w:val="24"/>
          <w:lang w:val="en-GB"/>
        </w:rPr>
        <w:t xml:space="preserve">S.2. </w:t>
      </w:r>
      <w:r w:rsidR="00827B43" w:rsidRPr="000D3477">
        <w:rPr>
          <w:rFonts w:asciiTheme="majorBidi" w:hAnsiTheme="majorBidi" w:cstheme="majorBidi"/>
          <w:b/>
          <w:bCs/>
          <w:sz w:val="24"/>
          <w:szCs w:val="24"/>
          <w:lang w:val="en-GB"/>
        </w:rPr>
        <w:t>Characterization of barium titanate</w:t>
      </w:r>
    </w:p>
    <w:p w14:paraId="2D0BCABF" w14:textId="34BA347A" w:rsidR="00827B43" w:rsidRPr="000D3477" w:rsidRDefault="00827B43" w:rsidP="00137CFA">
      <w:pPr>
        <w:spacing w:before="240" w:after="240" w:line="360" w:lineRule="auto"/>
        <w:ind w:firstLine="360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0D3477">
        <w:rPr>
          <w:rFonts w:asciiTheme="majorBidi" w:hAnsiTheme="majorBidi" w:cstheme="majorBidi"/>
          <w:sz w:val="24"/>
          <w:szCs w:val="24"/>
          <w:lang w:val="en-GB"/>
        </w:rPr>
        <w:t xml:space="preserve">The </w:t>
      </w:r>
      <w:r w:rsidR="00A15B0E" w:rsidRPr="000D3477">
        <w:rPr>
          <w:rFonts w:asciiTheme="majorBidi" w:hAnsiTheme="majorBidi" w:cstheme="majorBidi"/>
          <w:sz w:val="24"/>
          <w:szCs w:val="24"/>
          <w:lang w:val="en-GB"/>
        </w:rPr>
        <w:t xml:space="preserve">crystallinity and purity of the </w:t>
      </w:r>
      <w:r w:rsidRPr="000D3477">
        <w:rPr>
          <w:rFonts w:asciiTheme="majorBidi" w:hAnsiTheme="majorBidi" w:cstheme="majorBidi"/>
          <w:sz w:val="24"/>
          <w:szCs w:val="24"/>
          <w:lang w:val="en-GB"/>
        </w:rPr>
        <w:t xml:space="preserve">as–synthesized barium titanates </w:t>
      </w:r>
      <w:r w:rsidR="00A15B0E" w:rsidRPr="000D3477">
        <w:rPr>
          <w:rFonts w:asciiTheme="majorBidi" w:hAnsiTheme="majorBidi" w:cstheme="majorBidi"/>
          <w:sz w:val="24"/>
          <w:szCs w:val="24"/>
          <w:lang w:val="en-GB"/>
        </w:rPr>
        <w:t>have been</w:t>
      </w:r>
      <w:r w:rsidR="00E640A0" w:rsidRPr="000D3477">
        <w:rPr>
          <w:rFonts w:asciiTheme="majorBidi" w:hAnsiTheme="majorBidi" w:cstheme="majorBidi"/>
          <w:sz w:val="24"/>
          <w:szCs w:val="24"/>
          <w:lang w:val="en-GB"/>
        </w:rPr>
        <w:t xml:space="preserve"> characterized by</w:t>
      </w:r>
      <w:r w:rsidRPr="000D3477">
        <w:rPr>
          <w:rFonts w:asciiTheme="majorBidi" w:hAnsiTheme="majorBidi" w:cstheme="majorBidi"/>
          <w:sz w:val="24"/>
          <w:szCs w:val="24"/>
          <w:lang w:val="en-GB"/>
        </w:rPr>
        <w:t xml:space="preserve"> Raman spectrometer (DXR) from </w:t>
      </w:r>
      <w:proofErr w:type="spellStart"/>
      <w:r w:rsidRPr="000D3477">
        <w:rPr>
          <w:rFonts w:asciiTheme="majorBidi" w:hAnsiTheme="majorBidi" w:cstheme="majorBidi"/>
          <w:sz w:val="24"/>
          <w:szCs w:val="24"/>
          <w:lang w:val="en-GB"/>
        </w:rPr>
        <w:t>ThermoFisher</w:t>
      </w:r>
      <w:proofErr w:type="spellEnd"/>
      <w:r w:rsidRPr="000D3477">
        <w:rPr>
          <w:rFonts w:asciiTheme="majorBidi" w:hAnsiTheme="majorBidi" w:cstheme="majorBidi"/>
          <w:sz w:val="24"/>
          <w:szCs w:val="24"/>
          <w:lang w:val="en-GB"/>
        </w:rPr>
        <w:t xml:space="preserve"> Scientific </w:t>
      </w:r>
      <w:r w:rsidR="00A15B0E" w:rsidRPr="000D3477">
        <w:rPr>
          <w:rFonts w:asciiTheme="majorBidi" w:hAnsiTheme="majorBidi" w:cstheme="majorBidi"/>
          <w:sz w:val="24"/>
          <w:szCs w:val="24"/>
          <w:lang w:val="en-GB"/>
        </w:rPr>
        <w:t xml:space="preserve">(at </w:t>
      </w:r>
      <w:r w:rsidRPr="000D3477">
        <w:rPr>
          <w:rFonts w:asciiTheme="majorBidi" w:hAnsiTheme="majorBidi" w:cstheme="majorBidi"/>
          <w:sz w:val="24"/>
          <w:szCs w:val="24"/>
          <w:lang w:val="en-GB"/>
        </w:rPr>
        <w:t>532 nm</w:t>
      </w:r>
      <w:r w:rsidR="00A15B0E" w:rsidRPr="000D3477">
        <w:rPr>
          <w:rFonts w:asciiTheme="majorBidi" w:hAnsiTheme="majorBidi" w:cstheme="majorBidi"/>
          <w:sz w:val="24"/>
          <w:szCs w:val="24"/>
          <w:lang w:val="en-GB"/>
        </w:rPr>
        <w:t>) and X-ray diffractometer</w:t>
      </w:r>
      <w:r w:rsidR="00A845F3" w:rsidRPr="000D3477">
        <w:rPr>
          <w:rFonts w:asciiTheme="majorBidi" w:hAnsiTheme="majorBidi" w:cstheme="majorBidi"/>
          <w:sz w:val="24"/>
          <w:szCs w:val="24"/>
          <w:lang w:val="en-GB"/>
        </w:rPr>
        <w:t xml:space="preserve"> from </w:t>
      </w:r>
      <w:proofErr w:type="spellStart"/>
      <w:r w:rsidR="00A845F3" w:rsidRPr="000D3477">
        <w:rPr>
          <w:rFonts w:asciiTheme="majorBidi" w:hAnsiTheme="majorBidi" w:cstheme="majorBidi"/>
          <w:sz w:val="24"/>
          <w:szCs w:val="24"/>
          <w:lang w:val="en-GB"/>
        </w:rPr>
        <w:t>Panalytical</w:t>
      </w:r>
      <w:proofErr w:type="spellEnd"/>
      <w:r w:rsidR="00A845F3" w:rsidRPr="000D3477">
        <w:rPr>
          <w:rFonts w:asciiTheme="majorBidi" w:hAnsiTheme="majorBidi" w:cstheme="majorBidi"/>
          <w:sz w:val="24"/>
          <w:szCs w:val="24"/>
          <w:lang w:val="en-GB"/>
        </w:rPr>
        <w:t xml:space="preserve"> Empyrean.</w:t>
      </w:r>
      <w:r w:rsidR="00BA2923" w:rsidRPr="000D3477">
        <w:rPr>
          <w:rFonts w:asciiTheme="majorBidi" w:hAnsiTheme="majorBidi" w:cstheme="majorBidi"/>
          <w:sz w:val="24"/>
          <w:szCs w:val="24"/>
          <w:lang w:val="en-GB"/>
        </w:rPr>
        <w:t xml:space="preserve"> Figure S1 displays the Raman spectra of precursor materials (</w:t>
      </w:r>
      <w:proofErr w:type="gramStart"/>
      <w:r w:rsidR="00BA2923" w:rsidRPr="000D3477">
        <w:rPr>
          <w:rFonts w:asciiTheme="majorBidi" w:hAnsiTheme="majorBidi" w:cstheme="majorBidi"/>
          <w:sz w:val="24"/>
          <w:szCs w:val="24"/>
          <w:lang w:val="en-GB"/>
        </w:rPr>
        <w:t>Ba(</w:t>
      </w:r>
      <w:proofErr w:type="gramEnd"/>
      <w:r w:rsidR="00BA2923" w:rsidRPr="000D3477">
        <w:rPr>
          <w:rFonts w:asciiTheme="majorBidi" w:hAnsiTheme="majorBidi" w:cstheme="majorBidi"/>
          <w:sz w:val="24"/>
          <w:szCs w:val="24"/>
          <w:lang w:val="en-GB"/>
        </w:rPr>
        <w:t>OH)</w:t>
      </w:r>
      <w:r w:rsidR="00BA2923" w:rsidRPr="000D34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2</w:t>
      </w:r>
      <w:r w:rsidR="00BA2923" w:rsidRPr="000D3477">
        <w:rPr>
          <w:rFonts w:asciiTheme="majorBidi" w:hAnsiTheme="majorBidi" w:cstheme="majorBidi"/>
          <w:sz w:val="24"/>
          <w:szCs w:val="24"/>
          <w:lang w:val="en-GB"/>
        </w:rPr>
        <w:t>.8H</w:t>
      </w:r>
      <w:r w:rsidR="00BA2923" w:rsidRPr="000D34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2</w:t>
      </w:r>
      <w:r w:rsidR="00BA2923" w:rsidRPr="000D3477">
        <w:rPr>
          <w:rFonts w:asciiTheme="majorBidi" w:hAnsiTheme="majorBidi" w:cstheme="majorBidi"/>
          <w:sz w:val="24"/>
          <w:szCs w:val="24"/>
          <w:lang w:val="en-GB"/>
        </w:rPr>
        <w:t>O and TiO</w:t>
      </w:r>
      <w:r w:rsidR="00BA2923" w:rsidRPr="000D34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2</w:t>
      </w:r>
      <w:r w:rsidR="00BA2923" w:rsidRPr="000D3477">
        <w:rPr>
          <w:rFonts w:asciiTheme="majorBidi" w:hAnsiTheme="majorBidi" w:cstheme="majorBidi"/>
          <w:sz w:val="24"/>
          <w:szCs w:val="24"/>
          <w:lang w:val="en-GB"/>
        </w:rPr>
        <w:t xml:space="preserve"> anatase) and the as–synthesized BaTiO</w:t>
      </w:r>
      <w:r w:rsidR="00BA2923" w:rsidRPr="000D34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3</w:t>
      </w:r>
      <w:r w:rsidR="00BA2923" w:rsidRPr="000D3477">
        <w:rPr>
          <w:rFonts w:asciiTheme="majorBidi" w:hAnsiTheme="majorBidi" w:cstheme="majorBidi"/>
          <w:sz w:val="24"/>
          <w:szCs w:val="24"/>
          <w:lang w:val="en-GB"/>
        </w:rPr>
        <w:t xml:space="preserve">. The most characteristic </w:t>
      </w:r>
      <w:r w:rsidR="00FD2E21" w:rsidRPr="000D3477">
        <w:rPr>
          <w:rFonts w:asciiTheme="majorBidi" w:hAnsiTheme="majorBidi" w:cstheme="majorBidi"/>
          <w:sz w:val="24"/>
          <w:szCs w:val="24"/>
          <w:lang w:val="en-GB"/>
        </w:rPr>
        <w:t>bands</w:t>
      </w:r>
      <w:r w:rsidR="00BA2923" w:rsidRPr="000D3477">
        <w:rPr>
          <w:rFonts w:asciiTheme="majorBidi" w:hAnsiTheme="majorBidi" w:cstheme="majorBidi"/>
          <w:sz w:val="24"/>
          <w:szCs w:val="24"/>
          <w:lang w:val="en-GB"/>
        </w:rPr>
        <w:t xml:space="preserve"> of BaTiO</w:t>
      </w:r>
      <w:r w:rsidR="00BA2923" w:rsidRPr="000D34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3</w:t>
      </w:r>
      <w:r w:rsidR="00BA2923" w:rsidRPr="000D3477">
        <w:rPr>
          <w:rFonts w:asciiTheme="majorBidi" w:hAnsiTheme="majorBidi" w:cstheme="majorBidi"/>
          <w:sz w:val="24"/>
          <w:szCs w:val="24"/>
          <w:lang w:val="en-GB"/>
        </w:rPr>
        <w:t xml:space="preserve"> are identified at 525, 305 and 260 nm in agreement with previous reported values </w:t>
      </w:r>
      <w:r w:rsidR="00BA2923" w:rsidRPr="000D3477">
        <w:rPr>
          <w:rFonts w:asciiTheme="majorBidi" w:hAnsiTheme="majorBidi" w:cstheme="majorBidi"/>
          <w:sz w:val="24"/>
          <w:szCs w:val="24"/>
          <w:lang w:val="en-GB"/>
        </w:rPr>
        <w:fldChar w:fldCharType="begin"/>
      </w:r>
      <w:r w:rsidR="00AB76CF" w:rsidRPr="000D3477">
        <w:rPr>
          <w:rFonts w:asciiTheme="majorBidi" w:hAnsiTheme="majorBidi" w:cstheme="majorBidi"/>
          <w:sz w:val="24"/>
          <w:szCs w:val="24"/>
          <w:lang w:val="en-GB"/>
        </w:rPr>
        <w:instrText xml:space="preserve"> ADDIN EN.CITE &lt;EndNote&gt;&lt;Cite&gt;&lt;Author&gt;Hayashi&lt;/Author&gt;&lt;Year&gt;2013&lt;/Year&gt;&lt;RecNum&gt;206&lt;/RecNum&gt;&lt;DisplayText&gt;[1]&lt;/DisplayText&gt;&lt;record&gt;&lt;rec-number&gt;206&lt;/rec-number&gt;&lt;foreign-keys&gt;&lt;key app="EN" db-id="dawax0rth2efvie2ts5p9faesp0tdsdzrv90" timestamp="1689552797" guid="9267a606-85c4-45d5-bf7f-5619183d0480"&gt;206&lt;/key&gt;&lt;/foreign-keys&gt;&lt;ref-type name="Journal Article"&gt;17&lt;/ref-type&gt;&lt;contributors&gt;&lt;authors&gt;&lt;author&gt;Hayashi, Hiromichi&lt;/author&gt;&lt;author&gt;Nakamura, Takashi&lt;/author&gt;&lt;author&gt;Ebina, Takeo&lt;/author&gt;&lt;/authors&gt;&lt;/contributors&gt;&lt;titles&gt;&lt;title&gt;&lt;style face="normal" font="default" size="100%"&gt;In-situ Raman spectroscopy of BaTiO&lt;/style&gt;&lt;style face="subscript" font="default" size="100%"&gt;3&lt;/style&gt;&lt;style face="normal" font="default" size="100%"&gt; particles for tetragonal–cubic transformation&lt;/style&gt;&lt;/title&gt;&lt;secondary-title&gt;Journal of Physics and Chemistry of Solids&lt;/secondary-title&gt;&lt;/titles&gt;&lt;periodical&gt;&lt;full-title&gt;Journal of Physics and Chemistry of Solids&lt;/full-title&gt;&lt;abbr-1&gt;J. Phys. Chem. Solids&lt;/abbr-1&gt;&lt;abbr-2&gt;J. Phys. Chem. Solids&lt;/abbr-2&gt;&lt;abbr-3&gt;J. Phys. Chem. Solids&lt;/abbr-3&gt;&lt;/periodical&gt;&lt;pages&gt;957-962&lt;/pages&gt;&lt;volume&gt;74&lt;/volume&gt;&lt;number&gt;7&lt;/number&gt;&lt;keywords&gt;&lt;keyword&gt;A. Electronic materials&lt;/keyword&gt;&lt;keyword&gt;B. Crystal growth&lt;/keyword&gt;&lt;keyword&gt;C. Raman spectroscopy&lt;/keyword&gt;&lt;keyword&gt;D. Ferroelectricity&lt;/keyword&gt;&lt;keyword&gt;D. Phase transitions&lt;/keyword&gt;&lt;/keywords&gt;&lt;dates&gt;&lt;year&gt;2013&lt;/year&gt;&lt;pub-dates&gt;&lt;date&gt;2013/07/01/&lt;/date&gt;&lt;/pub-dates&gt;&lt;/dates&gt;&lt;isbn&gt;0022-3697&lt;/isbn&gt;&lt;urls&gt;&lt;related-urls&gt;&lt;url&gt;https://www.sciencedirect.com/science/article/pii/S0022369713000668&lt;/url&gt;&lt;/related-urls&gt;&lt;/urls&gt;&lt;electronic-resource-num&gt;https://doi.org/10.1016/j.jpcs.2013.02.010&lt;/electronic-resource-num&gt;&lt;/record&gt;&lt;/Cite&gt;&lt;/EndNote&gt;</w:instrText>
      </w:r>
      <w:r w:rsidR="00BA2923" w:rsidRPr="000D3477">
        <w:rPr>
          <w:rFonts w:asciiTheme="majorBidi" w:hAnsiTheme="majorBidi" w:cstheme="majorBidi"/>
          <w:sz w:val="24"/>
          <w:szCs w:val="24"/>
          <w:lang w:val="en-GB"/>
        </w:rPr>
        <w:fldChar w:fldCharType="separate"/>
      </w:r>
      <w:r w:rsidR="00BA2923" w:rsidRPr="000D3477">
        <w:rPr>
          <w:rFonts w:asciiTheme="majorBidi" w:hAnsiTheme="majorBidi" w:cstheme="majorBidi"/>
          <w:noProof/>
          <w:sz w:val="24"/>
          <w:szCs w:val="24"/>
          <w:lang w:val="en-GB"/>
        </w:rPr>
        <w:t>[1]</w:t>
      </w:r>
      <w:r w:rsidR="00BA2923" w:rsidRPr="000D3477">
        <w:rPr>
          <w:rFonts w:asciiTheme="majorBidi" w:hAnsiTheme="majorBidi" w:cstheme="majorBidi"/>
          <w:sz w:val="24"/>
          <w:szCs w:val="24"/>
          <w:lang w:val="en-GB"/>
        </w:rPr>
        <w:fldChar w:fldCharType="end"/>
      </w:r>
      <w:r w:rsidR="00BA2923" w:rsidRPr="000D3477">
        <w:rPr>
          <w:rFonts w:asciiTheme="majorBidi" w:hAnsiTheme="majorBidi" w:cstheme="majorBidi"/>
          <w:sz w:val="24"/>
          <w:szCs w:val="24"/>
          <w:lang w:val="en-GB"/>
        </w:rPr>
        <w:t xml:space="preserve">. </w:t>
      </w:r>
      <w:r w:rsidR="00FD2E21" w:rsidRPr="000D3477">
        <w:rPr>
          <w:rFonts w:asciiTheme="majorBidi" w:hAnsiTheme="majorBidi" w:cstheme="majorBidi"/>
          <w:sz w:val="24"/>
          <w:szCs w:val="24"/>
          <w:lang w:val="en-GB"/>
        </w:rPr>
        <w:t>In addition, traces of precursor materials are likely to exist with BaTiO</w:t>
      </w:r>
      <w:r w:rsidR="00FD2E21" w:rsidRPr="000D34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3</w:t>
      </w:r>
      <w:r w:rsidR="00FD2E21" w:rsidRPr="000D3477">
        <w:rPr>
          <w:rFonts w:asciiTheme="majorBidi" w:hAnsiTheme="majorBidi" w:cstheme="majorBidi"/>
          <w:sz w:val="24"/>
          <w:szCs w:val="24"/>
          <w:lang w:val="en-GB"/>
        </w:rPr>
        <w:t xml:space="preserve"> as indicated from the bands at 140 nm.</w:t>
      </w:r>
      <w:r w:rsidR="00137CFA" w:rsidRPr="000D3477">
        <w:rPr>
          <w:rFonts w:asciiTheme="majorBidi" w:hAnsiTheme="majorBidi" w:cstheme="majorBidi"/>
          <w:sz w:val="24"/>
          <w:szCs w:val="24"/>
          <w:lang w:val="en-GB"/>
        </w:rPr>
        <w:t xml:space="preserve"> Further identification of the as–synthesized material is acquired from XRD as depicted in Figure S2. Featured diffraction peaks </w:t>
      </w:r>
      <w:r w:rsidR="00AA49E7" w:rsidRPr="000D3477">
        <w:rPr>
          <w:rFonts w:asciiTheme="majorBidi" w:hAnsiTheme="majorBidi" w:cstheme="majorBidi"/>
          <w:sz w:val="24"/>
          <w:szCs w:val="24"/>
          <w:lang w:val="en-GB"/>
        </w:rPr>
        <w:t>for BaTiO</w:t>
      </w:r>
      <w:r w:rsidR="00AA49E7" w:rsidRPr="000D3477">
        <w:rPr>
          <w:rFonts w:asciiTheme="majorBidi" w:hAnsiTheme="majorBidi" w:cstheme="majorBidi"/>
          <w:sz w:val="24"/>
          <w:szCs w:val="24"/>
          <w:vertAlign w:val="subscript"/>
          <w:lang w:val="en-GB"/>
        </w:rPr>
        <w:t>3</w:t>
      </w:r>
      <w:r w:rsidR="00AA49E7" w:rsidRPr="000D3477">
        <w:rPr>
          <w:rFonts w:asciiTheme="majorBidi" w:hAnsiTheme="majorBidi" w:cstheme="majorBidi"/>
          <w:sz w:val="24"/>
          <w:szCs w:val="24"/>
          <w:lang w:val="en-GB"/>
        </w:rPr>
        <w:t xml:space="preserve"> are positioned </w:t>
      </w:r>
      <w:r w:rsidR="00137CFA" w:rsidRPr="000D3477">
        <w:rPr>
          <w:rFonts w:asciiTheme="majorBidi" w:hAnsiTheme="majorBidi" w:cstheme="majorBidi"/>
          <w:sz w:val="24"/>
          <w:szCs w:val="24"/>
          <w:lang w:val="en-GB"/>
        </w:rPr>
        <w:t xml:space="preserve">at 2θ = </w:t>
      </w:r>
      <w:r w:rsidR="007103F6" w:rsidRPr="000D3477">
        <w:rPr>
          <w:rFonts w:asciiTheme="majorBidi" w:hAnsiTheme="majorBidi" w:cstheme="majorBidi"/>
          <w:sz w:val="24"/>
          <w:szCs w:val="24"/>
          <w:lang w:val="en-GB"/>
        </w:rPr>
        <w:t>22º, 32º, 38º</w:t>
      </w:r>
      <w:r w:rsidR="00137CFA" w:rsidRPr="000D3477">
        <w:rPr>
          <w:rFonts w:asciiTheme="majorBidi" w:hAnsiTheme="majorBidi" w:cstheme="majorBidi"/>
          <w:sz w:val="24"/>
          <w:szCs w:val="24"/>
        </w:rPr>
        <w:t xml:space="preserve"> </w:t>
      </w:r>
      <w:r w:rsidR="00325F46" w:rsidRPr="000D3477">
        <w:rPr>
          <w:rFonts w:asciiTheme="majorBidi" w:hAnsiTheme="majorBidi" w:cstheme="majorBidi"/>
          <w:sz w:val="24"/>
          <w:szCs w:val="24"/>
        </w:rPr>
        <w:t>and 57</w:t>
      </w:r>
      <w:r w:rsidR="00325F46" w:rsidRPr="000D3477">
        <w:rPr>
          <w:rFonts w:asciiTheme="majorBidi" w:hAnsiTheme="majorBidi" w:cstheme="majorBidi"/>
          <w:sz w:val="24"/>
          <w:szCs w:val="24"/>
          <w:lang w:val="en-GB"/>
        </w:rPr>
        <w:t>º</w:t>
      </w:r>
      <w:r w:rsidR="00AA49E7" w:rsidRPr="000D3477">
        <w:rPr>
          <w:rFonts w:asciiTheme="majorBidi" w:hAnsiTheme="majorBidi" w:cstheme="majorBidi"/>
          <w:sz w:val="24"/>
          <w:szCs w:val="24"/>
          <w:lang w:val="en-GB"/>
        </w:rPr>
        <w:t xml:space="preserve"> in accordance with the reference lines (ICDD: 01–074–1960). Peaks from the precursor materials can be detected indicating the existence of trace amounts of unreacted materials.</w:t>
      </w:r>
    </w:p>
    <w:p w14:paraId="18FF873A" w14:textId="77777777" w:rsidR="00D03C0C" w:rsidRPr="000D3477" w:rsidRDefault="00D03C0C" w:rsidP="00137CFA">
      <w:pPr>
        <w:spacing w:before="240" w:after="240" w:line="360" w:lineRule="auto"/>
        <w:ind w:firstLine="360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p w14:paraId="22105CBF" w14:textId="77777777" w:rsidR="00D03C0C" w:rsidRPr="000D3477" w:rsidRDefault="00D03C0C" w:rsidP="00137CFA">
      <w:pPr>
        <w:spacing w:before="240" w:after="240" w:line="360" w:lineRule="auto"/>
        <w:ind w:firstLine="360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p w14:paraId="12A80FE2" w14:textId="7888ACD9" w:rsidR="00D03C0C" w:rsidRPr="000D3477" w:rsidRDefault="00D03C0C" w:rsidP="00137CFA">
      <w:pPr>
        <w:spacing w:before="240" w:after="240" w:line="360" w:lineRule="auto"/>
        <w:ind w:firstLine="360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0D3477">
        <w:rPr>
          <w:rFonts w:asciiTheme="majorBidi" w:hAnsiTheme="majorBidi" w:cstheme="majorBidi"/>
          <w:noProof/>
          <w:sz w:val="24"/>
          <w:szCs w:val="24"/>
        </w:rPr>
        <w:lastRenderedPageBreak/>
        <w:drawing>
          <wp:anchor distT="0" distB="0" distL="114300" distR="114300" simplePos="0" relativeHeight="251669504" behindDoc="1" locked="0" layoutInCell="1" allowOverlap="1" wp14:anchorId="552E58C4" wp14:editId="6776E51E">
            <wp:simplePos x="0" y="0"/>
            <wp:positionH relativeFrom="margin">
              <wp:posOffset>1681480</wp:posOffset>
            </wp:positionH>
            <wp:positionV relativeFrom="paragraph">
              <wp:posOffset>0</wp:posOffset>
            </wp:positionV>
            <wp:extent cx="2580640" cy="3733800"/>
            <wp:effectExtent l="0" t="0" r="0" b="0"/>
            <wp:wrapTight wrapText="bothSides">
              <wp:wrapPolygon edited="0">
                <wp:start x="0" y="0"/>
                <wp:lineTo x="0" y="21490"/>
                <wp:lineTo x="21366" y="21490"/>
                <wp:lineTo x="21366" y="0"/>
                <wp:lineTo x="0" y="0"/>
              </wp:wrapPolygon>
            </wp:wrapTight>
            <wp:docPr id="1619958768" name="Picture 1" descr="A graph of different types of energy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958768" name="Picture 1" descr="A graph of different types of energy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0640" cy="3733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415772" w14:textId="10C837BD" w:rsidR="00D03C0C" w:rsidRPr="000D3477" w:rsidRDefault="00D03C0C" w:rsidP="00137CFA">
      <w:pPr>
        <w:spacing w:before="240" w:after="240" w:line="360" w:lineRule="auto"/>
        <w:ind w:firstLine="360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p w14:paraId="7FCD3C34" w14:textId="3C69ED61" w:rsidR="00D03C0C" w:rsidRPr="000D3477" w:rsidRDefault="00D03C0C" w:rsidP="00137CFA">
      <w:pPr>
        <w:spacing w:before="240" w:after="240" w:line="360" w:lineRule="auto"/>
        <w:ind w:firstLine="360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p w14:paraId="2630C7EC" w14:textId="5EAF3283" w:rsidR="00D03C0C" w:rsidRPr="000D3477" w:rsidRDefault="00D03C0C" w:rsidP="00137CFA">
      <w:pPr>
        <w:spacing w:before="240" w:after="240" w:line="360" w:lineRule="auto"/>
        <w:ind w:firstLine="360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p w14:paraId="1A2528CE" w14:textId="77777777" w:rsidR="00D03C0C" w:rsidRPr="000D3477" w:rsidRDefault="00D03C0C" w:rsidP="00137CFA">
      <w:pPr>
        <w:spacing w:before="240" w:after="240" w:line="360" w:lineRule="auto"/>
        <w:ind w:firstLine="360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p w14:paraId="3F80FE68" w14:textId="77777777" w:rsidR="00D03C0C" w:rsidRPr="000D3477" w:rsidRDefault="00D03C0C" w:rsidP="00137CFA">
      <w:pPr>
        <w:spacing w:before="240" w:after="240" w:line="360" w:lineRule="auto"/>
        <w:ind w:firstLine="360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p w14:paraId="7212EDDA" w14:textId="77777777" w:rsidR="00D03C0C" w:rsidRPr="000D3477" w:rsidRDefault="00D03C0C" w:rsidP="00137CFA">
      <w:pPr>
        <w:spacing w:before="240" w:after="240" w:line="360" w:lineRule="auto"/>
        <w:ind w:firstLine="360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p w14:paraId="18F43B5D" w14:textId="77777777" w:rsidR="00D03C0C" w:rsidRPr="000D3477" w:rsidRDefault="00D03C0C" w:rsidP="00137CFA">
      <w:pPr>
        <w:spacing w:before="240" w:after="240" w:line="360" w:lineRule="auto"/>
        <w:ind w:firstLine="360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p w14:paraId="05528AD1" w14:textId="77777777" w:rsidR="00D03C0C" w:rsidRPr="000D3477" w:rsidRDefault="00D03C0C" w:rsidP="00137CFA">
      <w:pPr>
        <w:spacing w:before="240" w:after="240" w:line="360" w:lineRule="auto"/>
        <w:ind w:firstLine="360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p w14:paraId="5EFD39BC" w14:textId="77777777" w:rsidR="00D03C0C" w:rsidRPr="000D3477" w:rsidRDefault="00D03C0C" w:rsidP="00D03C0C">
      <w:pPr>
        <w:jc w:val="both"/>
        <w:rPr>
          <w:rFonts w:asciiTheme="majorBidi" w:hAnsiTheme="majorBidi" w:cstheme="majorBidi"/>
          <w:lang w:val="en-GB"/>
        </w:rPr>
      </w:pPr>
      <w:r w:rsidRPr="000D3477">
        <w:rPr>
          <w:rFonts w:asciiTheme="majorBidi" w:hAnsiTheme="majorBidi" w:cstheme="majorBidi"/>
          <w:b/>
          <w:bCs/>
          <w:lang w:val="en-GB"/>
        </w:rPr>
        <w:t>Figure S1</w:t>
      </w:r>
      <w:r w:rsidRPr="000D3477">
        <w:rPr>
          <w:rFonts w:asciiTheme="majorBidi" w:hAnsiTheme="majorBidi" w:cstheme="majorBidi"/>
          <w:lang w:val="en-GB"/>
        </w:rPr>
        <w:t>. Raman spectra of the precursor materials (</w:t>
      </w:r>
      <w:proofErr w:type="gramStart"/>
      <w:r w:rsidRPr="000D3477">
        <w:rPr>
          <w:rFonts w:asciiTheme="majorBidi" w:hAnsiTheme="majorBidi" w:cstheme="majorBidi"/>
          <w:lang w:val="en-GB"/>
        </w:rPr>
        <w:t>Ba(</w:t>
      </w:r>
      <w:proofErr w:type="gramEnd"/>
      <w:r w:rsidRPr="000D3477">
        <w:rPr>
          <w:rFonts w:asciiTheme="majorBidi" w:hAnsiTheme="majorBidi" w:cstheme="majorBidi"/>
          <w:lang w:val="en-GB"/>
        </w:rPr>
        <w:t>OH)</w:t>
      </w:r>
      <w:r w:rsidRPr="000D3477">
        <w:rPr>
          <w:rFonts w:asciiTheme="majorBidi" w:hAnsiTheme="majorBidi" w:cstheme="majorBidi"/>
          <w:vertAlign w:val="subscript"/>
          <w:lang w:val="en-GB"/>
        </w:rPr>
        <w:t>2</w:t>
      </w:r>
      <w:r w:rsidRPr="000D3477">
        <w:rPr>
          <w:rFonts w:asciiTheme="majorBidi" w:hAnsiTheme="majorBidi" w:cstheme="majorBidi"/>
          <w:lang w:val="en-GB"/>
        </w:rPr>
        <w:t>.8H</w:t>
      </w:r>
      <w:r w:rsidRPr="000D3477">
        <w:rPr>
          <w:rFonts w:asciiTheme="majorBidi" w:hAnsiTheme="majorBidi" w:cstheme="majorBidi"/>
          <w:vertAlign w:val="subscript"/>
          <w:lang w:val="en-GB"/>
        </w:rPr>
        <w:t>2</w:t>
      </w:r>
      <w:r w:rsidRPr="000D3477">
        <w:rPr>
          <w:rFonts w:asciiTheme="majorBidi" w:hAnsiTheme="majorBidi" w:cstheme="majorBidi"/>
          <w:lang w:val="en-GB"/>
        </w:rPr>
        <w:t>O and TiO</w:t>
      </w:r>
      <w:r w:rsidRPr="000D3477">
        <w:rPr>
          <w:rFonts w:asciiTheme="majorBidi" w:hAnsiTheme="majorBidi" w:cstheme="majorBidi"/>
          <w:vertAlign w:val="subscript"/>
          <w:lang w:val="en-GB"/>
        </w:rPr>
        <w:t>2</w:t>
      </w:r>
      <w:r w:rsidRPr="000D3477">
        <w:rPr>
          <w:rFonts w:asciiTheme="majorBidi" w:hAnsiTheme="majorBidi" w:cstheme="majorBidi"/>
          <w:lang w:val="en-GB"/>
        </w:rPr>
        <w:t xml:space="preserve"> anatase) and the as–prepared BaTiO</w:t>
      </w:r>
      <w:r w:rsidRPr="000D3477">
        <w:rPr>
          <w:rFonts w:asciiTheme="majorBidi" w:hAnsiTheme="majorBidi" w:cstheme="majorBidi"/>
          <w:vertAlign w:val="subscript"/>
          <w:lang w:val="en-GB"/>
        </w:rPr>
        <w:t>3</w:t>
      </w:r>
      <w:r w:rsidRPr="000D3477">
        <w:rPr>
          <w:rFonts w:asciiTheme="majorBidi" w:hAnsiTheme="majorBidi" w:cstheme="majorBidi"/>
          <w:lang w:val="en-GB"/>
        </w:rPr>
        <w:t>.</w:t>
      </w:r>
    </w:p>
    <w:p w14:paraId="42B6D680" w14:textId="166EBF44" w:rsidR="00164D43" w:rsidRPr="000D3477" w:rsidRDefault="00164D43" w:rsidP="00137CFA">
      <w:pPr>
        <w:spacing w:before="240" w:after="240" w:line="360" w:lineRule="auto"/>
        <w:ind w:firstLine="360"/>
        <w:jc w:val="both"/>
        <w:rPr>
          <w:rFonts w:asciiTheme="majorBidi" w:hAnsiTheme="majorBidi" w:cstheme="majorBidi"/>
          <w:sz w:val="24"/>
          <w:szCs w:val="24"/>
          <w:lang w:val="en-GB"/>
        </w:rPr>
      </w:pPr>
      <w:r w:rsidRPr="000D3477"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665408" behindDoc="1" locked="0" layoutInCell="1" allowOverlap="1" wp14:anchorId="5AFB99B5" wp14:editId="31AC47EE">
            <wp:simplePos x="0" y="0"/>
            <wp:positionH relativeFrom="margin">
              <wp:align>center</wp:align>
            </wp:positionH>
            <wp:positionV relativeFrom="paragraph">
              <wp:posOffset>9525</wp:posOffset>
            </wp:positionV>
            <wp:extent cx="3123565" cy="2887980"/>
            <wp:effectExtent l="0" t="0" r="635" b="7620"/>
            <wp:wrapTight wrapText="bothSides">
              <wp:wrapPolygon edited="0">
                <wp:start x="0" y="0"/>
                <wp:lineTo x="0" y="21515"/>
                <wp:lineTo x="21473" y="21515"/>
                <wp:lineTo x="21473" y="0"/>
                <wp:lineTo x="0" y="0"/>
              </wp:wrapPolygon>
            </wp:wrapTight>
            <wp:docPr id="199099574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3565" cy="2887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21F7DA" w14:textId="74FFDA83" w:rsidR="00164D43" w:rsidRPr="000D3477" w:rsidRDefault="00164D43" w:rsidP="00137CFA">
      <w:pPr>
        <w:spacing w:before="240" w:after="240" w:line="360" w:lineRule="auto"/>
        <w:ind w:firstLine="360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p w14:paraId="19D7DEEF" w14:textId="77777777" w:rsidR="00164D43" w:rsidRPr="000D3477" w:rsidRDefault="00164D43" w:rsidP="00137CFA">
      <w:pPr>
        <w:spacing w:before="240" w:after="240" w:line="360" w:lineRule="auto"/>
        <w:ind w:firstLine="360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p w14:paraId="7BB09243" w14:textId="77777777" w:rsidR="00164D43" w:rsidRPr="000D3477" w:rsidRDefault="00164D43" w:rsidP="00137CFA">
      <w:pPr>
        <w:spacing w:before="240" w:after="240" w:line="360" w:lineRule="auto"/>
        <w:ind w:firstLine="360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p w14:paraId="42BCC906" w14:textId="77777777" w:rsidR="00164D43" w:rsidRPr="000D3477" w:rsidRDefault="00164D43" w:rsidP="00137CFA">
      <w:pPr>
        <w:spacing w:before="240" w:after="240" w:line="360" w:lineRule="auto"/>
        <w:ind w:firstLine="360"/>
        <w:jc w:val="both"/>
        <w:rPr>
          <w:rFonts w:asciiTheme="majorBidi" w:hAnsiTheme="majorBidi" w:cstheme="majorBidi"/>
          <w:sz w:val="24"/>
          <w:szCs w:val="24"/>
          <w:lang w:val="en-GB"/>
        </w:rPr>
      </w:pPr>
    </w:p>
    <w:p w14:paraId="35A713F3" w14:textId="0927F501" w:rsidR="00164D43" w:rsidRPr="000D3477" w:rsidRDefault="00164D43" w:rsidP="00137CFA">
      <w:pPr>
        <w:spacing w:before="240" w:after="240" w:line="360" w:lineRule="auto"/>
        <w:ind w:firstLine="360"/>
        <w:jc w:val="both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</w:p>
    <w:p w14:paraId="7958C302" w14:textId="77777777" w:rsidR="00164D43" w:rsidRPr="000D3477" w:rsidRDefault="00164D43" w:rsidP="00137CFA">
      <w:pPr>
        <w:spacing w:before="240" w:after="240" w:line="360" w:lineRule="auto"/>
        <w:ind w:firstLine="360"/>
        <w:jc w:val="both"/>
        <w:rPr>
          <w:rFonts w:asciiTheme="majorBidi" w:hAnsiTheme="majorBidi" w:cstheme="majorBidi"/>
          <w:b/>
          <w:bCs/>
          <w:sz w:val="24"/>
          <w:szCs w:val="24"/>
          <w:lang w:val="en-GB"/>
        </w:rPr>
      </w:pPr>
    </w:p>
    <w:p w14:paraId="6002D39F" w14:textId="6D29A9D1" w:rsidR="00563652" w:rsidRDefault="00164D43" w:rsidP="00164D43">
      <w:pPr>
        <w:jc w:val="both"/>
        <w:rPr>
          <w:rFonts w:asciiTheme="majorBidi" w:hAnsiTheme="majorBidi" w:cstheme="majorBidi"/>
        </w:rPr>
      </w:pPr>
      <w:r w:rsidRPr="000D3477">
        <w:rPr>
          <w:rFonts w:asciiTheme="majorBidi" w:hAnsiTheme="majorBidi" w:cstheme="majorBidi"/>
          <w:b/>
          <w:bCs/>
        </w:rPr>
        <w:t>Figure S2.</w:t>
      </w:r>
      <w:r w:rsidRPr="000D3477">
        <w:rPr>
          <w:rFonts w:asciiTheme="majorBidi" w:hAnsiTheme="majorBidi" w:cstheme="majorBidi"/>
        </w:rPr>
        <w:t xml:space="preserve"> XRD diffraction pattern of the as–prepared BaTiO</w:t>
      </w:r>
      <w:r w:rsidRPr="000D3477">
        <w:rPr>
          <w:rFonts w:asciiTheme="majorBidi" w:hAnsiTheme="majorBidi" w:cstheme="majorBidi"/>
          <w:vertAlign w:val="subscript"/>
        </w:rPr>
        <w:t>3</w:t>
      </w:r>
      <w:r w:rsidRPr="000D3477">
        <w:rPr>
          <w:rFonts w:asciiTheme="majorBidi" w:hAnsiTheme="majorBidi" w:cstheme="majorBidi"/>
        </w:rPr>
        <w:t xml:space="preserve"> and the reference lines of TiO</w:t>
      </w:r>
      <w:r w:rsidRPr="000D3477">
        <w:rPr>
          <w:rFonts w:asciiTheme="majorBidi" w:hAnsiTheme="majorBidi" w:cstheme="majorBidi"/>
          <w:vertAlign w:val="subscript"/>
        </w:rPr>
        <w:t>2</w:t>
      </w:r>
      <w:r w:rsidRPr="000D3477">
        <w:rPr>
          <w:rFonts w:asciiTheme="majorBidi" w:hAnsiTheme="majorBidi" w:cstheme="majorBidi"/>
        </w:rPr>
        <w:t xml:space="preserve"> anatase (</w:t>
      </w:r>
      <w:r w:rsidRPr="000D3477">
        <w:rPr>
          <w:rFonts w:asciiTheme="majorBidi" w:hAnsiTheme="majorBidi" w:cstheme="majorBidi"/>
          <w:lang w:val="en-GB"/>
        </w:rPr>
        <w:t>ICDD: 01–074–1960</w:t>
      </w:r>
      <w:r w:rsidRPr="000D3477">
        <w:rPr>
          <w:rFonts w:asciiTheme="majorBidi" w:hAnsiTheme="majorBidi" w:cstheme="majorBidi"/>
        </w:rPr>
        <w:t>) and BaTiO</w:t>
      </w:r>
      <w:r w:rsidRPr="008432C4">
        <w:rPr>
          <w:rFonts w:asciiTheme="majorBidi" w:hAnsiTheme="majorBidi" w:cstheme="majorBidi"/>
          <w:vertAlign w:val="subscript"/>
        </w:rPr>
        <w:t>3</w:t>
      </w:r>
      <w:r w:rsidRPr="000D3477">
        <w:rPr>
          <w:rFonts w:asciiTheme="majorBidi" w:hAnsiTheme="majorBidi" w:cstheme="majorBidi"/>
        </w:rPr>
        <w:t xml:space="preserve"> (</w:t>
      </w:r>
      <w:r w:rsidRPr="000D3477">
        <w:rPr>
          <w:rFonts w:asciiTheme="majorBidi" w:hAnsiTheme="majorBidi" w:cstheme="majorBidi"/>
          <w:lang w:val="en-GB"/>
        </w:rPr>
        <w:t>ICDD: 98–009–6946</w:t>
      </w:r>
      <w:r w:rsidRPr="000D3477">
        <w:rPr>
          <w:rFonts w:asciiTheme="majorBidi" w:hAnsiTheme="majorBidi" w:cstheme="majorBidi"/>
        </w:rPr>
        <w:t>).</w:t>
      </w:r>
    </w:p>
    <w:p w14:paraId="18DE6C43" w14:textId="77777777" w:rsidR="008432C4" w:rsidRDefault="008432C4" w:rsidP="00164D43">
      <w:pPr>
        <w:jc w:val="both"/>
        <w:rPr>
          <w:rFonts w:asciiTheme="majorBidi" w:hAnsiTheme="majorBidi" w:cstheme="majorBidi"/>
        </w:rPr>
      </w:pPr>
    </w:p>
    <w:p w14:paraId="22C499A2" w14:textId="77777777" w:rsidR="008432C4" w:rsidRDefault="008432C4" w:rsidP="00164D43">
      <w:pPr>
        <w:jc w:val="both"/>
        <w:rPr>
          <w:rFonts w:asciiTheme="majorBidi" w:hAnsiTheme="majorBidi" w:cstheme="majorBidi"/>
        </w:rPr>
      </w:pPr>
    </w:p>
    <w:p w14:paraId="11D4E310" w14:textId="77777777" w:rsidR="008432C4" w:rsidRDefault="008432C4" w:rsidP="00164D43">
      <w:pPr>
        <w:jc w:val="both"/>
        <w:rPr>
          <w:rFonts w:asciiTheme="majorBidi" w:hAnsiTheme="majorBidi" w:cstheme="majorBidi"/>
        </w:rPr>
      </w:pPr>
    </w:p>
    <w:p w14:paraId="3823A03E" w14:textId="4B55C111" w:rsidR="008432C4" w:rsidRDefault="008432C4" w:rsidP="00164D43">
      <w:pPr>
        <w:jc w:val="both"/>
        <w:rPr>
          <w:rFonts w:asciiTheme="majorBidi" w:hAnsiTheme="majorBidi" w:cstheme="majorBidi"/>
        </w:rPr>
      </w:pPr>
      <w:r>
        <w:rPr>
          <w:rFonts w:asciiTheme="majorBidi" w:hAnsiTheme="majorBidi" w:cstheme="majorBidi"/>
          <w:noProof/>
        </w:rPr>
        <w:drawing>
          <wp:anchor distT="0" distB="0" distL="114300" distR="114300" simplePos="0" relativeHeight="251670528" behindDoc="0" locked="0" layoutInCell="1" allowOverlap="1" wp14:anchorId="33DC90BA" wp14:editId="3A58B4E7">
            <wp:simplePos x="0" y="0"/>
            <wp:positionH relativeFrom="margin">
              <wp:align>center</wp:align>
            </wp:positionH>
            <wp:positionV relativeFrom="paragraph">
              <wp:posOffset>1623</wp:posOffset>
            </wp:positionV>
            <wp:extent cx="4030133" cy="2264366"/>
            <wp:effectExtent l="0" t="0" r="8890" b="3175"/>
            <wp:wrapSquare wrapText="bothSides"/>
            <wp:docPr id="506329076" name="Picture 1" descr="A diagram of a pole with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6329076" name="Picture 1" descr="A diagram of a pole with a sign&#10;&#10;Description automatically generated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0133" cy="226436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B65C32A" w14:textId="77777777" w:rsidR="008432C4" w:rsidRDefault="008432C4" w:rsidP="00164D43">
      <w:pPr>
        <w:jc w:val="both"/>
        <w:rPr>
          <w:rFonts w:asciiTheme="majorBidi" w:hAnsiTheme="majorBidi" w:cstheme="majorBidi"/>
        </w:rPr>
      </w:pPr>
    </w:p>
    <w:p w14:paraId="4B8803FF" w14:textId="77777777" w:rsidR="008432C4" w:rsidRDefault="008432C4" w:rsidP="00164D43">
      <w:pPr>
        <w:jc w:val="both"/>
        <w:rPr>
          <w:rFonts w:asciiTheme="majorBidi" w:hAnsiTheme="majorBidi" w:cstheme="majorBidi"/>
        </w:rPr>
      </w:pPr>
    </w:p>
    <w:p w14:paraId="092F40EA" w14:textId="77777777" w:rsidR="008432C4" w:rsidRDefault="008432C4" w:rsidP="00164D43">
      <w:pPr>
        <w:jc w:val="both"/>
        <w:rPr>
          <w:rFonts w:asciiTheme="majorBidi" w:hAnsiTheme="majorBidi" w:cstheme="majorBidi"/>
        </w:rPr>
      </w:pPr>
    </w:p>
    <w:p w14:paraId="6B04B98D" w14:textId="77777777" w:rsidR="008432C4" w:rsidRDefault="008432C4" w:rsidP="00164D43">
      <w:pPr>
        <w:jc w:val="both"/>
        <w:rPr>
          <w:rFonts w:asciiTheme="majorBidi" w:hAnsiTheme="majorBidi" w:cstheme="majorBidi"/>
        </w:rPr>
      </w:pPr>
    </w:p>
    <w:p w14:paraId="11D5E3CC" w14:textId="77777777" w:rsidR="008432C4" w:rsidRDefault="008432C4" w:rsidP="00164D43">
      <w:pPr>
        <w:jc w:val="both"/>
        <w:rPr>
          <w:rFonts w:asciiTheme="majorBidi" w:hAnsiTheme="majorBidi" w:cstheme="majorBidi"/>
        </w:rPr>
      </w:pPr>
    </w:p>
    <w:p w14:paraId="2BF0400E" w14:textId="77777777" w:rsidR="008432C4" w:rsidRDefault="008432C4" w:rsidP="00164D43">
      <w:pPr>
        <w:jc w:val="both"/>
        <w:rPr>
          <w:rFonts w:asciiTheme="majorBidi" w:hAnsiTheme="majorBidi" w:cstheme="majorBidi"/>
        </w:rPr>
      </w:pPr>
    </w:p>
    <w:p w14:paraId="43C8FE29" w14:textId="77777777" w:rsidR="008432C4" w:rsidRDefault="008432C4" w:rsidP="00164D43">
      <w:pPr>
        <w:jc w:val="both"/>
        <w:rPr>
          <w:rFonts w:asciiTheme="majorBidi" w:hAnsiTheme="majorBidi" w:cstheme="majorBidi"/>
        </w:rPr>
      </w:pPr>
    </w:p>
    <w:p w14:paraId="626EC294" w14:textId="77777777" w:rsidR="008432C4" w:rsidRDefault="008432C4" w:rsidP="00164D43">
      <w:pPr>
        <w:jc w:val="both"/>
        <w:rPr>
          <w:rFonts w:asciiTheme="majorBidi" w:hAnsiTheme="majorBidi" w:cstheme="majorBidi"/>
        </w:rPr>
      </w:pPr>
    </w:p>
    <w:p w14:paraId="607CDE72" w14:textId="40BD9FCE" w:rsidR="002F0CB3" w:rsidRDefault="002F0CB3" w:rsidP="002F0CB3">
      <w:pPr>
        <w:jc w:val="both"/>
        <w:rPr>
          <w:rFonts w:asciiTheme="majorBidi" w:hAnsiTheme="majorBidi" w:cstheme="majorBidi"/>
        </w:rPr>
      </w:pPr>
      <w:r w:rsidRPr="000D3477">
        <w:rPr>
          <w:rFonts w:asciiTheme="majorBidi" w:hAnsiTheme="majorBidi" w:cstheme="majorBidi"/>
          <w:b/>
          <w:bCs/>
        </w:rPr>
        <w:t>Figure S</w:t>
      </w:r>
      <w:r>
        <w:rPr>
          <w:rFonts w:asciiTheme="majorBidi" w:hAnsiTheme="majorBidi" w:cstheme="majorBidi"/>
          <w:b/>
          <w:bCs/>
        </w:rPr>
        <w:t>3</w:t>
      </w:r>
      <w:r w:rsidRPr="000D3477">
        <w:rPr>
          <w:rFonts w:asciiTheme="majorBidi" w:hAnsiTheme="majorBidi" w:cstheme="majorBidi"/>
          <w:b/>
          <w:bCs/>
        </w:rPr>
        <w:t>.</w:t>
      </w:r>
      <w:r w:rsidRPr="000D3477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 xml:space="preserve">Schematic representation for the customized cell used in </w:t>
      </w:r>
      <w:proofErr w:type="spellStart"/>
      <w:r>
        <w:rPr>
          <w:rFonts w:asciiTheme="majorBidi" w:hAnsiTheme="majorBidi" w:cstheme="majorBidi"/>
        </w:rPr>
        <w:t>rheo</w:t>
      </w:r>
      <w:proofErr w:type="spellEnd"/>
      <w:r>
        <w:rPr>
          <w:rFonts w:asciiTheme="majorBidi" w:hAnsiTheme="majorBidi" w:cstheme="majorBidi"/>
        </w:rPr>
        <w:t>–electrical (impedance spectroscopy and open circuit potential) measurements.</w:t>
      </w:r>
    </w:p>
    <w:p w14:paraId="14F7E5C0" w14:textId="6B9D5B2F" w:rsidR="00E31792" w:rsidRDefault="00E31792" w:rsidP="001A01D1">
      <w:pPr>
        <w:rPr>
          <w:rFonts w:asciiTheme="majorBidi" w:hAnsiTheme="majorBidi" w:cstheme="majorBidi"/>
          <w:sz w:val="24"/>
          <w:szCs w:val="24"/>
        </w:rPr>
      </w:pPr>
      <w:r w:rsidRPr="000D3477">
        <w:rPr>
          <w:rFonts w:asciiTheme="majorBidi" w:hAnsiTheme="majorBidi" w:cstheme="majorBidi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55AE8655" wp14:editId="55A2DB22">
            <wp:simplePos x="0" y="0"/>
            <wp:positionH relativeFrom="margin">
              <wp:align>center</wp:align>
            </wp:positionH>
            <wp:positionV relativeFrom="paragraph">
              <wp:posOffset>228600</wp:posOffset>
            </wp:positionV>
            <wp:extent cx="3520440" cy="2697480"/>
            <wp:effectExtent l="0" t="0" r="3810" b="7620"/>
            <wp:wrapSquare wrapText="bothSides"/>
            <wp:docPr id="80715023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7150233" name="Picture 807150233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0440" cy="2697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9E2282" w14:textId="77777777" w:rsidR="001A01D1" w:rsidRPr="000D3477" w:rsidRDefault="001A01D1" w:rsidP="001A01D1">
      <w:pPr>
        <w:rPr>
          <w:rFonts w:asciiTheme="majorBidi" w:hAnsiTheme="majorBidi" w:cstheme="majorBidi"/>
          <w:sz w:val="24"/>
          <w:szCs w:val="24"/>
        </w:rPr>
      </w:pPr>
    </w:p>
    <w:p w14:paraId="1AB5056B" w14:textId="77777777" w:rsidR="00E31792" w:rsidRPr="000D3477" w:rsidRDefault="00E31792">
      <w:pPr>
        <w:rPr>
          <w:rFonts w:asciiTheme="majorBidi" w:hAnsiTheme="majorBidi" w:cstheme="majorBidi"/>
          <w:sz w:val="24"/>
          <w:szCs w:val="24"/>
        </w:rPr>
      </w:pPr>
    </w:p>
    <w:p w14:paraId="6875D19E" w14:textId="77777777" w:rsidR="00E31792" w:rsidRPr="000D3477" w:rsidRDefault="00E31792">
      <w:pPr>
        <w:rPr>
          <w:rFonts w:asciiTheme="majorBidi" w:hAnsiTheme="majorBidi" w:cstheme="majorBidi"/>
          <w:sz w:val="24"/>
          <w:szCs w:val="24"/>
        </w:rPr>
      </w:pPr>
    </w:p>
    <w:p w14:paraId="53190F7C" w14:textId="77777777" w:rsidR="00E31792" w:rsidRPr="000D3477" w:rsidRDefault="00E31792">
      <w:pPr>
        <w:rPr>
          <w:rFonts w:asciiTheme="majorBidi" w:hAnsiTheme="majorBidi" w:cstheme="majorBidi"/>
          <w:sz w:val="24"/>
          <w:szCs w:val="24"/>
        </w:rPr>
      </w:pPr>
    </w:p>
    <w:p w14:paraId="11F23904" w14:textId="77777777" w:rsidR="00E31792" w:rsidRPr="000D3477" w:rsidRDefault="00E31792">
      <w:pPr>
        <w:rPr>
          <w:rFonts w:asciiTheme="majorBidi" w:hAnsiTheme="majorBidi" w:cstheme="majorBidi"/>
          <w:sz w:val="24"/>
          <w:szCs w:val="24"/>
        </w:rPr>
      </w:pPr>
    </w:p>
    <w:p w14:paraId="5C3A45FE" w14:textId="77777777" w:rsidR="00E31792" w:rsidRPr="000D3477" w:rsidRDefault="00E31792">
      <w:pPr>
        <w:rPr>
          <w:rFonts w:asciiTheme="majorBidi" w:hAnsiTheme="majorBidi" w:cstheme="majorBidi"/>
          <w:sz w:val="24"/>
          <w:szCs w:val="24"/>
        </w:rPr>
      </w:pPr>
    </w:p>
    <w:p w14:paraId="75819341" w14:textId="77777777" w:rsidR="00E31792" w:rsidRPr="000D3477" w:rsidRDefault="00E31792">
      <w:pPr>
        <w:rPr>
          <w:rFonts w:asciiTheme="majorBidi" w:hAnsiTheme="majorBidi" w:cstheme="majorBidi"/>
          <w:sz w:val="24"/>
          <w:szCs w:val="24"/>
        </w:rPr>
      </w:pPr>
    </w:p>
    <w:p w14:paraId="6C053491" w14:textId="77777777" w:rsidR="00E31792" w:rsidRPr="000D3477" w:rsidRDefault="00E31792">
      <w:pPr>
        <w:rPr>
          <w:rFonts w:asciiTheme="majorBidi" w:hAnsiTheme="majorBidi" w:cstheme="majorBidi"/>
          <w:sz w:val="24"/>
          <w:szCs w:val="24"/>
        </w:rPr>
      </w:pPr>
    </w:p>
    <w:p w14:paraId="2DA850BD" w14:textId="77777777" w:rsidR="00D56AD8" w:rsidRDefault="00D56AD8">
      <w:pPr>
        <w:rPr>
          <w:rFonts w:asciiTheme="majorBidi" w:hAnsiTheme="majorBidi" w:cstheme="majorBidi"/>
          <w:sz w:val="24"/>
          <w:szCs w:val="24"/>
        </w:rPr>
      </w:pPr>
    </w:p>
    <w:p w14:paraId="5FC4D13D" w14:textId="77777777" w:rsidR="002F0CB3" w:rsidRPr="000D3477" w:rsidRDefault="002F0CB3">
      <w:pPr>
        <w:rPr>
          <w:rFonts w:asciiTheme="majorBidi" w:hAnsiTheme="majorBidi" w:cstheme="majorBidi"/>
          <w:sz w:val="24"/>
          <w:szCs w:val="24"/>
        </w:rPr>
      </w:pPr>
    </w:p>
    <w:p w14:paraId="5FD1DB92" w14:textId="3F51C491" w:rsidR="00D56AD8" w:rsidRPr="000D3477" w:rsidRDefault="00D56AD8" w:rsidP="00D56AD8">
      <w:pPr>
        <w:tabs>
          <w:tab w:val="left" w:pos="3084"/>
        </w:tabs>
        <w:jc w:val="both"/>
        <w:rPr>
          <w:rFonts w:asciiTheme="majorBidi" w:hAnsiTheme="majorBidi" w:cstheme="majorBidi"/>
        </w:rPr>
      </w:pPr>
      <w:r w:rsidRPr="000D3477">
        <w:rPr>
          <w:rFonts w:asciiTheme="majorBidi" w:hAnsiTheme="majorBidi" w:cstheme="majorBidi"/>
          <w:b/>
          <w:bCs/>
        </w:rPr>
        <w:t>Figure S</w:t>
      </w:r>
      <w:r w:rsidR="001A01D1">
        <w:rPr>
          <w:rFonts w:asciiTheme="majorBidi" w:hAnsiTheme="majorBidi" w:cstheme="majorBidi"/>
          <w:b/>
          <w:bCs/>
        </w:rPr>
        <w:t>4</w:t>
      </w:r>
      <w:r w:rsidRPr="000D3477">
        <w:rPr>
          <w:rFonts w:asciiTheme="majorBidi" w:hAnsiTheme="majorBidi" w:cstheme="majorBidi"/>
          <w:b/>
          <w:bCs/>
        </w:rPr>
        <w:t>.</w:t>
      </w:r>
      <w:r w:rsidRPr="000D3477">
        <w:rPr>
          <w:rFonts w:asciiTheme="majorBidi" w:hAnsiTheme="majorBidi" w:cstheme="majorBidi"/>
        </w:rPr>
        <w:t xml:space="preserve"> Variation of the elastic (</w:t>
      </w:r>
      <w:r w:rsidRPr="000D3477">
        <w:rPr>
          <w:rFonts w:asciiTheme="majorBidi" w:hAnsiTheme="majorBidi" w:cstheme="majorBidi"/>
          <w:i/>
          <w:iCs/>
        </w:rPr>
        <w:t>G</w:t>
      </w:r>
      <w:r w:rsidRPr="000D3477">
        <w:rPr>
          <w:rFonts w:asciiTheme="majorBidi" w:hAnsiTheme="majorBidi" w:cstheme="majorBidi"/>
        </w:rPr>
        <w:t>′) and the viscous (</w:t>
      </w:r>
      <w:r w:rsidRPr="000D3477">
        <w:rPr>
          <w:rFonts w:asciiTheme="majorBidi" w:hAnsiTheme="majorBidi" w:cstheme="majorBidi"/>
          <w:i/>
          <w:iCs/>
        </w:rPr>
        <w:t>G</w:t>
      </w:r>
      <w:r w:rsidRPr="000D3477">
        <w:rPr>
          <w:rFonts w:asciiTheme="majorBidi" w:hAnsiTheme="majorBidi" w:cstheme="majorBidi"/>
        </w:rPr>
        <w:t>″) moduli with the angular frequency (</w:t>
      </w:r>
      <w:r w:rsidRPr="000D3477">
        <w:rPr>
          <w:rFonts w:ascii="Calibri" w:hAnsi="Calibri" w:cs="Calibri"/>
        </w:rPr>
        <w:t>ω</w:t>
      </w:r>
      <w:r w:rsidRPr="000D3477">
        <w:rPr>
          <w:rFonts w:asciiTheme="majorBidi" w:hAnsiTheme="majorBidi" w:cstheme="majorBidi"/>
        </w:rPr>
        <w:t>) at 25 ºC in the LVR for the CNTs dispersions at various contents (</w:t>
      </w:r>
      <w:r w:rsidRPr="000D3477">
        <w:rPr>
          <w:rFonts w:asciiTheme="majorBidi" w:hAnsiTheme="majorBidi" w:cstheme="majorBidi"/>
          <w:i/>
          <w:iCs/>
        </w:rPr>
        <w:t>C</w:t>
      </w:r>
      <w:r w:rsidRPr="000D3477">
        <w:rPr>
          <w:rFonts w:asciiTheme="majorBidi" w:hAnsiTheme="majorBidi" w:cstheme="majorBidi"/>
          <w:vertAlign w:val="subscript"/>
        </w:rPr>
        <w:t>CNT</w:t>
      </w:r>
      <w:r w:rsidRPr="000D3477">
        <w:rPr>
          <w:rFonts w:asciiTheme="majorBidi" w:hAnsiTheme="majorBidi" w:cstheme="majorBidi"/>
        </w:rPr>
        <w:t xml:space="preserve">) in weight per cent (wt.%). </w:t>
      </w:r>
    </w:p>
    <w:p w14:paraId="546277E7" w14:textId="1AD1A0CD" w:rsidR="00186209" w:rsidRPr="000D3477" w:rsidRDefault="00186209" w:rsidP="00F32832">
      <w:pPr>
        <w:rPr>
          <w:rFonts w:asciiTheme="majorBidi" w:hAnsiTheme="majorBidi" w:cstheme="majorBidi"/>
          <w:sz w:val="24"/>
          <w:szCs w:val="24"/>
        </w:rPr>
      </w:pPr>
    </w:p>
    <w:p w14:paraId="5009A24B" w14:textId="77129F94" w:rsidR="00F32832" w:rsidRPr="000D3477" w:rsidRDefault="00F32832" w:rsidP="00F32832">
      <w:pPr>
        <w:rPr>
          <w:rFonts w:asciiTheme="majorBidi" w:hAnsiTheme="majorBidi" w:cstheme="majorBidi"/>
          <w:sz w:val="24"/>
          <w:szCs w:val="24"/>
        </w:rPr>
      </w:pPr>
      <w:r w:rsidRPr="000D3477">
        <w:rPr>
          <w:rFonts w:asciiTheme="majorBidi" w:hAnsiTheme="majorBidi" w:cstheme="majorBidi"/>
          <w:noProof/>
          <w:sz w:val="24"/>
          <w:szCs w:val="24"/>
        </w:rPr>
        <w:lastRenderedPageBreak/>
        <w:drawing>
          <wp:anchor distT="0" distB="0" distL="114300" distR="114300" simplePos="0" relativeHeight="251661312" behindDoc="1" locked="0" layoutInCell="1" allowOverlap="1" wp14:anchorId="1A1B7A09" wp14:editId="63BD7B58">
            <wp:simplePos x="0" y="0"/>
            <wp:positionH relativeFrom="margin">
              <wp:align>center</wp:align>
            </wp:positionH>
            <wp:positionV relativeFrom="paragraph">
              <wp:posOffset>292735</wp:posOffset>
            </wp:positionV>
            <wp:extent cx="4107180" cy="3216910"/>
            <wp:effectExtent l="0" t="0" r="7620" b="2540"/>
            <wp:wrapTight wrapText="bothSides">
              <wp:wrapPolygon edited="0">
                <wp:start x="0" y="0"/>
                <wp:lineTo x="0" y="21489"/>
                <wp:lineTo x="21540" y="21489"/>
                <wp:lineTo x="21540" y="0"/>
                <wp:lineTo x="0" y="0"/>
              </wp:wrapPolygon>
            </wp:wrapTight>
            <wp:docPr id="2474398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7180" cy="321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CB2872" w14:textId="22022477" w:rsidR="00563652" w:rsidRPr="000D3477" w:rsidRDefault="00563652" w:rsidP="00563652">
      <w:pPr>
        <w:rPr>
          <w:rFonts w:asciiTheme="majorBidi" w:hAnsiTheme="majorBidi" w:cstheme="majorBidi"/>
          <w:sz w:val="24"/>
          <w:szCs w:val="24"/>
        </w:rPr>
      </w:pPr>
    </w:p>
    <w:p w14:paraId="67B80C9D" w14:textId="2233192D" w:rsidR="00563652" w:rsidRPr="000D3477" w:rsidRDefault="00563652" w:rsidP="00563652">
      <w:pPr>
        <w:rPr>
          <w:rFonts w:asciiTheme="majorBidi" w:hAnsiTheme="majorBidi" w:cstheme="majorBidi"/>
          <w:sz w:val="24"/>
          <w:szCs w:val="24"/>
        </w:rPr>
      </w:pPr>
    </w:p>
    <w:p w14:paraId="22646AA7" w14:textId="75A735EB" w:rsidR="00563652" w:rsidRPr="000D3477" w:rsidRDefault="00563652" w:rsidP="00563652">
      <w:pPr>
        <w:rPr>
          <w:rFonts w:asciiTheme="majorBidi" w:hAnsiTheme="majorBidi" w:cstheme="majorBidi"/>
          <w:sz w:val="24"/>
          <w:szCs w:val="24"/>
        </w:rPr>
      </w:pPr>
    </w:p>
    <w:p w14:paraId="4C6A92DE" w14:textId="77777777" w:rsidR="00563652" w:rsidRPr="000D3477" w:rsidRDefault="00563652" w:rsidP="00563652">
      <w:pPr>
        <w:rPr>
          <w:rFonts w:asciiTheme="majorBidi" w:hAnsiTheme="majorBidi" w:cstheme="majorBidi"/>
          <w:sz w:val="24"/>
          <w:szCs w:val="24"/>
        </w:rPr>
      </w:pPr>
    </w:p>
    <w:p w14:paraId="71BC3EA9" w14:textId="77777777" w:rsidR="00563652" w:rsidRPr="000D3477" w:rsidRDefault="00563652" w:rsidP="00563652">
      <w:pPr>
        <w:rPr>
          <w:rFonts w:asciiTheme="majorBidi" w:hAnsiTheme="majorBidi" w:cstheme="majorBidi"/>
          <w:sz w:val="24"/>
          <w:szCs w:val="24"/>
        </w:rPr>
      </w:pPr>
    </w:p>
    <w:p w14:paraId="2EDB0C70" w14:textId="77777777" w:rsidR="00563652" w:rsidRPr="000D3477" w:rsidRDefault="00563652" w:rsidP="00563652">
      <w:pPr>
        <w:rPr>
          <w:rFonts w:asciiTheme="majorBidi" w:hAnsiTheme="majorBidi" w:cstheme="majorBidi"/>
          <w:sz w:val="24"/>
          <w:szCs w:val="24"/>
        </w:rPr>
      </w:pPr>
    </w:p>
    <w:p w14:paraId="3FC319F7" w14:textId="77777777" w:rsidR="00186209" w:rsidRPr="000D3477" w:rsidRDefault="00186209" w:rsidP="00563652">
      <w:pPr>
        <w:rPr>
          <w:rFonts w:asciiTheme="majorBidi" w:hAnsiTheme="majorBidi" w:cstheme="majorBidi"/>
          <w:sz w:val="24"/>
          <w:szCs w:val="24"/>
        </w:rPr>
      </w:pPr>
    </w:p>
    <w:p w14:paraId="09360A0A" w14:textId="77777777" w:rsidR="00186209" w:rsidRPr="000D3477" w:rsidRDefault="00186209" w:rsidP="00563652">
      <w:pPr>
        <w:rPr>
          <w:rFonts w:asciiTheme="majorBidi" w:hAnsiTheme="majorBidi" w:cstheme="majorBidi"/>
          <w:sz w:val="24"/>
          <w:szCs w:val="24"/>
        </w:rPr>
      </w:pPr>
    </w:p>
    <w:p w14:paraId="400B8AA6" w14:textId="77777777" w:rsidR="008E6E9E" w:rsidRPr="000D3477" w:rsidRDefault="008E6E9E" w:rsidP="00186209">
      <w:pPr>
        <w:tabs>
          <w:tab w:val="left" w:pos="3084"/>
        </w:tabs>
        <w:jc w:val="both"/>
        <w:rPr>
          <w:rFonts w:asciiTheme="majorBidi" w:hAnsiTheme="majorBidi" w:cstheme="majorBidi"/>
          <w:b/>
          <w:bCs/>
        </w:rPr>
      </w:pPr>
    </w:p>
    <w:p w14:paraId="4DDFA1D8" w14:textId="77777777" w:rsidR="00812214" w:rsidRPr="000D3477" w:rsidRDefault="00812214" w:rsidP="00186209">
      <w:pPr>
        <w:tabs>
          <w:tab w:val="left" w:pos="3084"/>
        </w:tabs>
        <w:jc w:val="both"/>
        <w:rPr>
          <w:rFonts w:asciiTheme="majorBidi" w:hAnsiTheme="majorBidi" w:cstheme="majorBidi"/>
          <w:b/>
          <w:bCs/>
        </w:rPr>
      </w:pPr>
    </w:p>
    <w:p w14:paraId="10F78178" w14:textId="77777777" w:rsidR="00812214" w:rsidRPr="000D3477" w:rsidRDefault="00812214" w:rsidP="00186209">
      <w:pPr>
        <w:tabs>
          <w:tab w:val="left" w:pos="3084"/>
        </w:tabs>
        <w:jc w:val="both"/>
        <w:rPr>
          <w:rFonts w:asciiTheme="majorBidi" w:hAnsiTheme="majorBidi" w:cstheme="majorBidi"/>
          <w:b/>
          <w:bCs/>
        </w:rPr>
      </w:pPr>
    </w:p>
    <w:p w14:paraId="0E309F32" w14:textId="77777777" w:rsidR="00F32832" w:rsidRPr="000D3477" w:rsidRDefault="00F32832" w:rsidP="00186209">
      <w:pPr>
        <w:tabs>
          <w:tab w:val="left" w:pos="3084"/>
        </w:tabs>
        <w:jc w:val="both"/>
        <w:rPr>
          <w:rFonts w:asciiTheme="majorBidi" w:hAnsiTheme="majorBidi" w:cstheme="majorBidi"/>
          <w:b/>
          <w:bCs/>
        </w:rPr>
      </w:pPr>
    </w:p>
    <w:p w14:paraId="462536CA" w14:textId="68C8EA8C" w:rsidR="00186209" w:rsidRPr="000D3477" w:rsidRDefault="00186209" w:rsidP="00186209">
      <w:pPr>
        <w:tabs>
          <w:tab w:val="left" w:pos="3084"/>
        </w:tabs>
        <w:jc w:val="both"/>
        <w:rPr>
          <w:rFonts w:asciiTheme="majorBidi" w:hAnsiTheme="majorBidi" w:cstheme="majorBidi"/>
        </w:rPr>
      </w:pPr>
      <w:r w:rsidRPr="000D3477">
        <w:rPr>
          <w:rFonts w:asciiTheme="majorBidi" w:hAnsiTheme="majorBidi" w:cstheme="majorBidi"/>
          <w:b/>
          <w:bCs/>
        </w:rPr>
        <w:t>Figure S</w:t>
      </w:r>
      <w:r w:rsidR="001A01D1">
        <w:rPr>
          <w:rFonts w:asciiTheme="majorBidi" w:hAnsiTheme="majorBidi" w:cstheme="majorBidi"/>
          <w:b/>
          <w:bCs/>
        </w:rPr>
        <w:t>5</w:t>
      </w:r>
      <w:r w:rsidRPr="000D3477">
        <w:rPr>
          <w:rFonts w:asciiTheme="majorBidi" w:hAnsiTheme="majorBidi" w:cstheme="majorBidi"/>
          <w:b/>
          <w:bCs/>
        </w:rPr>
        <w:t>.</w:t>
      </w:r>
      <w:r w:rsidRPr="000D3477">
        <w:rPr>
          <w:rFonts w:asciiTheme="majorBidi" w:hAnsiTheme="majorBidi" w:cstheme="majorBidi"/>
        </w:rPr>
        <w:t xml:space="preserve"> Variation of the viscosity (η) with the shear rate (</w:t>
      </w:r>
      <m:oMath>
        <m:acc>
          <m:accPr>
            <m:chr m:val="̇"/>
            <m:ctrlPr>
              <w:rPr>
                <w:rFonts w:ascii="Cambria Math" w:hAnsi="Cambria Math" w:cstheme="majorBidi"/>
                <w:i/>
              </w:rPr>
            </m:ctrlPr>
          </m:accPr>
          <m:e>
            <m:r>
              <w:rPr>
                <w:rFonts w:ascii="Cambria Math" w:hAnsi="Cambria Math" w:cstheme="majorBidi"/>
              </w:rPr>
              <m:t>γ</m:t>
            </m:r>
          </m:e>
        </m:acc>
      </m:oMath>
      <w:r w:rsidRPr="000D3477">
        <w:rPr>
          <w:rFonts w:asciiTheme="majorBidi" w:hAnsiTheme="majorBidi" w:cstheme="majorBidi"/>
        </w:rPr>
        <w:t xml:space="preserve">) at 25 ºC for selected CNTs dispersions. The </w:t>
      </w:r>
      <w:r w:rsidR="001540DD" w:rsidRPr="000D3477">
        <w:rPr>
          <w:rFonts w:asciiTheme="majorBidi" w:hAnsiTheme="majorBidi" w:cstheme="majorBidi"/>
        </w:rPr>
        <w:t xml:space="preserve">closed </w:t>
      </w:r>
      <w:r w:rsidRPr="000D3477">
        <w:rPr>
          <w:rFonts w:asciiTheme="majorBidi" w:hAnsiTheme="majorBidi" w:cstheme="majorBidi"/>
        </w:rPr>
        <w:t>and open symbols present</w:t>
      </w:r>
      <w:r w:rsidR="001540DD" w:rsidRPr="000D3477">
        <w:rPr>
          <w:rFonts w:asciiTheme="majorBidi" w:hAnsiTheme="majorBidi" w:cstheme="majorBidi"/>
        </w:rPr>
        <w:t>, respectively,</w:t>
      </w:r>
      <w:r w:rsidRPr="000D3477">
        <w:rPr>
          <w:rFonts w:asciiTheme="majorBidi" w:hAnsiTheme="majorBidi" w:cstheme="majorBidi"/>
        </w:rPr>
        <w:t xml:space="preserve"> the upscan (</w:t>
      </w:r>
      <w:r w:rsidRPr="000D3477">
        <w:rPr>
          <w:rFonts w:asciiTheme="majorBidi" w:hAnsiTheme="majorBidi" w:cstheme="majorBidi"/>
        </w:rPr>
        <w:sym w:font="Symbol" w:char="F0AE"/>
      </w:r>
      <w:r w:rsidRPr="000D3477">
        <w:rPr>
          <w:rFonts w:asciiTheme="majorBidi" w:hAnsiTheme="majorBidi" w:cstheme="majorBidi"/>
        </w:rPr>
        <w:t>) and downscan (</w:t>
      </w:r>
      <w:r w:rsidRPr="000D3477">
        <w:rPr>
          <w:rFonts w:asciiTheme="majorBidi" w:hAnsiTheme="majorBidi" w:cstheme="majorBidi"/>
        </w:rPr>
        <w:sym w:font="Symbol" w:char="F0AC"/>
      </w:r>
      <w:r w:rsidRPr="000D3477">
        <w:rPr>
          <w:rFonts w:asciiTheme="majorBidi" w:hAnsiTheme="majorBidi" w:cstheme="majorBidi"/>
        </w:rPr>
        <w:t xml:space="preserve">) modes of shear rate. </w:t>
      </w:r>
    </w:p>
    <w:p w14:paraId="4F71F206" w14:textId="77777777" w:rsidR="008B0EC6" w:rsidRDefault="008B0EC6" w:rsidP="00812214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6A840673" w14:textId="15DCB755" w:rsidR="00812214" w:rsidRPr="000D3477" w:rsidRDefault="00D03C0C" w:rsidP="00812214">
      <w:pPr>
        <w:rPr>
          <w:rFonts w:asciiTheme="majorBidi" w:hAnsiTheme="majorBidi" w:cstheme="majorBidi"/>
          <w:b/>
          <w:bCs/>
          <w:sz w:val="24"/>
          <w:szCs w:val="24"/>
        </w:rPr>
      </w:pPr>
      <w:r w:rsidRPr="000D3477">
        <w:rPr>
          <w:rFonts w:asciiTheme="majorBidi" w:hAnsiTheme="majorBidi" w:cstheme="majorBidi"/>
          <w:b/>
          <w:bCs/>
          <w:sz w:val="24"/>
          <w:szCs w:val="24"/>
        </w:rPr>
        <w:t xml:space="preserve">S.3. </w:t>
      </w:r>
      <w:r w:rsidR="003727C0" w:rsidRPr="000D3477">
        <w:rPr>
          <w:rFonts w:asciiTheme="majorBidi" w:hAnsiTheme="majorBidi" w:cstheme="majorBidi"/>
          <w:b/>
          <w:bCs/>
          <w:sz w:val="24"/>
          <w:szCs w:val="24"/>
        </w:rPr>
        <w:t>The e</w:t>
      </w:r>
      <w:r w:rsidR="00812214" w:rsidRPr="000D3477">
        <w:rPr>
          <w:rFonts w:asciiTheme="majorBidi" w:hAnsiTheme="majorBidi" w:cstheme="majorBidi"/>
          <w:b/>
          <w:bCs/>
          <w:sz w:val="24"/>
          <w:szCs w:val="24"/>
        </w:rPr>
        <w:t>quivalent circuit</w:t>
      </w:r>
    </w:p>
    <w:p w14:paraId="4DB0562D" w14:textId="6E52A574" w:rsidR="00812214" w:rsidRPr="000D3477" w:rsidRDefault="004754D0" w:rsidP="004754D0">
      <w:pPr>
        <w:spacing w:line="360" w:lineRule="auto"/>
        <w:ind w:firstLine="720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0D3477">
        <w:rPr>
          <w:noProof/>
        </w:rPr>
        <w:drawing>
          <wp:anchor distT="0" distB="0" distL="114300" distR="114300" simplePos="0" relativeHeight="251666432" behindDoc="1" locked="0" layoutInCell="1" allowOverlap="1" wp14:anchorId="4407F222" wp14:editId="0ACBF518">
            <wp:simplePos x="0" y="0"/>
            <wp:positionH relativeFrom="margin">
              <wp:align>center</wp:align>
            </wp:positionH>
            <wp:positionV relativeFrom="paragraph">
              <wp:posOffset>850900</wp:posOffset>
            </wp:positionV>
            <wp:extent cx="1297940" cy="669925"/>
            <wp:effectExtent l="0" t="0" r="0" b="0"/>
            <wp:wrapTight wrapText="bothSides">
              <wp:wrapPolygon edited="0">
                <wp:start x="0" y="0"/>
                <wp:lineTo x="0" y="20883"/>
                <wp:lineTo x="21241" y="20883"/>
                <wp:lineTo x="21241" y="0"/>
                <wp:lineTo x="0" y="0"/>
              </wp:wrapPolygon>
            </wp:wrapTight>
            <wp:docPr id="903717684" name="Picture 3" descr="A diagram of a compan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3717684" name="Picture 3" descr="A diagram of a compan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7940" cy="66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D3477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  <w:lang w:val="en-GB"/>
        </w:rPr>
        <w:t xml:space="preserve">The </w:t>
      </w:r>
      <w:r w:rsidRPr="000D3477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impedance spectra of CNTs dispersions were </w:t>
      </w:r>
      <w:r w:rsidRPr="000D3477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  <w:lang w:val="en-GB"/>
        </w:rPr>
        <w:t>fitted</w:t>
      </w:r>
      <w:r w:rsidRPr="000D3477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0D3477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  <w:lang w:val="en-GB"/>
        </w:rPr>
        <w:t xml:space="preserve">by </w:t>
      </w:r>
      <w:r w:rsidRPr="000D3477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>the equivalent circuit</w:t>
      </w:r>
      <w:r w:rsidRPr="000D3477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  <w:lang w:val="en-GB"/>
        </w:rPr>
        <w:t xml:space="preserve"> </w:t>
      </w:r>
      <w:r w:rsidRPr="000D3477">
        <w:rPr>
          <w:rFonts w:asciiTheme="majorBidi" w:hAnsiTheme="majorBidi" w:cstheme="majorBidi"/>
          <w:color w:val="000000" w:themeColor="text1"/>
          <w:sz w:val="24"/>
          <w:szCs w:val="24"/>
          <w:shd w:val="clear" w:color="auto" w:fill="FFFFFF"/>
        </w:rPr>
        <w:t xml:space="preserve">using </w:t>
      </w:r>
      <w:r w:rsidRPr="000D3477">
        <w:rPr>
          <w:rFonts w:asciiTheme="majorBidi" w:hAnsiTheme="majorBidi" w:cstheme="majorBidi"/>
          <w:color w:val="000000" w:themeColor="text1"/>
          <w:sz w:val="24"/>
          <w:szCs w:val="24"/>
        </w:rPr>
        <w:t>EC–Lab® software (Biologic, France).</w:t>
      </w:r>
      <w:r w:rsidRPr="000D3477">
        <w:rPr>
          <w:rFonts w:asciiTheme="majorBidi" w:hAnsiTheme="majorBidi" w:cstheme="majorBidi"/>
          <w:color w:val="000000" w:themeColor="text1"/>
          <w:sz w:val="24"/>
          <w:szCs w:val="24"/>
          <w:lang w:val="en-GB"/>
        </w:rPr>
        <w:t xml:space="preserve"> The circuit is composed of a resistor (R2) in series with double-layer capacitor (Q2). The resistor (R1) denotes the connections, as shown in this diagram:</w:t>
      </w:r>
    </w:p>
    <w:p w14:paraId="27E0B9A6" w14:textId="68C52613" w:rsidR="004754D0" w:rsidRPr="000D3477" w:rsidRDefault="004754D0" w:rsidP="00812214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4CD59DB6" w14:textId="0302C407" w:rsidR="003727C0" w:rsidRDefault="003727C0" w:rsidP="00812214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08E523B" w14:textId="77777777" w:rsidR="007B7127" w:rsidRDefault="007B7127" w:rsidP="00812214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4686496" w14:textId="77777777" w:rsidR="007B7127" w:rsidRDefault="007B7127" w:rsidP="00812214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2840216A" w14:textId="77777777" w:rsidR="007B7127" w:rsidRDefault="007B7127" w:rsidP="00812214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4A3A9C3A" w14:textId="77777777" w:rsidR="007B7127" w:rsidRDefault="007B7127" w:rsidP="00812214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17A9438F" w14:textId="77777777" w:rsidR="007B7127" w:rsidRDefault="007B7127" w:rsidP="00812214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F3E79D7" w14:textId="77777777" w:rsidR="007B7127" w:rsidRDefault="007B7127" w:rsidP="00812214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675E640" w14:textId="77777777" w:rsidR="007B7127" w:rsidRDefault="007B7127" w:rsidP="00812214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4A065F6E" w14:textId="77777777" w:rsidR="007B7127" w:rsidRDefault="007B7127" w:rsidP="00812214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2B7AC1B" w14:textId="4758D3D2" w:rsidR="007B7127" w:rsidRDefault="007B7127" w:rsidP="00812214">
      <w:pPr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1D77E37A" wp14:editId="0315A1A4">
            <wp:simplePos x="0" y="0"/>
            <wp:positionH relativeFrom="margin">
              <wp:align>center</wp:align>
            </wp:positionH>
            <wp:positionV relativeFrom="paragraph">
              <wp:posOffset>5644</wp:posOffset>
            </wp:positionV>
            <wp:extent cx="4073525" cy="5314315"/>
            <wp:effectExtent l="0" t="0" r="3175" b="635"/>
            <wp:wrapSquare wrapText="bothSides"/>
            <wp:docPr id="188715739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7157391" name="Picture 188715739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73525" cy="5314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3A5FDC" w14:textId="77777777" w:rsidR="007B7127" w:rsidRDefault="007B7127" w:rsidP="00812214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63A8DFA4" w14:textId="77777777" w:rsidR="007B7127" w:rsidRDefault="007B7127" w:rsidP="00812214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73C7B14" w14:textId="77777777" w:rsidR="007B7127" w:rsidRPr="000D3477" w:rsidRDefault="007B7127" w:rsidP="00812214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69758D49" w14:textId="77777777" w:rsidR="004754D0" w:rsidRPr="000D3477" w:rsidRDefault="004754D0" w:rsidP="00812214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2CEBE0B3" w14:textId="77777777" w:rsidR="00F32832" w:rsidRDefault="00F32832" w:rsidP="00812214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655B0926" w14:textId="77777777" w:rsidR="007B7127" w:rsidRDefault="007B7127" w:rsidP="00812214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38239C3F" w14:textId="77777777" w:rsidR="007B7127" w:rsidRDefault="007B7127" w:rsidP="00812214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7FA4BA2D" w14:textId="77777777" w:rsidR="007B7127" w:rsidRDefault="007B7127" w:rsidP="00812214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792A59FC" w14:textId="77777777" w:rsidR="007B7127" w:rsidRDefault="007B7127" w:rsidP="00812214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4307C19" w14:textId="77777777" w:rsidR="007B7127" w:rsidRDefault="007B7127" w:rsidP="00812214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50B81FA8" w14:textId="77777777" w:rsidR="007B7127" w:rsidRDefault="007B7127" w:rsidP="00812214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C9AEA18" w14:textId="77777777" w:rsidR="007B7127" w:rsidRDefault="007B7127" w:rsidP="00812214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358087C7" w14:textId="77777777" w:rsidR="007B7127" w:rsidRDefault="007B7127" w:rsidP="00812214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6B621F88" w14:textId="77777777" w:rsidR="007B7127" w:rsidRDefault="007B7127" w:rsidP="00812214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4CA625B2" w14:textId="77777777" w:rsidR="007B7127" w:rsidRDefault="007B7127" w:rsidP="00812214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4BBBE3A9" w14:textId="77777777" w:rsidR="007B7127" w:rsidRDefault="007B7127" w:rsidP="00812214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2DBE37F6" w14:textId="77777777" w:rsidR="007B7127" w:rsidRDefault="007B7127" w:rsidP="00812214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3BF849D2" w14:textId="77777777" w:rsidR="007B7127" w:rsidRDefault="007B7127" w:rsidP="00812214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1707ABB5" w14:textId="43E6AA07" w:rsidR="007B7127" w:rsidRPr="00E22A55" w:rsidRDefault="007B7127" w:rsidP="007B7127">
      <w:pPr>
        <w:spacing w:after="200" w:line="240" w:lineRule="auto"/>
        <w:jc w:val="both"/>
        <w:rPr>
          <w:rFonts w:asciiTheme="majorBidi" w:hAnsiTheme="majorBidi" w:cstheme="majorBidi"/>
          <w:lang w:val="en-GB"/>
        </w:rPr>
      </w:pPr>
      <w:r w:rsidRPr="00E22A55">
        <w:rPr>
          <w:rFonts w:asciiTheme="majorBidi" w:hAnsiTheme="majorBidi" w:cstheme="majorBidi"/>
          <w:b/>
          <w:bCs/>
          <w:lang w:val="en-GB"/>
        </w:rPr>
        <w:t xml:space="preserve">Figure </w:t>
      </w:r>
      <w:r>
        <w:rPr>
          <w:rFonts w:asciiTheme="majorBidi" w:hAnsiTheme="majorBidi" w:cstheme="majorBidi"/>
          <w:b/>
          <w:bCs/>
          <w:lang w:val="en-GB"/>
        </w:rPr>
        <w:t>S6</w:t>
      </w:r>
      <w:r w:rsidRPr="00E22A55">
        <w:rPr>
          <w:rFonts w:asciiTheme="majorBidi" w:hAnsiTheme="majorBidi" w:cstheme="majorBidi"/>
          <w:b/>
          <w:bCs/>
          <w:lang w:val="en-GB"/>
        </w:rPr>
        <w:t>.</w:t>
      </w:r>
      <w:r w:rsidRPr="00E22A55">
        <w:rPr>
          <w:rFonts w:asciiTheme="majorBidi" w:hAnsiTheme="majorBidi" w:cstheme="majorBidi"/>
          <w:lang w:val="en-GB"/>
        </w:rPr>
        <w:t xml:space="preserve"> (a) strain sweep, (b) frequency sweep, and (d) flow curve</w:t>
      </w:r>
      <w:r>
        <w:rPr>
          <w:rFonts w:asciiTheme="majorBidi" w:hAnsiTheme="majorBidi" w:cstheme="majorBidi"/>
          <w:lang w:val="en-GB"/>
        </w:rPr>
        <w:t>s</w:t>
      </w:r>
      <w:r w:rsidRPr="00E22A55">
        <w:rPr>
          <w:rFonts w:asciiTheme="majorBidi" w:hAnsiTheme="majorBidi" w:cstheme="majorBidi"/>
          <w:lang w:val="en-GB"/>
        </w:rPr>
        <w:t xml:space="preserve"> of BTO dispersions in PDMS at 25 ºC.</w:t>
      </w:r>
    </w:p>
    <w:p w14:paraId="350E8EC4" w14:textId="77777777" w:rsidR="007B7127" w:rsidRPr="007B7127" w:rsidRDefault="007B7127" w:rsidP="00812214">
      <w:pPr>
        <w:rPr>
          <w:rFonts w:asciiTheme="majorBidi" w:hAnsiTheme="majorBidi" w:cstheme="majorBidi"/>
          <w:b/>
          <w:bCs/>
          <w:sz w:val="24"/>
          <w:szCs w:val="24"/>
          <w:lang w:val="en-GB"/>
        </w:rPr>
      </w:pPr>
    </w:p>
    <w:p w14:paraId="1D91A07E" w14:textId="53395303" w:rsidR="00F32832" w:rsidRPr="000D3477" w:rsidRDefault="00F32832" w:rsidP="00F32832">
      <w:pPr>
        <w:rPr>
          <w:rFonts w:asciiTheme="majorBidi" w:hAnsiTheme="majorBidi" w:cstheme="majorBidi"/>
          <w:b/>
          <w:bCs/>
          <w:sz w:val="24"/>
          <w:szCs w:val="24"/>
        </w:rPr>
      </w:pPr>
      <w:r w:rsidRPr="000D3477">
        <w:rPr>
          <w:rFonts w:asciiTheme="majorBidi" w:hAnsiTheme="majorBidi" w:cstheme="majorBidi"/>
          <w:b/>
          <w:bCs/>
          <w:noProof/>
          <w:sz w:val="24"/>
          <w:szCs w:val="24"/>
        </w:rPr>
        <w:lastRenderedPageBreak/>
        <w:drawing>
          <wp:anchor distT="0" distB="0" distL="114300" distR="114300" simplePos="0" relativeHeight="251667456" behindDoc="0" locked="0" layoutInCell="1" allowOverlap="1" wp14:anchorId="71848253" wp14:editId="1355876E">
            <wp:simplePos x="0" y="0"/>
            <wp:positionH relativeFrom="margin">
              <wp:align>center</wp:align>
            </wp:positionH>
            <wp:positionV relativeFrom="paragraph">
              <wp:posOffset>294640</wp:posOffset>
            </wp:positionV>
            <wp:extent cx="5417820" cy="2399030"/>
            <wp:effectExtent l="0" t="0" r="0" b="1270"/>
            <wp:wrapSquare wrapText="bothSides"/>
            <wp:docPr id="1879503576" name="Picture 4" descr="A graph of a graph of a number of number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9503576" name="Picture 4" descr="A graph of a graph of a number of numbers&#10;&#10;Description automatically generated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7820" cy="23990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A573263" w14:textId="2E736735" w:rsidR="00F32832" w:rsidRPr="000D3477" w:rsidRDefault="00F32832" w:rsidP="00F32832">
      <w:pPr>
        <w:tabs>
          <w:tab w:val="left" w:pos="3084"/>
        </w:tabs>
        <w:jc w:val="both"/>
        <w:rPr>
          <w:rFonts w:asciiTheme="majorBidi" w:hAnsiTheme="majorBidi" w:cstheme="majorBidi"/>
        </w:rPr>
      </w:pPr>
      <w:r w:rsidRPr="000D3477">
        <w:rPr>
          <w:rFonts w:asciiTheme="majorBidi" w:hAnsiTheme="majorBidi" w:cstheme="majorBidi"/>
          <w:b/>
          <w:bCs/>
        </w:rPr>
        <w:t>Figure S</w:t>
      </w:r>
      <w:r w:rsidR="002C63ED">
        <w:rPr>
          <w:rFonts w:asciiTheme="majorBidi" w:hAnsiTheme="majorBidi" w:cstheme="majorBidi"/>
          <w:b/>
          <w:bCs/>
        </w:rPr>
        <w:t>7</w:t>
      </w:r>
      <w:r w:rsidRPr="000D3477">
        <w:rPr>
          <w:rFonts w:asciiTheme="majorBidi" w:hAnsiTheme="majorBidi" w:cstheme="majorBidi"/>
          <w:b/>
          <w:bCs/>
        </w:rPr>
        <w:t>.</w:t>
      </w:r>
      <w:r w:rsidRPr="000D3477">
        <w:rPr>
          <w:rFonts w:asciiTheme="majorBidi" w:hAnsiTheme="majorBidi" w:cstheme="majorBidi"/>
        </w:rPr>
        <w:t xml:space="preserve"> Variation of the viscosity (η) with the shear rate (</w:t>
      </w:r>
      <m:oMath>
        <m:acc>
          <m:accPr>
            <m:chr m:val="̇"/>
            <m:ctrlPr>
              <w:rPr>
                <w:rFonts w:ascii="Cambria Math" w:hAnsi="Cambria Math" w:cstheme="majorBidi"/>
                <w:iCs/>
              </w:rPr>
            </m:ctrlPr>
          </m:accPr>
          <m:e>
            <m:r>
              <m:rPr>
                <m:sty m:val="p"/>
              </m:rPr>
              <w:rPr>
                <w:rFonts w:ascii="Cambria Math" w:hAnsi="Cambria Math" w:cstheme="majorBidi"/>
              </w:rPr>
              <m:t>γ</m:t>
            </m:r>
          </m:e>
        </m:acc>
      </m:oMath>
      <w:r w:rsidRPr="000D3477">
        <w:rPr>
          <w:rFonts w:asciiTheme="majorBidi" w:hAnsiTheme="majorBidi" w:cstheme="majorBidi"/>
        </w:rPr>
        <w:t>) at 25 ºC for (a) BaTiO</w:t>
      </w:r>
      <w:r w:rsidRPr="000D3477">
        <w:rPr>
          <w:rFonts w:asciiTheme="majorBidi" w:hAnsiTheme="majorBidi" w:cstheme="majorBidi"/>
          <w:vertAlign w:val="subscript"/>
        </w:rPr>
        <w:t>3</w:t>
      </w:r>
      <w:r w:rsidRPr="000D3477">
        <w:rPr>
          <w:rFonts w:asciiTheme="majorBidi" w:hAnsiTheme="majorBidi" w:cstheme="majorBidi"/>
        </w:rPr>
        <w:t>, (b) PVdF and (c) hybrid BaTiO</w:t>
      </w:r>
      <w:r w:rsidRPr="000D3477">
        <w:rPr>
          <w:rFonts w:asciiTheme="majorBidi" w:hAnsiTheme="majorBidi" w:cstheme="majorBidi"/>
          <w:vertAlign w:val="subscript"/>
        </w:rPr>
        <w:t>3</w:t>
      </w:r>
      <w:r w:rsidRPr="000D3477">
        <w:rPr>
          <w:rFonts w:asciiTheme="majorBidi" w:hAnsiTheme="majorBidi" w:cstheme="majorBidi"/>
        </w:rPr>
        <w:t xml:space="preserve">–PVdF suspensions in 1 wt.% CNTs/PDMS. </w:t>
      </w:r>
      <w:r w:rsidRPr="000D3477">
        <w:rPr>
          <w:rFonts w:asciiTheme="majorBidi" w:hAnsiTheme="majorBidi" w:cstheme="majorBidi"/>
          <w:i/>
          <w:iCs/>
        </w:rPr>
        <w:t>C</w:t>
      </w:r>
      <w:r w:rsidRPr="000D3477">
        <w:rPr>
          <w:rFonts w:asciiTheme="majorBidi" w:hAnsiTheme="majorBidi" w:cstheme="majorBidi"/>
          <w:vertAlign w:val="subscript"/>
        </w:rPr>
        <w:t>BTO</w:t>
      </w:r>
      <w:r w:rsidRPr="000D3477">
        <w:rPr>
          <w:rFonts w:asciiTheme="majorBidi" w:hAnsiTheme="majorBidi" w:cstheme="majorBidi"/>
        </w:rPr>
        <w:t xml:space="preserve"> and </w:t>
      </w:r>
      <w:proofErr w:type="spellStart"/>
      <w:r w:rsidRPr="000D3477">
        <w:rPr>
          <w:rFonts w:asciiTheme="majorBidi" w:hAnsiTheme="majorBidi" w:cstheme="majorBidi"/>
          <w:i/>
          <w:iCs/>
        </w:rPr>
        <w:t>C</w:t>
      </w:r>
      <w:r w:rsidRPr="000D3477">
        <w:rPr>
          <w:rFonts w:asciiTheme="majorBidi" w:hAnsiTheme="majorBidi" w:cstheme="majorBidi"/>
          <w:vertAlign w:val="subscript"/>
        </w:rPr>
        <w:t>PVdF</w:t>
      </w:r>
      <w:proofErr w:type="spellEnd"/>
      <w:r w:rsidRPr="000D3477">
        <w:rPr>
          <w:rFonts w:asciiTheme="majorBidi" w:hAnsiTheme="majorBidi" w:cstheme="majorBidi"/>
        </w:rPr>
        <w:t xml:space="preserve"> are the weight per cents of BaTiO</w:t>
      </w:r>
      <w:r w:rsidRPr="002C63ED">
        <w:rPr>
          <w:rFonts w:asciiTheme="majorBidi" w:hAnsiTheme="majorBidi" w:cstheme="majorBidi"/>
          <w:vertAlign w:val="subscript"/>
        </w:rPr>
        <w:t>3</w:t>
      </w:r>
      <w:r w:rsidRPr="000D3477">
        <w:rPr>
          <w:rFonts w:asciiTheme="majorBidi" w:hAnsiTheme="majorBidi" w:cstheme="majorBidi"/>
        </w:rPr>
        <w:t xml:space="preserve"> and PVdF, respectively.  </w:t>
      </w:r>
    </w:p>
    <w:p w14:paraId="79F08F65" w14:textId="40982DF8" w:rsidR="00F32832" w:rsidRPr="000D3477" w:rsidRDefault="00F32832" w:rsidP="00812214">
      <w:pPr>
        <w:rPr>
          <w:rFonts w:asciiTheme="majorBidi" w:hAnsiTheme="majorBidi" w:cstheme="majorBidi"/>
          <w:b/>
          <w:bCs/>
          <w:sz w:val="24"/>
          <w:szCs w:val="24"/>
        </w:rPr>
      </w:pPr>
    </w:p>
    <w:p w14:paraId="0D46A712" w14:textId="0ED02F2C" w:rsidR="00812214" w:rsidRPr="000D3477" w:rsidRDefault="002C1BC3" w:rsidP="00186209">
      <w:pPr>
        <w:tabs>
          <w:tab w:val="left" w:pos="3084"/>
        </w:tabs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D3477">
        <w:rPr>
          <w:rFonts w:asciiTheme="majorBidi" w:hAnsiTheme="majorBidi" w:cstheme="majorBidi"/>
          <w:b/>
          <w:bCs/>
          <w:sz w:val="24"/>
          <w:szCs w:val="24"/>
        </w:rPr>
        <w:t>References</w:t>
      </w:r>
    </w:p>
    <w:p w14:paraId="70A2CE7A" w14:textId="4BE798AF" w:rsidR="00BC0B34" w:rsidRPr="000D3477" w:rsidRDefault="00E52291" w:rsidP="00BC0B34">
      <w:pPr>
        <w:pStyle w:val="EndNoteBibliography"/>
      </w:pPr>
      <w:r w:rsidRPr="000D3477">
        <w:rPr>
          <w:rFonts w:asciiTheme="majorBidi" w:hAnsiTheme="majorBidi" w:cstheme="majorBidi"/>
        </w:rPr>
        <w:fldChar w:fldCharType="begin"/>
      </w:r>
      <w:r w:rsidRPr="000D3477">
        <w:rPr>
          <w:rFonts w:asciiTheme="majorBidi" w:hAnsiTheme="majorBidi" w:cstheme="majorBidi"/>
        </w:rPr>
        <w:instrText xml:space="preserve"> ADDIN EN.REFLIST </w:instrText>
      </w:r>
      <w:r w:rsidRPr="000D3477">
        <w:rPr>
          <w:rFonts w:asciiTheme="majorBidi" w:hAnsiTheme="majorBidi" w:cstheme="majorBidi"/>
        </w:rPr>
        <w:fldChar w:fldCharType="separate"/>
      </w:r>
      <w:r w:rsidR="00BC0B34" w:rsidRPr="000D3477">
        <w:t>[1] H. Hayashi, T. Nakamura, T. Ebina, J. Phys. Chem. Solids</w:t>
      </w:r>
      <w:r w:rsidR="00BC0B34" w:rsidRPr="000D3477">
        <w:rPr>
          <w:i/>
        </w:rPr>
        <w:t xml:space="preserve"> </w:t>
      </w:r>
      <w:r w:rsidR="00BC0B34" w:rsidRPr="000D3477">
        <w:t xml:space="preserve">74 (2013) 957. </w:t>
      </w:r>
      <w:hyperlink r:id="rId16" w:history="1">
        <w:r w:rsidR="00BC0B34" w:rsidRPr="000D3477">
          <w:rPr>
            <w:rStyle w:val="Hyperlink"/>
          </w:rPr>
          <w:t>https://doi.org/10.1016/j.jpcs.2013.02.010</w:t>
        </w:r>
      </w:hyperlink>
    </w:p>
    <w:p w14:paraId="4AA0ED56" w14:textId="2D069585" w:rsidR="00563652" w:rsidRPr="00563652" w:rsidRDefault="00E52291" w:rsidP="00BC0B34">
      <w:pPr>
        <w:rPr>
          <w:rFonts w:asciiTheme="majorBidi" w:hAnsiTheme="majorBidi" w:cstheme="majorBidi"/>
          <w:rtl/>
          <w:lang w:bidi="ar-EG"/>
        </w:rPr>
      </w:pPr>
      <w:r w:rsidRPr="000D3477">
        <w:rPr>
          <w:rFonts w:asciiTheme="majorBidi" w:hAnsiTheme="majorBidi" w:cstheme="majorBidi"/>
        </w:rPr>
        <w:fldChar w:fldCharType="end"/>
      </w:r>
    </w:p>
    <w:sectPr w:rsidR="00563652" w:rsidRPr="00563652"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CA86F3" w14:textId="77777777" w:rsidR="000E00A6" w:rsidRDefault="000E00A6" w:rsidP="00D03C0C">
      <w:pPr>
        <w:spacing w:after="0" w:line="240" w:lineRule="auto"/>
      </w:pPr>
      <w:r>
        <w:separator/>
      </w:r>
    </w:p>
  </w:endnote>
  <w:endnote w:type="continuationSeparator" w:id="0">
    <w:p w14:paraId="1907ECC8" w14:textId="77777777" w:rsidR="000E00A6" w:rsidRDefault="000E00A6" w:rsidP="00D03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1639460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4D4B9FB" w14:textId="5DCAD874" w:rsidR="00D03C0C" w:rsidRDefault="00D03C0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F690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D0E5C27" w14:textId="77777777" w:rsidR="00D03C0C" w:rsidRDefault="00D03C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016DE5" w14:textId="77777777" w:rsidR="000E00A6" w:rsidRDefault="000E00A6" w:rsidP="00D03C0C">
      <w:pPr>
        <w:spacing w:after="0" w:line="240" w:lineRule="auto"/>
      </w:pPr>
      <w:r>
        <w:separator/>
      </w:r>
    </w:p>
  </w:footnote>
  <w:footnote w:type="continuationSeparator" w:id="0">
    <w:p w14:paraId="1F25B4E9" w14:textId="77777777" w:rsidR="000E00A6" w:rsidRDefault="000E00A6" w:rsidP="00D03C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326C3"/>
    <w:multiLevelType w:val="hybridMultilevel"/>
    <w:tmpl w:val="450C5E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BE7A08"/>
    <w:multiLevelType w:val="multilevel"/>
    <w:tmpl w:val="46F23D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00" w:hanging="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J Molecular Liquids&lt;/Style&gt;&lt;LeftDelim&gt;{&lt;/LeftDelim&gt;&lt;RightDelim&gt;}&lt;/RightDelim&gt;&lt;FontName&gt;Times New Roman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dawax0rth2efvie2ts5p9faesp0tdsdzrv90&quot;&gt;Manusc-Faozia&lt;record-ids&gt;&lt;item&gt;206&lt;/item&gt;&lt;/record-ids&gt;&lt;/item&gt;&lt;/Libraries&gt;"/>
  </w:docVars>
  <w:rsids>
    <w:rsidRoot w:val="00F83498"/>
    <w:rsid w:val="00017DF8"/>
    <w:rsid w:val="00047C52"/>
    <w:rsid w:val="00094953"/>
    <w:rsid w:val="000D3477"/>
    <w:rsid w:val="000E00A6"/>
    <w:rsid w:val="0011674B"/>
    <w:rsid w:val="00137CFA"/>
    <w:rsid w:val="001540DD"/>
    <w:rsid w:val="00164D43"/>
    <w:rsid w:val="00170A4A"/>
    <w:rsid w:val="00186209"/>
    <w:rsid w:val="001A01D1"/>
    <w:rsid w:val="001A3F8C"/>
    <w:rsid w:val="001C08E0"/>
    <w:rsid w:val="001F6907"/>
    <w:rsid w:val="00237E53"/>
    <w:rsid w:val="002B0F01"/>
    <w:rsid w:val="002C1BC3"/>
    <w:rsid w:val="002C1E9E"/>
    <w:rsid w:val="002C63ED"/>
    <w:rsid w:val="002C7698"/>
    <w:rsid w:val="002F0CB3"/>
    <w:rsid w:val="00306303"/>
    <w:rsid w:val="00325F46"/>
    <w:rsid w:val="003542F4"/>
    <w:rsid w:val="00362DD0"/>
    <w:rsid w:val="003727C0"/>
    <w:rsid w:val="003A1F9E"/>
    <w:rsid w:val="003E7F0A"/>
    <w:rsid w:val="004062F8"/>
    <w:rsid w:val="0044552B"/>
    <w:rsid w:val="004754D0"/>
    <w:rsid w:val="004B4D44"/>
    <w:rsid w:val="004F506C"/>
    <w:rsid w:val="00516AB6"/>
    <w:rsid w:val="00563652"/>
    <w:rsid w:val="00577226"/>
    <w:rsid w:val="006712D0"/>
    <w:rsid w:val="00696C90"/>
    <w:rsid w:val="006C6D88"/>
    <w:rsid w:val="007103F6"/>
    <w:rsid w:val="007107DA"/>
    <w:rsid w:val="00714ABF"/>
    <w:rsid w:val="007241ED"/>
    <w:rsid w:val="007543B9"/>
    <w:rsid w:val="007602DB"/>
    <w:rsid w:val="007B7127"/>
    <w:rsid w:val="007D68EC"/>
    <w:rsid w:val="00806046"/>
    <w:rsid w:val="00812214"/>
    <w:rsid w:val="0082359D"/>
    <w:rsid w:val="00827B43"/>
    <w:rsid w:val="008432C4"/>
    <w:rsid w:val="008B0EC6"/>
    <w:rsid w:val="008E6E9E"/>
    <w:rsid w:val="009368DA"/>
    <w:rsid w:val="009D4A3C"/>
    <w:rsid w:val="009F7645"/>
    <w:rsid w:val="00A15B0E"/>
    <w:rsid w:val="00A845F3"/>
    <w:rsid w:val="00A939E9"/>
    <w:rsid w:val="00AA49E7"/>
    <w:rsid w:val="00AA5B10"/>
    <w:rsid w:val="00AB76CF"/>
    <w:rsid w:val="00B933E9"/>
    <w:rsid w:val="00BA2923"/>
    <w:rsid w:val="00BC0B34"/>
    <w:rsid w:val="00C32813"/>
    <w:rsid w:val="00C63011"/>
    <w:rsid w:val="00C86034"/>
    <w:rsid w:val="00CB500D"/>
    <w:rsid w:val="00CE419F"/>
    <w:rsid w:val="00D03C0C"/>
    <w:rsid w:val="00D56AD8"/>
    <w:rsid w:val="00D91462"/>
    <w:rsid w:val="00DC3482"/>
    <w:rsid w:val="00E04873"/>
    <w:rsid w:val="00E10974"/>
    <w:rsid w:val="00E13A37"/>
    <w:rsid w:val="00E31792"/>
    <w:rsid w:val="00E52291"/>
    <w:rsid w:val="00E640A0"/>
    <w:rsid w:val="00E802C4"/>
    <w:rsid w:val="00EA33D1"/>
    <w:rsid w:val="00EB2214"/>
    <w:rsid w:val="00F052CB"/>
    <w:rsid w:val="00F32832"/>
    <w:rsid w:val="00F57D84"/>
    <w:rsid w:val="00F83498"/>
    <w:rsid w:val="00FA6D4B"/>
    <w:rsid w:val="00FD2E21"/>
    <w:rsid w:val="00FD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23F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E52291"/>
    <w:pPr>
      <w:spacing w:after="0"/>
      <w:jc w:val="center"/>
    </w:pPr>
    <w:rPr>
      <w:rFonts w:ascii="Times New Roman" w:hAnsi="Times New Roman" w:cs="Times New Roman"/>
      <w:noProof/>
      <w:sz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52291"/>
    <w:rPr>
      <w:rFonts w:ascii="Times New Roman" w:hAnsi="Times New Roman" w:cs="Times New Roman"/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rsid w:val="00E52291"/>
    <w:pPr>
      <w:spacing w:line="240" w:lineRule="auto"/>
      <w:jc w:val="both"/>
    </w:pPr>
    <w:rPr>
      <w:rFonts w:ascii="Times New Roman" w:hAnsi="Times New Roman" w:cs="Times New Roman"/>
      <w:noProof/>
      <w:sz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E52291"/>
    <w:rPr>
      <w:rFonts w:ascii="Times New Roman" w:hAnsi="Times New Roman" w:cs="Times New Roman"/>
      <w:noProof/>
      <w:sz w:val="24"/>
    </w:rPr>
  </w:style>
  <w:style w:type="paragraph" w:styleId="ListParagraph">
    <w:name w:val="List Paragraph"/>
    <w:basedOn w:val="Normal"/>
    <w:uiPriority w:val="34"/>
    <w:qFormat/>
    <w:rsid w:val="00827B43"/>
    <w:pPr>
      <w:ind w:left="720"/>
      <w:contextualSpacing/>
    </w:pPr>
    <w:rPr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AB76C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B76C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03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C0C"/>
  </w:style>
  <w:style w:type="paragraph" w:styleId="Footer">
    <w:name w:val="footer"/>
    <w:basedOn w:val="Normal"/>
    <w:link w:val="FooterChar"/>
    <w:uiPriority w:val="99"/>
    <w:unhideWhenUsed/>
    <w:rsid w:val="00D03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C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E52291"/>
    <w:pPr>
      <w:spacing w:after="0"/>
      <w:jc w:val="center"/>
    </w:pPr>
    <w:rPr>
      <w:rFonts w:ascii="Times New Roman" w:hAnsi="Times New Roman" w:cs="Times New Roman"/>
      <w:noProof/>
      <w:sz w:val="24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E52291"/>
    <w:rPr>
      <w:rFonts w:ascii="Times New Roman" w:hAnsi="Times New Roman" w:cs="Times New Roman"/>
      <w:noProof/>
      <w:sz w:val="24"/>
    </w:rPr>
  </w:style>
  <w:style w:type="paragraph" w:customStyle="1" w:styleId="EndNoteBibliography">
    <w:name w:val="EndNote Bibliography"/>
    <w:basedOn w:val="Normal"/>
    <w:link w:val="EndNoteBibliographyChar"/>
    <w:rsid w:val="00E52291"/>
    <w:pPr>
      <w:spacing w:line="240" w:lineRule="auto"/>
      <w:jc w:val="both"/>
    </w:pPr>
    <w:rPr>
      <w:rFonts w:ascii="Times New Roman" w:hAnsi="Times New Roman" w:cs="Times New Roman"/>
      <w:noProof/>
      <w:sz w:val="24"/>
    </w:rPr>
  </w:style>
  <w:style w:type="character" w:customStyle="1" w:styleId="EndNoteBibliographyChar">
    <w:name w:val="EndNote Bibliography Char"/>
    <w:basedOn w:val="DefaultParagraphFont"/>
    <w:link w:val="EndNoteBibliography"/>
    <w:rsid w:val="00E52291"/>
    <w:rPr>
      <w:rFonts w:ascii="Times New Roman" w:hAnsi="Times New Roman" w:cs="Times New Roman"/>
      <w:noProof/>
      <w:sz w:val="24"/>
    </w:rPr>
  </w:style>
  <w:style w:type="paragraph" w:styleId="ListParagraph">
    <w:name w:val="List Paragraph"/>
    <w:basedOn w:val="Normal"/>
    <w:uiPriority w:val="34"/>
    <w:qFormat/>
    <w:rsid w:val="00827B43"/>
    <w:pPr>
      <w:ind w:left="720"/>
      <w:contextualSpacing/>
    </w:pPr>
    <w:rPr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AB76CF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B76CF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D03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C0C"/>
  </w:style>
  <w:style w:type="paragraph" w:styleId="Footer">
    <w:name w:val="footer"/>
    <w:basedOn w:val="Normal"/>
    <w:link w:val="FooterChar"/>
    <w:uiPriority w:val="99"/>
    <w:unhideWhenUsed/>
    <w:rsid w:val="00D03C0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C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image" Target="media/image6.jpe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tiff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doi.org/10.1016/j.jpcs.2013.02.010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image" Target="media/image8.tiff"/><Relationship Id="rId10" Type="http://schemas.openxmlformats.org/officeDocument/2006/relationships/image" Target="media/image3.ti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image" Target="media/image7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831</Words>
  <Characters>4742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Mohamed Youssry</dc:creator>
  <cp:keywords/>
  <dc:description/>
  <cp:lastModifiedBy>Satheesh P.</cp:lastModifiedBy>
  <cp:revision>15</cp:revision>
  <dcterms:created xsi:type="dcterms:W3CDTF">2023-08-04T08:45:00Z</dcterms:created>
  <dcterms:modified xsi:type="dcterms:W3CDTF">2023-10-05T08:45:00Z</dcterms:modified>
</cp:coreProperties>
</file>