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A2F1C" w:rsidRDefault="00466360">
      <w:pPr>
        <w:spacing w:after="0" w:line="48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Supplementary Information</w:t>
      </w:r>
    </w:p>
    <w:p w:rsidR="00FA2F1C" w:rsidRDefault="00466360">
      <w:pPr>
        <w:spacing w:line="480" w:lineRule="auto"/>
        <w:ind w:firstLine="720"/>
        <w:jc w:val="center"/>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 xml:space="preserve">Unveiling the electrochemical CO oxidation activity on support-free porous </w:t>
      </w:r>
      <w:proofErr w:type="spellStart"/>
      <w:r>
        <w:rPr>
          <w:rFonts w:asciiTheme="majorBidi" w:hAnsiTheme="majorBidi" w:cstheme="majorBidi"/>
          <w:b/>
          <w:bCs/>
          <w:color w:val="000000" w:themeColor="text1"/>
          <w:sz w:val="24"/>
          <w:szCs w:val="24"/>
        </w:rPr>
        <w:t>PdM</w:t>
      </w:r>
      <w:proofErr w:type="spellEnd"/>
      <w:r>
        <w:rPr>
          <w:rFonts w:asciiTheme="majorBidi" w:hAnsiTheme="majorBidi" w:cstheme="majorBidi"/>
          <w:b/>
          <w:bCs/>
          <w:color w:val="000000" w:themeColor="text1"/>
          <w:sz w:val="24"/>
          <w:szCs w:val="24"/>
        </w:rPr>
        <w:t xml:space="preserve"> (M = Fe, Co, Ni) foam-like nanocrystals over a wide pH range</w:t>
      </w:r>
    </w:p>
    <w:p w:rsidR="00FA2F1C" w:rsidRDefault="00466360">
      <w:pPr>
        <w:spacing w:after="0" w:line="480" w:lineRule="auto"/>
        <w:jc w:val="center"/>
        <w:rPr>
          <w:rFonts w:asciiTheme="majorBidi" w:eastAsia="Calibri" w:hAnsiTheme="majorBidi" w:cstheme="majorBidi"/>
          <w:color w:val="000000" w:themeColor="text1"/>
          <w:sz w:val="24"/>
          <w:szCs w:val="24"/>
          <w:vertAlign w:val="superscript"/>
        </w:rPr>
      </w:pPr>
      <w:proofErr w:type="spellStart"/>
      <w:r>
        <w:rPr>
          <w:rFonts w:asciiTheme="majorBidi" w:eastAsia="Calibri" w:hAnsiTheme="majorBidi" w:cstheme="majorBidi"/>
          <w:color w:val="000000" w:themeColor="text1"/>
          <w:sz w:val="24"/>
          <w:szCs w:val="24"/>
        </w:rPr>
        <w:t>Belal</w:t>
      </w:r>
      <w:proofErr w:type="spellEnd"/>
      <w:r>
        <w:rPr>
          <w:rFonts w:asciiTheme="majorBidi" w:eastAsia="Calibri" w:hAnsiTheme="majorBidi" w:cstheme="majorBidi"/>
          <w:color w:val="000000" w:themeColor="text1"/>
          <w:sz w:val="24"/>
          <w:szCs w:val="24"/>
        </w:rPr>
        <w:t xml:space="preserve"> </w:t>
      </w:r>
      <w:proofErr w:type="gramStart"/>
      <w:r>
        <w:rPr>
          <w:rFonts w:asciiTheme="majorBidi" w:eastAsia="Calibri" w:hAnsiTheme="majorBidi" w:cstheme="majorBidi"/>
          <w:color w:val="000000" w:themeColor="text1"/>
          <w:sz w:val="24"/>
          <w:szCs w:val="24"/>
        </w:rPr>
        <w:t>Salah</w:t>
      </w:r>
      <w:r>
        <w:rPr>
          <w:rFonts w:asciiTheme="majorBidi" w:eastAsia="Calibri" w:hAnsiTheme="majorBidi" w:cstheme="majorBidi"/>
          <w:color w:val="000000" w:themeColor="text1"/>
          <w:sz w:val="24"/>
          <w:szCs w:val="24"/>
          <w:vertAlign w:val="superscript"/>
        </w:rPr>
        <w:t>a,b</w:t>
      </w:r>
      <w:proofErr w:type="gramEnd"/>
      <w:r>
        <w:rPr>
          <w:rFonts w:asciiTheme="majorBidi" w:eastAsia="Calibri" w:hAnsiTheme="majorBidi" w:cstheme="majorBidi"/>
          <w:color w:val="000000" w:themeColor="text1"/>
          <w:sz w:val="24"/>
          <w:szCs w:val="24"/>
          <w:vertAlign w:val="superscript"/>
        </w:rPr>
        <w:t>,1</w:t>
      </w:r>
      <w:r>
        <w:rPr>
          <w:rFonts w:asciiTheme="majorBidi" w:eastAsia="Calibri" w:hAnsiTheme="majorBidi" w:cstheme="majorBidi"/>
          <w:color w:val="000000" w:themeColor="text1"/>
          <w:sz w:val="24"/>
          <w:szCs w:val="24"/>
        </w:rPr>
        <w:t>, Adewale K. Ipadeola</w:t>
      </w:r>
      <w:r>
        <w:rPr>
          <w:rFonts w:asciiTheme="majorBidi" w:eastAsia="Calibri" w:hAnsiTheme="majorBidi" w:cstheme="majorBidi"/>
          <w:color w:val="000000" w:themeColor="text1"/>
          <w:sz w:val="24"/>
          <w:szCs w:val="24"/>
          <w:vertAlign w:val="superscript"/>
        </w:rPr>
        <w:t>a,b,1</w:t>
      </w:r>
      <w:r>
        <w:rPr>
          <w:rFonts w:asciiTheme="majorBidi" w:eastAsia="Calibri" w:hAnsiTheme="majorBidi" w:cstheme="majorBidi"/>
          <w:color w:val="000000" w:themeColor="text1"/>
          <w:sz w:val="24"/>
          <w:szCs w:val="24"/>
        </w:rPr>
        <w:t xml:space="preserve">, Aslam </w:t>
      </w:r>
      <w:proofErr w:type="spellStart"/>
      <w:r>
        <w:rPr>
          <w:rFonts w:asciiTheme="majorBidi" w:eastAsia="Calibri" w:hAnsiTheme="majorBidi" w:cstheme="majorBidi"/>
          <w:color w:val="000000" w:themeColor="text1"/>
          <w:sz w:val="24"/>
          <w:szCs w:val="24"/>
        </w:rPr>
        <w:t>Khan</w:t>
      </w:r>
      <w:r>
        <w:rPr>
          <w:rFonts w:asciiTheme="majorBidi" w:eastAsia="Calibri" w:hAnsiTheme="majorBidi" w:cstheme="majorBidi"/>
          <w:color w:val="000000" w:themeColor="text1"/>
          <w:sz w:val="24"/>
          <w:szCs w:val="24"/>
          <w:vertAlign w:val="superscript"/>
        </w:rPr>
        <w:t>c</w:t>
      </w:r>
      <w:proofErr w:type="spellEnd"/>
      <w:r>
        <w:rPr>
          <w:rFonts w:asciiTheme="majorBidi" w:eastAsia="Calibri" w:hAnsiTheme="majorBidi" w:cstheme="majorBidi"/>
          <w:color w:val="000000" w:themeColor="text1"/>
          <w:sz w:val="24"/>
          <w:szCs w:val="24"/>
        </w:rPr>
        <w:t xml:space="preserve">, </w:t>
      </w:r>
      <w:proofErr w:type="spellStart"/>
      <w:r>
        <w:rPr>
          <w:rFonts w:asciiTheme="majorBidi" w:hAnsiTheme="majorBidi" w:cstheme="majorBidi"/>
          <w:color w:val="000000" w:themeColor="text1"/>
          <w:sz w:val="24"/>
          <w:szCs w:val="24"/>
        </w:rPr>
        <w:t>Qingqing</w:t>
      </w:r>
      <w:proofErr w:type="spellEnd"/>
      <w:r>
        <w:rPr>
          <w:rFonts w:asciiTheme="majorBidi" w:hAnsiTheme="majorBidi" w:cstheme="majorBidi"/>
          <w:color w:val="000000" w:themeColor="text1"/>
          <w:sz w:val="24"/>
          <w:szCs w:val="24"/>
        </w:rPr>
        <w:t xml:space="preserve"> </w:t>
      </w:r>
      <w:proofErr w:type="spellStart"/>
      <w:r>
        <w:rPr>
          <w:rFonts w:asciiTheme="majorBidi" w:hAnsiTheme="majorBidi" w:cstheme="majorBidi"/>
          <w:color w:val="000000" w:themeColor="text1"/>
          <w:sz w:val="24"/>
          <w:szCs w:val="24"/>
        </w:rPr>
        <w:t>Lu</w:t>
      </w:r>
      <w:r>
        <w:rPr>
          <w:rFonts w:asciiTheme="majorBidi" w:hAnsiTheme="majorBidi" w:cstheme="majorBidi"/>
          <w:color w:val="000000" w:themeColor="text1"/>
          <w:sz w:val="24"/>
          <w:szCs w:val="24"/>
          <w:vertAlign w:val="superscript"/>
        </w:rPr>
        <w:t>d</w:t>
      </w:r>
      <w:proofErr w:type="spellEnd"/>
      <w:r>
        <w:rPr>
          <w:rFonts w:asciiTheme="majorBidi" w:hAnsiTheme="majorBidi" w:cstheme="majorBidi"/>
          <w:color w:val="000000" w:themeColor="text1"/>
          <w:sz w:val="24"/>
          <w:szCs w:val="24"/>
        </w:rPr>
        <w:t xml:space="preserve">, </w:t>
      </w:r>
      <w:proofErr w:type="spellStart"/>
      <w:r>
        <w:rPr>
          <w:rFonts w:asciiTheme="majorBidi" w:hAnsiTheme="majorBidi" w:cstheme="majorBidi"/>
          <w:color w:val="000000" w:themeColor="text1"/>
          <w:sz w:val="24"/>
          <w:szCs w:val="24"/>
        </w:rPr>
        <w:t>Yassmin</w:t>
      </w:r>
      <w:proofErr w:type="spellEnd"/>
      <w:r>
        <w:rPr>
          <w:rFonts w:asciiTheme="majorBidi" w:hAnsiTheme="majorBidi" w:cstheme="majorBidi"/>
          <w:color w:val="000000" w:themeColor="text1"/>
          <w:sz w:val="24"/>
          <w:szCs w:val="24"/>
        </w:rPr>
        <w:t xml:space="preserve"> Ibrahim</w:t>
      </w:r>
      <w:r>
        <w:rPr>
          <w:rFonts w:asciiTheme="majorBidi" w:eastAsia="Calibri" w:hAnsiTheme="majorBidi" w:cstheme="majorBidi"/>
          <w:color w:val="000000" w:themeColor="text1"/>
          <w:sz w:val="24"/>
          <w:szCs w:val="24"/>
          <w:vertAlign w:val="superscript"/>
        </w:rPr>
        <w:t xml:space="preserve"> </w:t>
      </w:r>
      <w:proofErr w:type="spellStart"/>
      <w:r>
        <w:rPr>
          <w:rFonts w:asciiTheme="majorBidi" w:eastAsia="Calibri" w:hAnsiTheme="majorBidi" w:cstheme="majorBidi"/>
          <w:color w:val="000000" w:themeColor="text1"/>
          <w:sz w:val="24"/>
          <w:szCs w:val="24"/>
          <w:vertAlign w:val="superscript"/>
        </w:rPr>
        <w:t>a,b</w:t>
      </w:r>
      <w:proofErr w:type="spellEnd"/>
      <w:r>
        <w:rPr>
          <w:rFonts w:asciiTheme="majorBidi" w:hAnsiTheme="majorBidi" w:cstheme="majorBidi"/>
          <w:color w:val="000000" w:themeColor="text1"/>
          <w:sz w:val="24"/>
          <w:szCs w:val="24"/>
        </w:rPr>
        <w:t xml:space="preserve">, Ebrima L </w:t>
      </w:r>
      <w:proofErr w:type="spellStart"/>
      <w:r>
        <w:rPr>
          <w:rFonts w:asciiTheme="majorBidi" w:hAnsiTheme="majorBidi" w:cstheme="majorBidi"/>
          <w:color w:val="000000" w:themeColor="text1"/>
          <w:sz w:val="24"/>
          <w:szCs w:val="24"/>
        </w:rPr>
        <w:t>Darboe</w:t>
      </w:r>
      <w:r>
        <w:rPr>
          <w:rFonts w:asciiTheme="majorBidi" w:hAnsiTheme="majorBidi" w:cstheme="majorBidi"/>
          <w:color w:val="000000" w:themeColor="text1"/>
          <w:sz w:val="24"/>
          <w:szCs w:val="24"/>
          <w:vertAlign w:val="superscript"/>
        </w:rPr>
        <w:t>e</w:t>
      </w:r>
      <w:proofErr w:type="spellEnd"/>
      <w:r>
        <w:rPr>
          <w:rFonts w:asciiTheme="majorBidi" w:hAnsiTheme="majorBidi" w:cstheme="majorBidi"/>
          <w:color w:val="000000" w:themeColor="text1"/>
          <w:sz w:val="24"/>
          <w:szCs w:val="24"/>
        </w:rPr>
        <w:t xml:space="preserve">, </w:t>
      </w:r>
      <w:r>
        <w:rPr>
          <w:rFonts w:asciiTheme="majorBidi" w:eastAsia="Calibri" w:hAnsiTheme="majorBidi" w:cstheme="majorBidi"/>
          <w:color w:val="000000" w:themeColor="text1"/>
          <w:sz w:val="24"/>
          <w:szCs w:val="24"/>
        </w:rPr>
        <w:t>Aboubakr M. Abdullah</w:t>
      </w:r>
      <w:r>
        <w:rPr>
          <w:rFonts w:asciiTheme="majorBidi" w:eastAsia="Calibri" w:hAnsiTheme="majorBidi" w:cstheme="majorBidi"/>
          <w:color w:val="000000" w:themeColor="text1"/>
          <w:sz w:val="24"/>
          <w:szCs w:val="24"/>
          <w:vertAlign w:val="superscript"/>
        </w:rPr>
        <w:t>a,2</w:t>
      </w:r>
      <w:r>
        <w:rPr>
          <w:rFonts w:asciiTheme="majorBidi" w:eastAsia="Calibri" w:hAnsiTheme="majorBidi" w:cstheme="majorBidi"/>
          <w:color w:val="000000" w:themeColor="text1"/>
          <w:sz w:val="24"/>
          <w:szCs w:val="24"/>
        </w:rPr>
        <w:t>, and Kamel Eid</w:t>
      </w:r>
      <w:r>
        <w:rPr>
          <w:rFonts w:asciiTheme="majorBidi" w:eastAsia="Calibri" w:hAnsiTheme="majorBidi" w:cstheme="majorBidi"/>
          <w:color w:val="000000" w:themeColor="text1"/>
          <w:sz w:val="24"/>
          <w:szCs w:val="24"/>
          <w:vertAlign w:val="superscript"/>
        </w:rPr>
        <w:t>b,2,*</w:t>
      </w:r>
    </w:p>
    <w:p w:rsidR="00FA2F1C" w:rsidRDefault="00FA2F1C">
      <w:pPr>
        <w:spacing w:after="0" w:line="480" w:lineRule="auto"/>
        <w:jc w:val="center"/>
        <w:rPr>
          <w:rFonts w:ascii="Times New Roman" w:eastAsia="Calibri" w:hAnsi="Times New Roman" w:cs="Times New Roman"/>
          <w:color w:val="000000" w:themeColor="text1"/>
          <w:sz w:val="24"/>
          <w:szCs w:val="24"/>
          <w:vertAlign w:val="superscript"/>
        </w:rPr>
      </w:pPr>
    </w:p>
    <w:p w:rsidR="00FA2F1C" w:rsidRDefault="00466360">
      <w:pPr>
        <w:spacing w:after="0" w:line="480" w:lineRule="auto"/>
        <w:jc w:val="both"/>
        <w:rPr>
          <w:rFonts w:asciiTheme="majorBidi" w:hAnsiTheme="majorBidi" w:cstheme="majorBidi"/>
          <w:i/>
          <w:iCs/>
          <w:color w:val="000000" w:themeColor="text1"/>
          <w:sz w:val="24"/>
          <w:szCs w:val="24"/>
        </w:rPr>
      </w:pPr>
      <w:proofErr w:type="spellStart"/>
      <w:proofErr w:type="gramStart"/>
      <w:r>
        <w:rPr>
          <w:rFonts w:asciiTheme="majorBidi" w:hAnsiTheme="majorBidi" w:cstheme="majorBidi"/>
          <w:i/>
          <w:iCs/>
          <w:color w:val="000000" w:themeColor="text1"/>
          <w:sz w:val="24"/>
          <w:szCs w:val="24"/>
          <w:vertAlign w:val="superscript"/>
        </w:rPr>
        <w:t>a.</w:t>
      </w:r>
      <w:r>
        <w:rPr>
          <w:rFonts w:asciiTheme="majorBidi" w:hAnsiTheme="majorBidi" w:cstheme="majorBidi"/>
          <w:i/>
          <w:iCs/>
          <w:color w:val="000000" w:themeColor="text1"/>
          <w:sz w:val="24"/>
          <w:szCs w:val="24"/>
        </w:rPr>
        <w:t>Center</w:t>
      </w:r>
      <w:proofErr w:type="spellEnd"/>
      <w:proofErr w:type="gramEnd"/>
      <w:r>
        <w:rPr>
          <w:rFonts w:asciiTheme="majorBidi" w:hAnsiTheme="majorBidi" w:cstheme="majorBidi"/>
          <w:i/>
          <w:iCs/>
          <w:color w:val="000000" w:themeColor="text1"/>
          <w:sz w:val="24"/>
          <w:szCs w:val="24"/>
        </w:rPr>
        <w:t xml:space="preserve"> for Advanced Materials, Qatar University, Doha 2713, Qatar. </w:t>
      </w:r>
    </w:p>
    <w:p w:rsidR="00FA2F1C" w:rsidRDefault="00466360">
      <w:pPr>
        <w:spacing w:after="0" w:line="480" w:lineRule="auto"/>
        <w:jc w:val="both"/>
        <w:rPr>
          <w:rFonts w:asciiTheme="majorBidi" w:hAnsiTheme="majorBidi" w:cstheme="majorBidi"/>
          <w:color w:val="000000" w:themeColor="text1"/>
          <w:sz w:val="24"/>
          <w:szCs w:val="24"/>
        </w:rPr>
      </w:pPr>
      <w:proofErr w:type="spellStart"/>
      <w:proofErr w:type="gramStart"/>
      <w:r>
        <w:rPr>
          <w:rFonts w:asciiTheme="majorBidi" w:hAnsiTheme="majorBidi" w:cstheme="majorBidi"/>
          <w:i/>
          <w:iCs/>
          <w:color w:val="000000" w:themeColor="text1"/>
          <w:sz w:val="24"/>
          <w:szCs w:val="24"/>
          <w:vertAlign w:val="superscript"/>
        </w:rPr>
        <w:t>b.</w:t>
      </w:r>
      <w:r>
        <w:rPr>
          <w:rFonts w:asciiTheme="majorBidi" w:hAnsiTheme="majorBidi" w:cstheme="majorBidi"/>
          <w:i/>
          <w:iCs/>
          <w:color w:val="000000" w:themeColor="text1"/>
          <w:sz w:val="24"/>
          <w:szCs w:val="24"/>
        </w:rPr>
        <w:t>Gas</w:t>
      </w:r>
      <w:proofErr w:type="spellEnd"/>
      <w:proofErr w:type="gramEnd"/>
      <w:r>
        <w:rPr>
          <w:rFonts w:asciiTheme="majorBidi" w:hAnsiTheme="majorBidi" w:cstheme="majorBidi"/>
          <w:i/>
          <w:iCs/>
          <w:color w:val="000000" w:themeColor="text1"/>
          <w:sz w:val="24"/>
          <w:szCs w:val="24"/>
        </w:rPr>
        <w:t xml:space="preserve"> Processing Center(GPC), College of Engineering, Qatar University, Doha 2713, Qatar.</w:t>
      </w:r>
      <w:r>
        <w:rPr>
          <w:rFonts w:asciiTheme="majorBidi" w:hAnsiTheme="majorBidi" w:cstheme="majorBidi"/>
          <w:color w:val="000000" w:themeColor="text1"/>
          <w:sz w:val="24"/>
          <w:szCs w:val="24"/>
        </w:rPr>
        <w:t xml:space="preserve"> </w:t>
      </w:r>
    </w:p>
    <w:p w:rsidR="00FA2F1C" w:rsidRDefault="00466360">
      <w:pPr>
        <w:spacing w:after="0" w:line="48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vertAlign w:val="superscript"/>
        </w:rPr>
        <w:t>c.</w:t>
      </w:r>
      <w:r>
        <w:rPr>
          <w:rFonts w:asciiTheme="majorBidi" w:hAnsiTheme="majorBidi" w:cstheme="majorBidi"/>
          <w:color w:val="000000" w:themeColor="text1"/>
          <w:sz w:val="24"/>
          <w:szCs w:val="24"/>
        </w:rPr>
        <w:t xml:space="preserve"> College of Science, King Saud University, Riyadh, 11451, Saudi Arabia</w:t>
      </w:r>
    </w:p>
    <w:p w:rsidR="00FA2F1C" w:rsidRDefault="00466360">
      <w:pPr>
        <w:spacing w:after="0" w:line="48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vertAlign w:val="superscript"/>
        </w:rPr>
        <w:t>d.</w:t>
      </w:r>
      <w:r>
        <w:rPr>
          <w:rFonts w:asciiTheme="majorBidi" w:hAnsiTheme="majorBidi" w:cstheme="majorBidi"/>
          <w:color w:val="000000" w:themeColor="text1"/>
          <w:sz w:val="24"/>
          <w:szCs w:val="24"/>
        </w:rPr>
        <w:t xml:space="preserve"> Engineering &amp; Technology Center of Electrochemistry, School of Chemistry and Chemical Engineering, </w:t>
      </w:r>
      <w:proofErr w:type="spellStart"/>
      <w:r>
        <w:rPr>
          <w:rFonts w:asciiTheme="majorBidi" w:hAnsiTheme="majorBidi" w:cstheme="majorBidi"/>
          <w:color w:val="000000" w:themeColor="text1"/>
          <w:sz w:val="24"/>
          <w:szCs w:val="24"/>
        </w:rPr>
        <w:t>Qilu</w:t>
      </w:r>
      <w:proofErr w:type="spellEnd"/>
      <w:r>
        <w:rPr>
          <w:rFonts w:asciiTheme="majorBidi" w:hAnsiTheme="majorBidi" w:cstheme="majorBidi"/>
          <w:color w:val="000000" w:themeColor="text1"/>
          <w:sz w:val="24"/>
          <w:szCs w:val="24"/>
        </w:rPr>
        <w:t xml:space="preserve"> University of Technology (Shandong Academy of Sciences), Jinan, China</w:t>
      </w:r>
    </w:p>
    <w:p w:rsidR="00FA2F1C" w:rsidRDefault="00466360">
      <w:pPr>
        <w:spacing w:after="0" w:line="48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vertAlign w:val="superscript"/>
        </w:rPr>
        <w:t>e.</w:t>
      </w:r>
      <w:r>
        <w:rPr>
          <w:rFonts w:asciiTheme="majorBidi" w:hAnsiTheme="majorBidi" w:cstheme="majorBidi"/>
          <w:color w:val="000000" w:themeColor="text1"/>
          <w:sz w:val="24"/>
          <w:szCs w:val="24"/>
        </w:rPr>
        <w:t xml:space="preserve"> Department of Physics, Division of Physical and Natural Sciences, School of Arts and </w:t>
      </w:r>
      <w:proofErr w:type="gramStart"/>
      <w:r>
        <w:rPr>
          <w:rFonts w:asciiTheme="majorBidi" w:hAnsiTheme="majorBidi" w:cstheme="majorBidi"/>
          <w:color w:val="000000" w:themeColor="text1"/>
          <w:sz w:val="24"/>
          <w:szCs w:val="24"/>
        </w:rPr>
        <w:t>Sciences,  University</w:t>
      </w:r>
      <w:proofErr w:type="gramEnd"/>
      <w:r>
        <w:rPr>
          <w:rFonts w:asciiTheme="majorBidi" w:hAnsiTheme="majorBidi" w:cstheme="majorBidi"/>
          <w:color w:val="000000" w:themeColor="text1"/>
          <w:sz w:val="24"/>
          <w:szCs w:val="24"/>
        </w:rPr>
        <w:t xml:space="preserve"> of the Gambia, 3530, Gambia</w:t>
      </w:r>
    </w:p>
    <w:p w:rsidR="00FA2F1C" w:rsidRDefault="00466360">
      <w:pPr>
        <w:spacing w:after="0" w:line="480" w:lineRule="auto"/>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vertAlign w:val="superscript"/>
        </w:rPr>
        <w:t>1</w:t>
      </w:r>
      <w:r>
        <w:rPr>
          <w:rFonts w:asciiTheme="majorBidi" w:hAnsiTheme="majorBidi" w:cstheme="majorBidi"/>
          <w:color w:val="000000" w:themeColor="text1"/>
          <w:sz w:val="24"/>
          <w:szCs w:val="24"/>
        </w:rPr>
        <w:t>Equal contribution to this work.</w:t>
      </w:r>
    </w:p>
    <w:p w:rsidR="00FA2F1C" w:rsidRDefault="00466360">
      <w:pPr>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*Corresponding authors: </w:t>
      </w:r>
      <w:hyperlink r:id="rId7" w:history="1">
        <w:r>
          <w:rPr>
            <w:rStyle w:val="Hyperlink"/>
            <w:rFonts w:asciiTheme="majorBidi" w:hAnsiTheme="majorBidi" w:cstheme="majorBidi"/>
            <w:color w:val="000000" w:themeColor="text1"/>
            <w:sz w:val="24"/>
            <w:szCs w:val="24"/>
            <w:u w:val="none"/>
          </w:rPr>
          <w:t>kamel.eid@qu.edu.qa</w:t>
        </w:r>
      </w:hyperlink>
    </w:p>
    <w:p w:rsidR="00FA2F1C" w:rsidRDefault="00466360">
      <w:pPr>
        <w:spacing w:after="0" w:line="480" w:lineRule="auto"/>
        <w:rPr>
          <w:rStyle w:val="Hyperlink"/>
          <w:rFonts w:asciiTheme="majorBidi" w:hAnsiTheme="majorBidi" w:cstheme="majorBidi"/>
          <w:color w:val="000000" w:themeColor="text1"/>
          <w:sz w:val="24"/>
          <w:szCs w:val="24"/>
          <w:u w:val="none"/>
        </w:rPr>
      </w:pPr>
      <w:r>
        <w:rPr>
          <w:rStyle w:val="Hyperlink"/>
          <w:rFonts w:asciiTheme="majorBidi" w:hAnsiTheme="majorBidi" w:cstheme="majorBidi"/>
          <w:color w:val="000000" w:themeColor="text1"/>
          <w:sz w:val="24"/>
          <w:szCs w:val="24"/>
          <w:u w:val="none"/>
          <w:vertAlign w:val="superscript"/>
        </w:rPr>
        <w:t>2</w:t>
      </w:r>
      <w:r>
        <w:rPr>
          <w:rStyle w:val="Hyperlink"/>
          <w:rFonts w:asciiTheme="majorBidi" w:hAnsiTheme="majorBidi" w:cstheme="majorBidi"/>
          <w:color w:val="000000" w:themeColor="text1"/>
          <w:sz w:val="24"/>
          <w:szCs w:val="24"/>
          <w:u w:val="none"/>
        </w:rPr>
        <w:t>The two authors have the same contribution to this study.</w:t>
      </w:r>
    </w:p>
    <w:p w:rsidR="00FA2F1C" w:rsidRDefault="00FA2F1C">
      <w:pPr>
        <w:spacing w:line="480" w:lineRule="auto"/>
        <w:rPr>
          <w:rFonts w:ascii="Times New Roman" w:hAnsi="Times New Roman" w:cs="Times New Roman"/>
          <w:color w:val="000000" w:themeColor="text1"/>
          <w:sz w:val="24"/>
          <w:szCs w:val="24"/>
        </w:rPr>
      </w:pPr>
    </w:p>
    <w:p w:rsidR="00FA2F1C" w:rsidRDefault="00FA2F1C">
      <w:pPr>
        <w:spacing w:line="480" w:lineRule="auto"/>
        <w:rPr>
          <w:rFonts w:ascii="Times New Roman" w:hAnsi="Times New Roman" w:cs="Times New Roman"/>
          <w:color w:val="000000" w:themeColor="text1"/>
          <w:sz w:val="24"/>
          <w:szCs w:val="24"/>
        </w:rPr>
      </w:pPr>
    </w:p>
    <w:p w:rsidR="00FA2F1C" w:rsidRDefault="00FA2F1C">
      <w:pPr>
        <w:spacing w:line="480" w:lineRule="auto"/>
        <w:rPr>
          <w:rFonts w:ascii="Times New Roman" w:hAnsi="Times New Roman" w:cs="Times New Roman"/>
          <w:color w:val="000000" w:themeColor="text1"/>
          <w:sz w:val="24"/>
          <w:szCs w:val="24"/>
        </w:rPr>
      </w:pPr>
    </w:p>
    <w:p w:rsidR="00FA2F1C" w:rsidRDefault="00FA2F1C">
      <w:pPr>
        <w:spacing w:line="480" w:lineRule="auto"/>
        <w:rPr>
          <w:rFonts w:ascii="Times New Roman" w:hAnsi="Times New Roman" w:cs="Times New Roman"/>
          <w:color w:val="000000" w:themeColor="text1"/>
          <w:sz w:val="24"/>
          <w:szCs w:val="24"/>
        </w:rPr>
      </w:pPr>
    </w:p>
    <w:p w:rsidR="00FA2F1C" w:rsidRDefault="00FA2F1C">
      <w:pPr>
        <w:spacing w:line="480" w:lineRule="auto"/>
        <w:rPr>
          <w:rFonts w:ascii="Times New Roman" w:hAnsi="Times New Roman" w:cs="Times New Roman"/>
          <w:color w:val="000000" w:themeColor="text1"/>
          <w:sz w:val="24"/>
          <w:szCs w:val="24"/>
        </w:rPr>
      </w:pPr>
    </w:p>
    <w:p w:rsidR="00FA2F1C" w:rsidRDefault="00FA2F1C">
      <w:pPr>
        <w:spacing w:line="480" w:lineRule="auto"/>
        <w:rPr>
          <w:rFonts w:ascii="Times New Roman" w:hAnsi="Times New Roman" w:cs="Times New Roman"/>
          <w:color w:val="000000" w:themeColor="text1"/>
          <w:sz w:val="24"/>
          <w:szCs w:val="24"/>
        </w:rPr>
      </w:pPr>
    </w:p>
    <w:p w:rsidR="00FA2F1C" w:rsidRDefault="00FA2F1C">
      <w:pPr>
        <w:spacing w:line="480" w:lineRule="auto"/>
        <w:rPr>
          <w:rFonts w:ascii="Times New Roman" w:hAnsi="Times New Roman" w:cs="Times New Roman"/>
          <w:color w:val="000000" w:themeColor="text1"/>
          <w:sz w:val="24"/>
          <w:szCs w:val="24"/>
        </w:rPr>
      </w:pPr>
    </w:p>
    <w:p w:rsidR="00FA2F1C" w:rsidRDefault="00466360">
      <w:pPr>
        <w:spacing w:line="480" w:lineRule="auto"/>
        <w:jc w:val="both"/>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5943600" cy="50228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8" cstate="print">
                      <a:extLst>
                        <a:ext uri="{28A0092B-C50C-407E-A947-70E740481C1C}">
                          <a14:useLocalDpi xmlns:a14="http://schemas.microsoft.com/office/drawing/2010/main" val="0"/>
                        </a:ext>
                      </a:extLst>
                    </a:blip>
                    <a:srcRect t="805" r="4632"/>
                    <a:stretch>
                      <a:fillRect/>
                    </a:stretch>
                  </pic:blipFill>
                  <pic:spPr>
                    <a:xfrm>
                      <a:off x="0" y="0"/>
                      <a:ext cx="5943600" cy="5023200"/>
                    </a:xfrm>
                    <a:prstGeom prst="rect">
                      <a:avLst/>
                    </a:prstGeom>
                    <a:noFill/>
                    <a:ln>
                      <a:noFill/>
                    </a:ln>
                  </pic:spPr>
                </pic:pic>
              </a:graphicData>
            </a:graphic>
          </wp:inline>
        </w:drawing>
      </w:r>
    </w:p>
    <w:p w:rsidR="00FA2F1C" w:rsidRDefault="00466360">
      <w:pPr>
        <w:tabs>
          <w:tab w:val="left" w:pos="1142"/>
        </w:tabs>
        <w:spacing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Fig. S1. (</w:t>
      </w:r>
      <w:proofErr w:type="spellStart"/>
      <w:proofErr w:type="gramStart"/>
      <w:r>
        <w:rPr>
          <w:rFonts w:ascii="Times New Roman" w:hAnsi="Times New Roman" w:cs="Times New Roman"/>
          <w:color w:val="000000" w:themeColor="text1"/>
          <w:sz w:val="24"/>
          <w:szCs w:val="24"/>
        </w:rPr>
        <w:t>a,b</w:t>
      </w:r>
      <w:proofErr w:type="spellEnd"/>
      <w:proofErr w:type="gramEnd"/>
      <w:r>
        <w:rPr>
          <w:rFonts w:ascii="Times New Roman" w:hAnsi="Times New Roman" w:cs="Times New Roman"/>
          <w:color w:val="000000" w:themeColor="text1"/>
          <w:sz w:val="24"/>
          <w:szCs w:val="24"/>
        </w:rPr>
        <w:t>) SEM, (</w:t>
      </w:r>
      <w:proofErr w:type="spellStart"/>
      <w:r>
        <w:rPr>
          <w:rFonts w:ascii="Times New Roman" w:hAnsi="Times New Roman" w:cs="Times New Roman"/>
          <w:color w:val="000000" w:themeColor="text1"/>
          <w:sz w:val="24"/>
          <w:szCs w:val="24"/>
        </w:rPr>
        <w:t>c,d</w:t>
      </w:r>
      <w:proofErr w:type="spellEnd"/>
      <w:r>
        <w:rPr>
          <w:rFonts w:ascii="Times New Roman" w:hAnsi="Times New Roman" w:cs="Times New Roman"/>
          <w:color w:val="000000" w:themeColor="text1"/>
          <w:sz w:val="24"/>
          <w:szCs w:val="24"/>
        </w:rPr>
        <w:t>) TEM, (</w:t>
      </w:r>
      <w:proofErr w:type="spellStart"/>
      <w:r>
        <w:rPr>
          <w:rFonts w:ascii="Times New Roman" w:hAnsi="Times New Roman" w:cs="Times New Roman"/>
          <w:color w:val="000000" w:themeColor="text1"/>
          <w:sz w:val="24"/>
          <w:szCs w:val="24"/>
        </w:rPr>
        <w:t>e,f</w:t>
      </w:r>
      <w:proofErr w:type="spellEnd"/>
      <w:r>
        <w:rPr>
          <w:rFonts w:ascii="Times New Roman" w:hAnsi="Times New Roman" w:cs="Times New Roman"/>
          <w:color w:val="000000" w:themeColor="text1"/>
          <w:sz w:val="24"/>
          <w:szCs w:val="24"/>
        </w:rPr>
        <w:t>) HRTEM with Fourier-transform of marked area for {111} facet of Pd, (</w:t>
      </w:r>
      <w:proofErr w:type="spellStart"/>
      <w:r>
        <w:rPr>
          <w:rFonts w:ascii="Times New Roman" w:hAnsi="Times New Roman" w:cs="Times New Roman"/>
          <w:color w:val="000000" w:themeColor="text1"/>
          <w:sz w:val="24"/>
          <w:szCs w:val="24"/>
        </w:rPr>
        <w:t>g,h</w:t>
      </w:r>
      <w:proofErr w:type="spellEnd"/>
      <w:r>
        <w:rPr>
          <w:rFonts w:ascii="Times New Roman" w:hAnsi="Times New Roman" w:cs="Times New Roman"/>
          <w:color w:val="000000" w:themeColor="text1"/>
          <w:sz w:val="24"/>
          <w:szCs w:val="24"/>
        </w:rPr>
        <w:t>) SAED and (</w:t>
      </w:r>
      <w:proofErr w:type="spellStart"/>
      <w:r>
        <w:rPr>
          <w:rFonts w:ascii="Times New Roman" w:hAnsi="Times New Roman" w:cs="Times New Roman"/>
          <w:color w:val="000000" w:themeColor="text1"/>
          <w:sz w:val="24"/>
          <w:szCs w:val="24"/>
        </w:rPr>
        <w:t>i</w:t>
      </w:r>
      <w:proofErr w:type="spellEnd"/>
      <w:r>
        <w:rPr>
          <w:rFonts w:ascii="Times New Roman" w:hAnsi="Times New Roman" w:cs="Times New Roman"/>
          <w:color w:val="000000" w:themeColor="text1"/>
          <w:sz w:val="24"/>
          <w:szCs w:val="24"/>
        </w:rPr>
        <w:t xml:space="preserve">) EDX of </w:t>
      </w:r>
      <w:proofErr w:type="spellStart"/>
      <w:r>
        <w:rPr>
          <w:rFonts w:ascii="Times New Roman" w:hAnsi="Times New Roman" w:cs="Times New Roman"/>
          <w:color w:val="000000" w:themeColor="text1"/>
          <w:sz w:val="24"/>
          <w:szCs w:val="24"/>
        </w:rPr>
        <w:t>PdCo</w:t>
      </w:r>
      <w:proofErr w:type="spellEnd"/>
      <w:r>
        <w:rPr>
          <w:rFonts w:ascii="Times New Roman" w:hAnsi="Times New Roman" w:cs="Times New Roman"/>
          <w:color w:val="000000" w:themeColor="text1"/>
          <w:sz w:val="24"/>
          <w:szCs w:val="24"/>
        </w:rPr>
        <w:t xml:space="preserve"> and </w:t>
      </w:r>
      <w:proofErr w:type="spellStart"/>
      <w:r>
        <w:rPr>
          <w:rFonts w:ascii="Times New Roman" w:hAnsi="Times New Roman" w:cs="Times New Roman"/>
          <w:color w:val="000000" w:themeColor="text1"/>
          <w:sz w:val="24"/>
          <w:szCs w:val="24"/>
        </w:rPr>
        <w:t>PdNi</w:t>
      </w:r>
      <w:proofErr w:type="spellEnd"/>
      <w:r>
        <w:rPr>
          <w:rFonts w:ascii="Times New Roman" w:hAnsi="Times New Roman" w:cs="Times New Roman"/>
          <w:color w:val="000000" w:themeColor="text1"/>
          <w:sz w:val="24"/>
          <w:szCs w:val="24"/>
        </w:rPr>
        <w:t xml:space="preserve"> nanocrystals.</w:t>
      </w:r>
    </w:p>
    <w:p w:rsidR="00FA2F1C" w:rsidRDefault="00466360">
      <w:pPr>
        <w:tabs>
          <w:tab w:val="left" w:pos="1142"/>
        </w:tabs>
        <w:spacing w:line="480" w:lineRule="auto"/>
        <w:jc w:val="both"/>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5943600" cy="1649095"/>
            <wp:effectExtent l="0" t="0" r="0" b="8255"/>
            <wp:docPr id="5" name="Picture 5" descr="C:\Users\AI19876\Desktop\Publication\2023\Other researches\Belal\Paper 3\Figures\Fig. S2x.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Users\AI19876\Desktop\Publication\2023\Other researches\Belal\Paper 3\Figures\Fig. S2x.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943600" cy="1649700"/>
                    </a:xfrm>
                    <a:prstGeom prst="rect">
                      <a:avLst/>
                    </a:prstGeom>
                    <a:noFill/>
                    <a:ln>
                      <a:noFill/>
                    </a:ln>
                  </pic:spPr>
                </pic:pic>
              </a:graphicData>
            </a:graphic>
          </wp:inline>
        </w:drawing>
      </w:r>
    </w:p>
    <w:p w:rsidR="00FA2F1C" w:rsidRDefault="00466360">
      <w:pPr>
        <w:tabs>
          <w:tab w:val="left" w:pos="1142"/>
        </w:tabs>
        <w:spacing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 xml:space="preserve">Fig. S2. Nanoparticle sizes distribution of (a) </w:t>
      </w:r>
      <w:proofErr w:type="spellStart"/>
      <w:proofErr w:type="gramStart"/>
      <w:r>
        <w:rPr>
          <w:rFonts w:ascii="Times New Roman" w:hAnsi="Times New Roman" w:cs="Times New Roman"/>
          <w:color w:val="000000" w:themeColor="text1"/>
          <w:sz w:val="24"/>
          <w:szCs w:val="24"/>
        </w:rPr>
        <w:t>PdFe</w:t>
      </w:r>
      <w:proofErr w:type="spellEnd"/>
      <w:r>
        <w:rPr>
          <w:rFonts w:ascii="Times New Roman" w:hAnsi="Times New Roman" w:cs="Times New Roman"/>
          <w:color w:val="000000" w:themeColor="text1"/>
          <w:sz w:val="24"/>
          <w:szCs w:val="24"/>
        </w:rPr>
        <w:t>,(</w:t>
      </w:r>
      <w:proofErr w:type="gramEnd"/>
      <w:r>
        <w:rPr>
          <w:rFonts w:ascii="Times New Roman" w:hAnsi="Times New Roman" w:cs="Times New Roman"/>
          <w:color w:val="000000" w:themeColor="text1"/>
          <w:sz w:val="24"/>
          <w:szCs w:val="24"/>
        </w:rPr>
        <w:t xml:space="preserve">b) </w:t>
      </w:r>
      <w:proofErr w:type="spellStart"/>
      <w:r>
        <w:rPr>
          <w:rFonts w:ascii="Times New Roman" w:hAnsi="Times New Roman" w:cs="Times New Roman"/>
          <w:color w:val="000000" w:themeColor="text1"/>
          <w:sz w:val="24"/>
          <w:szCs w:val="24"/>
        </w:rPr>
        <w:t>PdCo</w:t>
      </w:r>
      <w:proofErr w:type="spellEnd"/>
      <w:r>
        <w:rPr>
          <w:rFonts w:ascii="Times New Roman" w:hAnsi="Times New Roman" w:cs="Times New Roman"/>
          <w:color w:val="000000" w:themeColor="text1"/>
          <w:sz w:val="24"/>
          <w:szCs w:val="24"/>
        </w:rPr>
        <w:t xml:space="preserve">, and (c) </w:t>
      </w:r>
      <w:proofErr w:type="spellStart"/>
      <w:r>
        <w:rPr>
          <w:rFonts w:ascii="Times New Roman" w:hAnsi="Times New Roman" w:cs="Times New Roman"/>
          <w:color w:val="000000" w:themeColor="text1"/>
          <w:sz w:val="24"/>
          <w:szCs w:val="24"/>
        </w:rPr>
        <w:t>PdNi</w:t>
      </w:r>
      <w:proofErr w:type="spellEnd"/>
      <w:r>
        <w:rPr>
          <w:rFonts w:ascii="Times New Roman" w:hAnsi="Times New Roman" w:cs="Times New Roman"/>
          <w:color w:val="000000" w:themeColor="text1"/>
          <w:sz w:val="24"/>
          <w:szCs w:val="24"/>
        </w:rPr>
        <w:t xml:space="preserve"> nanocrystals</w:t>
      </w:r>
    </w:p>
    <w:p w:rsidR="00FA2F1C" w:rsidRDefault="00305144">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14:anchorId="2BD6FAD8">
            <wp:extent cx="5943600" cy="1692023"/>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1692023"/>
                    </a:xfrm>
                    <a:prstGeom prst="rect">
                      <a:avLst/>
                    </a:prstGeom>
                    <a:noFill/>
                  </pic:spPr>
                </pic:pic>
              </a:graphicData>
            </a:graphic>
          </wp:inline>
        </w:drawing>
      </w:r>
    </w:p>
    <w:p w:rsidR="00FA2F1C" w:rsidRDefault="00466360">
      <w:pPr>
        <w:tabs>
          <w:tab w:val="left" w:pos="1142"/>
        </w:tabs>
        <w:spacing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Fig. S3. CV curves of the binary </w:t>
      </w:r>
      <w:proofErr w:type="spellStart"/>
      <w:r>
        <w:rPr>
          <w:rFonts w:ascii="Times New Roman" w:hAnsi="Times New Roman" w:cs="Times New Roman"/>
          <w:color w:val="000000" w:themeColor="text1"/>
          <w:sz w:val="24"/>
          <w:szCs w:val="24"/>
        </w:rPr>
        <w:t>PdM</w:t>
      </w:r>
      <w:proofErr w:type="spellEnd"/>
      <w:r>
        <w:rPr>
          <w:rFonts w:ascii="Times New Roman" w:hAnsi="Times New Roman" w:cs="Times New Roman"/>
          <w:color w:val="000000" w:themeColor="text1"/>
          <w:sz w:val="24"/>
          <w:szCs w:val="24"/>
        </w:rPr>
        <w:t xml:space="preserve"> nanocrystals at 50 mV/s in N</w:t>
      </w:r>
      <w:r>
        <w:rPr>
          <w:rFonts w:ascii="Times New Roman" w:hAnsi="Times New Roman" w:cs="Times New Roman"/>
          <w:color w:val="000000" w:themeColor="text1"/>
          <w:sz w:val="24"/>
          <w:szCs w:val="24"/>
          <w:vertAlign w:val="subscript"/>
        </w:rPr>
        <w:t>2</w:t>
      </w:r>
      <w:r>
        <w:rPr>
          <w:rFonts w:ascii="Times New Roman" w:hAnsi="Times New Roman" w:cs="Times New Roman"/>
          <w:color w:val="000000" w:themeColor="text1"/>
          <w:sz w:val="24"/>
          <w:szCs w:val="24"/>
        </w:rPr>
        <w:t>-purged (a) 0.1 M KOH, (b) 0.1 M HClO</w:t>
      </w:r>
      <w:r>
        <w:rPr>
          <w:rFonts w:ascii="Times New Roman" w:hAnsi="Times New Roman" w:cs="Times New Roman"/>
          <w:color w:val="000000" w:themeColor="text1"/>
          <w:sz w:val="24"/>
          <w:szCs w:val="24"/>
          <w:vertAlign w:val="subscript"/>
        </w:rPr>
        <w:t>4</w:t>
      </w:r>
      <w:r>
        <w:rPr>
          <w:rFonts w:ascii="Times New Roman" w:hAnsi="Times New Roman" w:cs="Times New Roman"/>
          <w:color w:val="000000" w:themeColor="text1"/>
          <w:sz w:val="24"/>
          <w:szCs w:val="24"/>
        </w:rPr>
        <w:t>, and (c) 0.5 M NaHCO</w:t>
      </w:r>
      <w:r>
        <w:rPr>
          <w:rFonts w:ascii="Times New Roman" w:hAnsi="Times New Roman" w:cs="Times New Roman"/>
          <w:color w:val="000000" w:themeColor="text1"/>
          <w:sz w:val="24"/>
          <w:szCs w:val="24"/>
          <w:vertAlign w:val="subscript"/>
        </w:rPr>
        <w:t>3</w:t>
      </w:r>
      <w:r>
        <w:rPr>
          <w:rFonts w:ascii="Times New Roman" w:hAnsi="Times New Roman" w:cs="Times New Roman"/>
          <w:color w:val="000000" w:themeColor="text1"/>
          <w:sz w:val="24"/>
          <w:szCs w:val="24"/>
        </w:rPr>
        <w:t xml:space="preserve"> </w:t>
      </w:r>
    </w:p>
    <w:p w:rsidR="00FA2F1C" w:rsidRDefault="00466360">
      <w:pPr>
        <w:spacing w:after="0"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Table S1. Elemental composition of the binary </w:t>
      </w:r>
      <w:proofErr w:type="spellStart"/>
      <w:r>
        <w:rPr>
          <w:rFonts w:ascii="Times New Roman" w:hAnsi="Times New Roman" w:cs="Times New Roman"/>
          <w:color w:val="000000" w:themeColor="text1"/>
          <w:sz w:val="24"/>
          <w:szCs w:val="24"/>
        </w:rPr>
        <w:t>PdM</w:t>
      </w:r>
      <w:proofErr w:type="spellEnd"/>
      <w:r>
        <w:rPr>
          <w:rFonts w:ascii="Times New Roman" w:hAnsi="Times New Roman" w:cs="Times New Roman"/>
          <w:color w:val="000000" w:themeColor="text1"/>
          <w:sz w:val="24"/>
          <w:szCs w:val="24"/>
        </w:rPr>
        <w:t xml:space="preserve"> nanocrystals with EDX, XPS, and ICP-OES analysis. </w:t>
      </w:r>
    </w:p>
    <w:tbl>
      <w:tblPr>
        <w:tblStyle w:val="TableGrid"/>
        <w:tblW w:w="9445" w:type="dxa"/>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190"/>
        <w:gridCol w:w="1146"/>
        <w:gridCol w:w="1399"/>
        <w:gridCol w:w="1302"/>
        <w:gridCol w:w="1496"/>
        <w:gridCol w:w="1399"/>
        <w:gridCol w:w="1513"/>
      </w:tblGrid>
      <w:tr w:rsidR="00FA2F1C">
        <w:trPr>
          <w:trHeight w:val="836"/>
        </w:trPr>
        <w:tc>
          <w:tcPr>
            <w:tcW w:w="1190" w:type="dxa"/>
            <w:tcBorders>
              <w:top w:val="single" w:sz="12" w:space="0" w:color="auto"/>
              <w:bottom w:val="single" w:sz="12" w:space="0" w:color="auto"/>
            </w:tcBorders>
          </w:tcPr>
          <w:p w:rsidR="00FA2F1C" w:rsidRDefault="00466360">
            <w:pPr>
              <w:spacing w:after="0"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Materials</w:t>
            </w:r>
          </w:p>
        </w:tc>
        <w:tc>
          <w:tcPr>
            <w:tcW w:w="2545" w:type="dxa"/>
            <w:gridSpan w:val="2"/>
            <w:tcBorders>
              <w:top w:val="single" w:sz="12" w:space="0" w:color="auto"/>
              <w:bottom w:val="single" w:sz="12" w:space="0" w:color="auto"/>
            </w:tcBorders>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EDX analysis (At%)</w:t>
            </w:r>
          </w:p>
          <w:p w:rsidR="00FA2F1C" w:rsidRDefault="00466360">
            <w:pPr>
              <w:tabs>
                <w:tab w:val="left" w:pos="522"/>
              </w:tabs>
              <w:spacing w:after="0"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Pd           M     </w:t>
            </w:r>
          </w:p>
        </w:tc>
        <w:tc>
          <w:tcPr>
            <w:tcW w:w="2798" w:type="dxa"/>
            <w:gridSpan w:val="2"/>
            <w:tcBorders>
              <w:top w:val="single" w:sz="12" w:space="0" w:color="auto"/>
              <w:bottom w:val="single" w:sz="12" w:space="0" w:color="auto"/>
            </w:tcBorders>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XPS analysis (At%)</w:t>
            </w:r>
          </w:p>
          <w:p w:rsidR="00FA2F1C" w:rsidRDefault="00466360">
            <w:pPr>
              <w:spacing w:after="0"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Pd              M    </w:t>
            </w:r>
          </w:p>
        </w:tc>
        <w:tc>
          <w:tcPr>
            <w:tcW w:w="2912" w:type="dxa"/>
            <w:gridSpan w:val="2"/>
            <w:tcBorders>
              <w:top w:val="single" w:sz="12" w:space="0" w:color="auto"/>
              <w:bottom w:val="single" w:sz="12" w:space="0" w:color="auto"/>
            </w:tcBorders>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ICP-OES analysis (At%)</w:t>
            </w:r>
          </w:p>
          <w:p w:rsidR="00FA2F1C" w:rsidRDefault="00466360">
            <w:pPr>
              <w:spacing w:after="0"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Pd                M     </w:t>
            </w:r>
          </w:p>
        </w:tc>
      </w:tr>
      <w:tr w:rsidR="00FA2F1C">
        <w:tc>
          <w:tcPr>
            <w:tcW w:w="1190" w:type="dxa"/>
            <w:tcBorders>
              <w:top w:val="single" w:sz="12" w:space="0" w:color="auto"/>
              <w:bottom w:val="nil"/>
            </w:tcBorders>
          </w:tcPr>
          <w:p w:rsidR="00FA2F1C" w:rsidRDefault="00466360">
            <w:pPr>
              <w:spacing w:after="0" w:line="480" w:lineRule="auto"/>
              <w:jc w:val="both"/>
              <w:rPr>
                <w:rFonts w:ascii="Times New Roman" w:hAnsi="Times New Roman" w:cs="Times New Roman"/>
                <w:color w:val="000000" w:themeColor="text1"/>
                <w:sz w:val="24"/>
                <w:szCs w:val="24"/>
              </w:rPr>
            </w:pPr>
            <w:proofErr w:type="spellStart"/>
            <w:r>
              <w:rPr>
                <w:rFonts w:ascii="Times New Roman" w:hAnsi="Times New Roman" w:cs="Times New Roman"/>
                <w:color w:val="000000" w:themeColor="text1"/>
                <w:sz w:val="24"/>
                <w:szCs w:val="24"/>
              </w:rPr>
              <w:t>PdFe</w:t>
            </w:r>
            <w:proofErr w:type="spellEnd"/>
          </w:p>
        </w:tc>
        <w:tc>
          <w:tcPr>
            <w:tcW w:w="1146" w:type="dxa"/>
            <w:tcBorders>
              <w:top w:val="single" w:sz="12" w:space="0" w:color="auto"/>
              <w:bottom w:val="nil"/>
            </w:tcBorders>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71.18</w:t>
            </w:r>
          </w:p>
        </w:tc>
        <w:tc>
          <w:tcPr>
            <w:tcW w:w="1399" w:type="dxa"/>
            <w:tcBorders>
              <w:top w:val="single" w:sz="12" w:space="0" w:color="auto"/>
              <w:bottom w:val="nil"/>
            </w:tcBorders>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28.82 (Fe)</w:t>
            </w:r>
          </w:p>
        </w:tc>
        <w:tc>
          <w:tcPr>
            <w:tcW w:w="1302" w:type="dxa"/>
            <w:tcBorders>
              <w:top w:val="single" w:sz="12" w:space="0" w:color="auto"/>
              <w:bottom w:val="nil"/>
            </w:tcBorders>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9.57</w:t>
            </w:r>
          </w:p>
        </w:tc>
        <w:tc>
          <w:tcPr>
            <w:tcW w:w="1496" w:type="dxa"/>
            <w:tcBorders>
              <w:top w:val="single" w:sz="12" w:space="0" w:color="auto"/>
              <w:bottom w:val="nil"/>
            </w:tcBorders>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90.43 (Fe)</w:t>
            </w:r>
          </w:p>
        </w:tc>
        <w:tc>
          <w:tcPr>
            <w:tcW w:w="1399" w:type="dxa"/>
            <w:tcBorders>
              <w:top w:val="single" w:sz="12" w:space="0" w:color="auto"/>
              <w:bottom w:val="nil"/>
            </w:tcBorders>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83.46</w:t>
            </w:r>
          </w:p>
        </w:tc>
        <w:tc>
          <w:tcPr>
            <w:tcW w:w="1513" w:type="dxa"/>
            <w:tcBorders>
              <w:top w:val="single" w:sz="12" w:space="0" w:color="auto"/>
              <w:bottom w:val="nil"/>
            </w:tcBorders>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16.54 (Fe)</w:t>
            </w:r>
          </w:p>
        </w:tc>
      </w:tr>
      <w:tr w:rsidR="00FA2F1C">
        <w:tc>
          <w:tcPr>
            <w:tcW w:w="1190" w:type="dxa"/>
          </w:tcPr>
          <w:p w:rsidR="00FA2F1C" w:rsidRDefault="00466360">
            <w:pPr>
              <w:spacing w:after="0" w:line="480" w:lineRule="auto"/>
              <w:jc w:val="both"/>
              <w:rPr>
                <w:rFonts w:ascii="Times New Roman" w:hAnsi="Times New Roman" w:cs="Times New Roman"/>
                <w:color w:val="000000" w:themeColor="text1"/>
                <w:sz w:val="24"/>
                <w:szCs w:val="24"/>
              </w:rPr>
            </w:pPr>
            <w:proofErr w:type="spellStart"/>
            <w:r>
              <w:rPr>
                <w:rFonts w:ascii="Times New Roman" w:hAnsi="Times New Roman" w:cs="Times New Roman"/>
                <w:color w:val="000000" w:themeColor="text1"/>
                <w:sz w:val="24"/>
                <w:szCs w:val="24"/>
              </w:rPr>
              <w:t>PdCo</w:t>
            </w:r>
            <w:proofErr w:type="spellEnd"/>
          </w:p>
        </w:tc>
        <w:tc>
          <w:tcPr>
            <w:tcW w:w="1146"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56.10</w:t>
            </w:r>
          </w:p>
        </w:tc>
        <w:tc>
          <w:tcPr>
            <w:tcW w:w="1399"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43.90 (Co)</w:t>
            </w:r>
          </w:p>
        </w:tc>
        <w:tc>
          <w:tcPr>
            <w:tcW w:w="1302"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43.87</w:t>
            </w:r>
          </w:p>
        </w:tc>
        <w:tc>
          <w:tcPr>
            <w:tcW w:w="1496"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56.13 (Co)</w:t>
            </w:r>
          </w:p>
        </w:tc>
        <w:tc>
          <w:tcPr>
            <w:tcW w:w="1399"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54.09</w:t>
            </w:r>
          </w:p>
        </w:tc>
        <w:tc>
          <w:tcPr>
            <w:tcW w:w="1513"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45.91 (Co)</w:t>
            </w:r>
          </w:p>
        </w:tc>
      </w:tr>
      <w:tr w:rsidR="00FA2F1C">
        <w:tc>
          <w:tcPr>
            <w:tcW w:w="1190" w:type="dxa"/>
          </w:tcPr>
          <w:p w:rsidR="00FA2F1C" w:rsidRDefault="00466360">
            <w:pPr>
              <w:spacing w:after="0" w:line="480" w:lineRule="auto"/>
              <w:jc w:val="both"/>
              <w:rPr>
                <w:rFonts w:ascii="Times New Roman" w:hAnsi="Times New Roman" w:cs="Times New Roman"/>
                <w:color w:val="000000" w:themeColor="text1"/>
                <w:sz w:val="24"/>
                <w:szCs w:val="24"/>
              </w:rPr>
            </w:pPr>
            <w:proofErr w:type="spellStart"/>
            <w:r>
              <w:rPr>
                <w:rFonts w:ascii="Times New Roman" w:hAnsi="Times New Roman" w:cs="Times New Roman"/>
                <w:color w:val="000000" w:themeColor="text1"/>
                <w:sz w:val="24"/>
                <w:szCs w:val="24"/>
              </w:rPr>
              <w:t>PdNi</w:t>
            </w:r>
            <w:proofErr w:type="spellEnd"/>
          </w:p>
        </w:tc>
        <w:tc>
          <w:tcPr>
            <w:tcW w:w="1146"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56.85</w:t>
            </w:r>
          </w:p>
        </w:tc>
        <w:tc>
          <w:tcPr>
            <w:tcW w:w="1399"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43.15 (Ni)</w:t>
            </w:r>
          </w:p>
        </w:tc>
        <w:tc>
          <w:tcPr>
            <w:tcW w:w="1302"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69.05</w:t>
            </w:r>
          </w:p>
        </w:tc>
        <w:tc>
          <w:tcPr>
            <w:tcW w:w="1496"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30.95 (Ni)</w:t>
            </w:r>
          </w:p>
        </w:tc>
        <w:tc>
          <w:tcPr>
            <w:tcW w:w="1399"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63.05</w:t>
            </w:r>
          </w:p>
        </w:tc>
        <w:tc>
          <w:tcPr>
            <w:tcW w:w="1513" w:type="dxa"/>
          </w:tcPr>
          <w:p w:rsidR="00FA2F1C" w:rsidRDefault="00466360">
            <w:pPr>
              <w:spacing w:after="0" w:line="48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36.95 (Ni)</w:t>
            </w:r>
          </w:p>
        </w:tc>
      </w:tr>
    </w:tbl>
    <w:p w:rsidR="00FA2F1C" w:rsidRDefault="00FA2F1C">
      <w:pPr>
        <w:spacing w:line="480" w:lineRule="auto"/>
        <w:jc w:val="center"/>
        <w:rPr>
          <w:rFonts w:ascii="Times New Roman" w:hAnsi="Times New Roman" w:cs="Times New Roman"/>
          <w:color w:val="000000" w:themeColor="text1"/>
          <w:sz w:val="24"/>
          <w:szCs w:val="24"/>
        </w:rPr>
      </w:pPr>
    </w:p>
    <w:p w:rsidR="00FA2F1C" w:rsidRDefault="00466360">
      <w:pPr>
        <w:spacing w:after="0"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Table S2. Binding energies of the </w:t>
      </w:r>
      <w:proofErr w:type="spellStart"/>
      <w:r>
        <w:rPr>
          <w:rFonts w:ascii="Times New Roman" w:hAnsi="Times New Roman" w:cs="Times New Roman"/>
          <w:color w:val="000000" w:themeColor="text1"/>
          <w:sz w:val="24"/>
          <w:szCs w:val="24"/>
        </w:rPr>
        <w:t>PdM</w:t>
      </w:r>
      <w:proofErr w:type="spellEnd"/>
      <w:r>
        <w:rPr>
          <w:rFonts w:ascii="Times New Roman" w:hAnsi="Times New Roman" w:cs="Times New Roman"/>
          <w:color w:val="000000" w:themeColor="text1"/>
          <w:sz w:val="24"/>
          <w:szCs w:val="24"/>
        </w:rPr>
        <w:t xml:space="preserve"> from the XPS analysis. </w:t>
      </w:r>
    </w:p>
    <w:tbl>
      <w:tblPr>
        <w:tblStyle w:val="TableGrid"/>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143"/>
        <w:gridCol w:w="1512"/>
        <w:gridCol w:w="1276"/>
        <w:gridCol w:w="1433"/>
        <w:gridCol w:w="1355"/>
        <w:gridCol w:w="2621"/>
      </w:tblGrid>
      <w:tr w:rsidR="00FA2F1C">
        <w:tc>
          <w:tcPr>
            <w:tcW w:w="1143"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 xml:space="preserve">Catalysts </w:t>
            </w:r>
          </w:p>
        </w:tc>
        <w:tc>
          <w:tcPr>
            <w:tcW w:w="2788" w:type="dxa"/>
            <w:gridSpan w:val="2"/>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Pd 3d</w:t>
            </w:r>
            <w:r>
              <w:rPr>
                <w:rFonts w:ascii="Palatino Linotype" w:eastAsia="Calibri" w:hAnsi="Palatino Linotype" w:cs="Times New Roman"/>
                <w:color w:val="000000" w:themeColor="text1"/>
                <w:sz w:val="20"/>
                <w:szCs w:val="20"/>
                <w:vertAlign w:val="subscript"/>
              </w:rPr>
              <w:t xml:space="preserve">5/2 </w:t>
            </w:r>
            <w:r>
              <w:rPr>
                <w:rFonts w:ascii="Palatino Linotype" w:eastAsia="Calibri" w:hAnsi="Palatino Linotype" w:cs="Times New Roman"/>
                <w:color w:val="000000" w:themeColor="text1"/>
                <w:sz w:val="20"/>
                <w:szCs w:val="20"/>
              </w:rPr>
              <w:t>(eV)</w:t>
            </w:r>
          </w:p>
        </w:tc>
        <w:tc>
          <w:tcPr>
            <w:tcW w:w="2788" w:type="dxa"/>
            <w:gridSpan w:val="2"/>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Pd 3d</w:t>
            </w:r>
            <w:r>
              <w:rPr>
                <w:rFonts w:ascii="Palatino Linotype" w:eastAsia="Calibri" w:hAnsi="Palatino Linotype" w:cs="Times New Roman"/>
                <w:color w:val="000000" w:themeColor="text1"/>
                <w:sz w:val="20"/>
                <w:szCs w:val="20"/>
                <w:vertAlign w:val="subscript"/>
              </w:rPr>
              <w:t xml:space="preserve">3/2 </w:t>
            </w:r>
            <w:r>
              <w:rPr>
                <w:rFonts w:ascii="Palatino Linotype" w:eastAsia="Calibri" w:hAnsi="Palatino Linotype" w:cs="Times New Roman"/>
                <w:color w:val="000000" w:themeColor="text1"/>
                <w:sz w:val="20"/>
                <w:szCs w:val="20"/>
              </w:rPr>
              <w:t>(eV)</w:t>
            </w:r>
          </w:p>
        </w:tc>
        <w:tc>
          <w:tcPr>
            <w:tcW w:w="2621" w:type="dxa"/>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d-band center (eV)</w:t>
            </w:r>
          </w:p>
        </w:tc>
      </w:tr>
      <w:tr w:rsidR="00FA2F1C">
        <w:tc>
          <w:tcPr>
            <w:tcW w:w="1143" w:type="dxa"/>
          </w:tcPr>
          <w:p w:rsidR="00FA2F1C" w:rsidRDefault="00FA2F1C">
            <w:pPr>
              <w:spacing w:after="0" w:line="240" w:lineRule="auto"/>
              <w:rPr>
                <w:rFonts w:ascii="Palatino Linotype" w:eastAsia="Calibri" w:hAnsi="Palatino Linotype" w:cs="Times New Roman"/>
                <w:color w:val="000000" w:themeColor="text1"/>
                <w:sz w:val="20"/>
                <w:szCs w:val="20"/>
              </w:rPr>
            </w:pPr>
          </w:p>
        </w:tc>
        <w:tc>
          <w:tcPr>
            <w:tcW w:w="1512" w:type="dxa"/>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Pd</w:t>
            </w:r>
            <w:r>
              <w:rPr>
                <w:rFonts w:ascii="Palatino Linotype" w:eastAsia="Calibri" w:hAnsi="Palatino Linotype" w:cs="Times New Roman"/>
                <w:color w:val="000000" w:themeColor="text1"/>
                <w:sz w:val="20"/>
                <w:szCs w:val="20"/>
                <w:vertAlign w:val="superscript"/>
              </w:rPr>
              <w:t>0</w:t>
            </w:r>
          </w:p>
        </w:tc>
        <w:tc>
          <w:tcPr>
            <w:tcW w:w="1276" w:type="dxa"/>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Pd</w:t>
            </w:r>
            <w:r>
              <w:rPr>
                <w:rFonts w:ascii="Palatino Linotype" w:eastAsia="Calibri" w:hAnsi="Palatino Linotype" w:cs="Times New Roman"/>
                <w:color w:val="000000" w:themeColor="text1"/>
                <w:sz w:val="20"/>
                <w:szCs w:val="20"/>
                <w:vertAlign w:val="superscript"/>
              </w:rPr>
              <w:t>2+</w:t>
            </w:r>
          </w:p>
        </w:tc>
        <w:tc>
          <w:tcPr>
            <w:tcW w:w="1433" w:type="dxa"/>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Pd</w:t>
            </w:r>
            <w:r>
              <w:rPr>
                <w:rFonts w:ascii="Palatino Linotype" w:eastAsia="Calibri" w:hAnsi="Palatino Linotype" w:cs="Times New Roman"/>
                <w:color w:val="000000" w:themeColor="text1"/>
                <w:sz w:val="20"/>
                <w:szCs w:val="20"/>
                <w:vertAlign w:val="superscript"/>
              </w:rPr>
              <w:t>0</w:t>
            </w:r>
          </w:p>
        </w:tc>
        <w:tc>
          <w:tcPr>
            <w:tcW w:w="1355" w:type="dxa"/>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Pd</w:t>
            </w:r>
            <w:r>
              <w:rPr>
                <w:rFonts w:ascii="Palatino Linotype" w:eastAsia="Calibri" w:hAnsi="Palatino Linotype" w:cs="Times New Roman"/>
                <w:color w:val="000000" w:themeColor="text1"/>
                <w:sz w:val="20"/>
                <w:szCs w:val="20"/>
                <w:vertAlign w:val="superscript"/>
              </w:rPr>
              <w:t>2+</w:t>
            </w:r>
          </w:p>
        </w:tc>
        <w:tc>
          <w:tcPr>
            <w:tcW w:w="2621" w:type="dxa"/>
          </w:tcPr>
          <w:p w:rsidR="00FA2F1C" w:rsidRDefault="00FA2F1C">
            <w:pPr>
              <w:spacing w:after="0" w:line="240" w:lineRule="auto"/>
              <w:jc w:val="center"/>
              <w:rPr>
                <w:rFonts w:ascii="Palatino Linotype" w:eastAsia="Calibri" w:hAnsi="Palatino Linotype" w:cs="Times New Roman"/>
                <w:color w:val="000000" w:themeColor="text1"/>
                <w:sz w:val="20"/>
                <w:szCs w:val="20"/>
              </w:rPr>
            </w:pPr>
          </w:p>
        </w:tc>
      </w:tr>
      <w:tr w:rsidR="00FA2F1C">
        <w:tc>
          <w:tcPr>
            <w:tcW w:w="1143" w:type="dxa"/>
          </w:tcPr>
          <w:p w:rsidR="00FA2F1C" w:rsidRDefault="00466360">
            <w:pPr>
              <w:spacing w:after="0" w:line="240" w:lineRule="auto"/>
              <w:rPr>
                <w:rFonts w:ascii="Palatino Linotype" w:eastAsia="Calibri" w:hAnsi="Palatino Linotype" w:cs="Times New Roman"/>
                <w:color w:val="000000" w:themeColor="text1"/>
                <w:sz w:val="20"/>
                <w:szCs w:val="20"/>
              </w:rPr>
            </w:pPr>
            <w:proofErr w:type="spellStart"/>
            <w:r>
              <w:rPr>
                <w:rFonts w:ascii="Palatino Linotype" w:eastAsia="Calibri" w:hAnsi="Palatino Linotype" w:cs="Times New Roman"/>
                <w:color w:val="000000" w:themeColor="text1"/>
                <w:sz w:val="20"/>
                <w:szCs w:val="20"/>
              </w:rPr>
              <w:t>PdFe</w:t>
            </w:r>
            <w:proofErr w:type="spellEnd"/>
          </w:p>
        </w:tc>
        <w:tc>
          <w:tcPr>
            <w:tcW w:w="1512"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334.92</w:t>
            </w:r>
          </w:p>
        </w:tc>
        <w:tc>
          <w:tcPr>
            <w:tcW w:w="1276"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337.83</w:t>
            </w:r>
          </w:p>
        </w:tc>
        <w:tc>
          <w:tcPr>
            <w:tcW w:w="1433"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340.31</w:t>
            </w:r>
          </w:p>
        </w:tc>
        <w:tc>
          <w:tcPr>
            <w:tcW w:w="1355"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346.17</w:t>
            </w:r>
          </w:p>
        </w:tc>
        <w:tc>
          <w:tcPr>
            <w:tcW w:w="2621" w:type="dxa"/>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-1.71</w:t>
            </w:r>
          </w:p>
        </w:tc>
      </w:tr>
      <w:tr w:rsidR="00FA2F1C">
        <w:tc>
          <w:tcPr>
            <w:tcW w:w="1143" w:type="dxa"/>
          </w:tcPr>
          <w:p w:rsidR="00FA2F1C" w:rsidRDefault="00466360">
            <w:pPr>
              <w:spacing w:after="0" w:line="240" w:lineRule="auto"/>
              <w:rPr>
                <w:rFonts w:ascii="Palatino Linotype" w:eastAsia="Calibri" w:hAnsi="Palatino Linotype" w:cs="Times New Roman"/>
                <w:color w:val="000000" w:themeColor="text1"/>
                <w:sz w:val="20"/>
                <w:szCs w:val="20"/>
              </w:rPr>
            </w:pPr>
            <w:proofErr w:type="spellStart"/>
            <w:r>
              <w:rPr>
                <w:rFonts w:ascii="Palatino Linotype" w:eastAsia="Calibri" w:hAnsi="Palatino Linotype" w:cs="Times New Roman"/>
                <w:color w:val="000000" w:themeColor="text1"/>
                <w:sz w:val="20"/>
                <w:szCs w:val="20"/>
              </w:rPr>
              <w:t>PdCo</w:t>
            </w:r>
            <w:proofErr w:type="spellEnd"/>
          </w:p>
        </w:tc>
        <w:tc>
          <w:tcPr>
            <w:tcW w:w="1512"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334.76</w:t>
            </w:r>
          </w:p>
        </w:tc>
        <w:tc>
          <w:tcPr>
            <w:tcW w:w="1276"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336.63</w:t>
            </w:r>
          </w:p>
        </w:tc>
        <w:tc>
          <w:tcPr>
            <w:tcW w:w="1433"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340.25</w:t>
            </w:r>
          </w:p>
        </w:tc>
        <w:tc>
          <w:tcPr>
            <w:tcW w:w="1355"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343.61</w:t>
            </w:r>
          </w:p>
        </w:tc>
        <w:tc>
          <w:tcPr>
            <w:tcW w:w="2621" w:type="dxa"/>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-2.23</w:t>
            </w:r>
          </w:p>
        </w:tc>
      </w:tr>
      <w:tr w:rsidR="00FA2F1C">
        <w:tc>
          <w:tcPr>
            <w:tcW w:w="1143" w:type="dxa"/>
          </w:tcPr>
          <w:p w:rsidR="00FA2F1C" w:rsidRDefault="00466360">
            <w:pPr>
              <w:spacing w:after="0" w:line="240" w:lineRule="auto"/>
              <w:rPr>
                <w:rFonts w:ascii="Palatino Linotype" w:eastAsia="Calibri" w:hAnsi="Palatino Linotype" w:cs="Times New Roman"/>
                <w:color w:val="000000" w:themeColor="text1"/>
                <w:sz w:val="20"/>
                <w:szCs w:val="20"/>
              </w:rPr>
            </w:pPr>
            <w:proofErr w:type="spellStart"/>
            <w:r>
              <w:rPr>
                <w:rFonts w:ascii="Palatino Linotype" w:eastAsia="Calibri" w:hAnsi="Palatino Linotype" w:cs="Times New Roman"/>
                <w:color w:val="000000" w:themeColor="text1"/>
                <w:sz w:val="20"/>
                <w:szCs w:val="20"/>
              </w:rPr>
              <w:t>PdNi</w:t>
            </w:r>
            <w:proofErr w:type="spellEnd"/>
          </w:p>
        </w:tc>
        <w:tc>
          <w:tcPr>
            <w:tcW w:w="1512"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334.90</w:t>
            </w:r>
          </w:p>
        </w:tc>
        <w:tc>
          <w:tcPr>
            <w:tcW w:w="1276"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336.95</w:t>
            </w:r>
          </w:p>
        </w:tc>
        <w:tc>
          <w:tcPr>
            <w:tcW w:w="1433"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339.45</w:t>
            </w:r>
          </w:p>
        </w:tc>
        <w:tc>
          <w:tcPr>
            <w:tcW w:w="1355" w:type="dxa"/>
          </w:tcPr>
          <w:p w:rsidR="00FA2F1C" w:rsidRDefault="00466360">
            <w:pPr>
              <w:spacing w:after="0" w:line="240" w:lineRule="auto"/>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343.53</w:t>
            </w:r>
          </w:p>
        </w:tc>
        <w:tc>
          <w:tcPr>
            <w:tcW w:w="2621" w:type="dxa"/>
          </w:tcPr>
          <w:p w:rsidR="00FA2F1C" w:rsidRDefault="00466360">
            <w:pPr>
              <w:spacing w:after="0" w:line="240" w:lineRule="auto"/>
              <w:jc w:val="center"/>
              <w:rPr>
                <w:rFonts w:ascii="Palatino Linotype" w:eastAsia="Calibri" w:hAnsi="Palatino Linotype" w:cs="Times New Roman"/>
                <w:color w:val="000000" w:themeColor="text1"/>
                <w:sz w:val="20"/>
                <w:szCs w:val="20"/>
              </w:rPr>
            </w:pPr>
            <w:r>
              <w:rPr>
                <w:rFonts w:ascii="Palatino Linotype" w:eastAsia="Calibri" w:hAnsi="Palatino Linotype" w:cs="Times New Roman"/>
                <w:color w:val="000000" w:themeColor="text1"/>
                <w:sz w:val="20"/>
                <w:szCs w:val="20"/>
              </w:rPr>
              <w:t>-1.95</w:t>
            </w:r>
          </w:p>
        </w:tc>
      </w:tr>
    </w:tbl>
    <w:p w:rsidR="00FA2F1C" w:rsidRDefault="00FA2F1C">
      <w:pPr>
        <w:spacing w:after="0" w:line="480" w:lineRule="auto"/>
        <w:jc w:val="center"/>
        <w:rPr>
          <w:rFonts w:ascii="Times New Roman" w:hAnsi="Times New Roman" w:cs="Times New Roman"/>
          <w:color w:val="000000" w:themeColor="text1"/>
          <w:sz w:val="24"/>
          <w:szCs w:val="24"/>
        </w:rPr>
      </w:pPr>
    </w:p>
    <w:p w:rsidR="00FA2F1C" w:rsidRDefault="00466360">
      <w:pPr>
        <w:spacing w:line="480" w:lineRule="auto"/>
        <w:jc w:val="cente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lastRenderedPageBreak/>
        <w:drawing>
          <wp:inline distT="0" distB="0" distL="0" distR="0">
            <wp:extent cx="5943600" cy="1491615"/>
            <wp:effectExtent l="0" t="0" r="0" b="0"/>
            <wp:docPr id="6" name="Picture 6" descr="D:\master\master work\00 work\3- binary Pd metals CO\3nd paper(PdCo, PdNi, PdFe)\ECS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master\master work\00 work\3- binary Pd metals CO\3nd paper(PdCo, PdNi, PdFe)\ECSA.t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943600" cy="1491999"/>
                    </a:xfrm>
                    <a:prstGeom prst="rect">
                      <a:avLst/>
                    </a:prstGeom>
                    <a:noFill/>
                    <a:ln>
                      <a:noFill/>
                    </a:ln>
                  </pic:spPr>
                </pic:pic>
              </a:graphicData>
            </a:graphic>
          </wp:inline>
        </w:drawing>
      </w:r>
    </w:p>
    <w:p w:rsidR="00FA2F1C" w:rsidRDefault="00466360">
      <w:pPr>
        <w:tabs>
          <w:tab w:val="left" w:pos="1142"/>
        </w:tabs>
        <w:spacing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Fig. S4. ECSA of the binary </w:t>
      </w:r>
      <w:proofErr w:type="spellStart"/>
      <w:r>
        <w:rPr>
          <w:rFonts w:ascii="Times New Roman" w:hAnsi="Times New Roman" w:cs="Times New Roman"/>
          <w:color w:val="000000" w:themeColor="text1"/>
          <w:sz w:val="24"/>
          <w:szCs w:val="24"/>
        </w:rPr>
        <w:t>PdM</w:t>
      </w:r>
      <w:proofErr w:type="spellEnd"/>
      <w:r>
        <w:rPr>
          <w:rFonts w:ascii="Times New Roman" w:hAnsi="Times New Roman" w:cs="Times New Roman"/>
          <w:color w:val="000000" w:themeColor="text1"/>
          <w:sz w:val="24"/>
          <w:szCs w:val="24"/>
        </w:rPr>
        <w:t xml:space="preserve"> nanocrystals and Pd/C before and after stability test (a) 0.1 M KOH, (b) 0.1 M HClO</w:t>
      </w:r>
      <w:r>
        <w:rPr>
          <w:rFonts w:ascii="Times New Roman" w:hAnsi="Times New Roman" w:cs="Times New Roman"/>
          <w:color w:val="000000" w:themeColor="text1"/>
          <w:sz w:val="24"/>
          <w:szCs w:val="24"/>
          <w:vertAlign w:val="subscript"/>
        </w:rPr>
        <w:t>4</w:t>
      </w:r>
      <w:r>
        <w:rPr>
          <w:rFonts w:ascii="Times New Roman" w:hAnsi="Times New Roman" w:cs="Times New Roman"/>
          <w:color w:val="000000" w:themeColor="text1"/>
          <w:sz w:val="24"/>
          <w:szCs w:val="24"/>
        </w:rPr>
        <w:t>, and (c) 0.5 M NaHCO</w:t>
      </w:r>
      <w:r>
        <w:rPr>
          <w:rFonts w:ascii="Times New Roman" w:hAnsi="Times New Roman" w:cs="Times New Roman"/>
          <w:color w:val="000000" w:themeColor="text1"/>
          <w:sz w:val="24"/>
          <w:szCs w:val="24"/>
          <w:vertAlign w:val="subscript"/>
        </w:rPr>
        <w:t>3</w:t>
      </w:r>
      <w:r>
        <w:rPr>
          <w:rFonts w:ascii="Times New Roman" w:hAnsi="Times New Roman" w:cs="Times New Roman"/>
          <w:color w:val="000000" w:themeColor="text1"/>
          <w:sz w:val="24"/>
          <w:szCs w:val="24"/>
        </w:rPr>
        <w:t xml:space="preserve"> </w:t>
      </w:r>
    </w:p>
    <w:p w:rsidR="00FA2F1C" w:rsidRDefault="00466360">
      <w:pPr>
        <w:tabs>
          <w:tab w:val="left" w:pos="1142"/>
        </w:tabs>
        <w:spacing w:line="480" w:lineRule="auto"/>
        <w:jc w:val="both"/>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5943600" cy="1725930"/>
            <wp:effectExtent l="0" t="0" r="0" b="7620"/>
            <wp:docPr id="15" name="Picture 15" descr="C:\Users\AI19876\Desktop\Publication\2023\Other researches\Belal\Paper 3\Figures\Fig. S6x.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Users\AI19876\Desktop\Publication\2023\Other researches\Belal\Paper 3\Figures\Fig. S6x.t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943600" cy="1725939"/>
                    </a:xfrm>
                    <a:prstGeom prst="rect">
                      <a:avLst/>
                    </a:prstGeom>
                    <a:noFill/>
                    <a:ln>
                      <a:noFill/>
                    </a:ln>
                  </pic:spPr>
                </pic:pic>
              </a:graphicData>
            </a:graphic>
          </wp:inline>
        </w:drawing>
      </w:r>
    </w:p>
    <w:p w:rsidR="00FA2F1C" w:rsidRDefault="00466360">
      <w:pPr>
        <w:tabs>
          <w:tab w:val="left" w:pos="1142"/>
        </w:tabs>
        <w:spacing w:line="48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Fig. S5. TEM of the (a) </w:t>
      </w:r>
      <w:proofErr w:type="spellStart"/>
      <w:r>
        <w:rPr>
          <w:rFonts w:ascii="Times New Roman" w:hAnsi="Times New Roman" w:cs="Times New Roman"/>
          <w:color w:val="000000" w:themeColor="text1"/>
          <w:sz w:val="24"/>
          <w:szCs w:val="24"/>
        </w:rPr>
        <w:t>PdFe</w:t>
      </w:r>
      <w:proofErr w:type="spellEnd"/>
      <w:r>
        <w:rPr>
          <w:rFonts w:ascii="Times New Roman" w:hAnsi="Times New Roman" w:cs="Times New Roman"/>
          <w:color w:val="000000" w:themeColor="text1"/>
          <w:sz w:val="24"/>
          <w:szCs w:val="24"/>
        </w:rPr>
        <w:t xml:space="preserve">, (b) </w:t>
      </w:r>
      <w:proofErr w:type="spellStart"/>
      <w:r>
        <w:rPr>
          <w:rFonts w:ascii="Times New Roman" w:hAnsi="Times New Roman" w:cs="Times New Roman"/>
          <w:color w:val="000000" w:themeColor="text1"/>
          <w:sz w:val="24"/>
          <w:szCs w:val="24"/>
        </w:rPr>
        <w:t>PdCo</w:t>
      </w:r>
      <w:proofErr w:type="spellEnd"/>
      <w:r>
        <w:rPr>
          <w:rFonts w:ascii="Times New Roman" w:hAnsi="Times New Roman" w:cs="Times New Roman"/>
          <w:color w:val="000000" w:themeColor="text1"/>
          <w:sz w:val="24"/>
          <w:szCs w:val="24"/>
        </w:rPr>
        <w:t xml:space="preserve">, and (c) </w:t>
      </w:r>
      <w:proofErr w:type="spellStart"/>
      <w:r>
        <w:rPr>
          <w:rFonts w:ascii="Times New Roman" w:hAnsi="Times New Roman" w:cs="Times New Roman"/>
          <w:color w:val="000000" w:themeColor="text1"/>
          <w:sz w:val="24"/>
          <w:szCs w:val="24"/>
        </w:rPr>
        <w:t>PdNi</w:t>
      </w:r>
      <w:proofErr w:type="spellEnd"/>
      <w:r>
        <w:rPr>
          <w:rFonts w:ascii="Times New Roman" w:hAnsi="Times New Roman" w:cs="Times New Roman"/>
          <w:color w:val="000000" w:themeColor="text1"/>
          <w:sz w:val="24"/>
          <w:szCs w:val="24"/>
        </w:rPr>
        <w:t xml:space="preserve"> after the stability test</w:t>
      </w:r>
    </w:p>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Table S3. </w:t>
      </w:r>
      <w:r>
        <w:rPr>
          <w:rFonts w:ascii="Times New Roman" w:hAnsi="Times New Roman" w:cs="Times New Roman"/>
          <w:color w:val="000000" w:themeColor="text1"/>
          <w:sz w:val="24"/>
          <w:szCs w:val="24"/>
        </w:rPr>
        <w:t xml:space="preserve">The electrochemical </w:t>
      </w:r>
      <w:proofErr w:type="spellStart"/>
      <w:r>
        <w:rPr>
          <w:rFonts w:ascii="Times New Roman" w:hAnsi="Times New Roman" w:cs="Times New Roman"/>
          <w:color w:val="000000" w:themeColor="text1"/>
          <w:sz w:val="24"/>
          <w:szCs w:val="24"/>
        </w:rPr>
        <w:t>CO</w:t>
      </w:r>
      <w:r>
        <w:rPr>
          <w:rFonts w:ascii="Times New Roman" w:hAnsi="Times New Roman" w:cs="Times New Roman"/>
          <w:color w:val="000000" w:themeColor="text1"/>
          <w:sz w:val="24"/>
          <w:szCs w:val="24"/>
          <w:vertAlign w:val="subscript"/>
        </w:rPr>
        <w:t>Oxid</w:t>
      </w:r>
      <w:proofErr w:type="spellEnd"/>
      <w:r>
        <w:rPr>
          <w:rFonts w:ascii="Times New Roman" w:hAnsi="Times New Roman" w:cs="Times New Roman"/>
          <w:color w:val="000000" w:themeColor="text1"/>
          <w:sz w:val="24"/>
          <w:szCs w:val="24"/>
        </w:rPr>
        <w:t xml:space="preserve"> activity of Pd-based nanostructures compared with previously reported data in the literature.</w:t>
      </w:r>
    </w:p>
    <w:tbl>
      <w:tblPr>
        <w:tblStyle w:val="TableGrid1"/>
        <w:tblW w:w="9270" w:type="dxa"/>
        <w:tblLayout w:type="fixed"/>
        <w:tblLook w:val="04A0" w:firstRow="1" w:lastRow="0" w:firstColumn="1" w:lastColumn="0" w:noHBand="0" w:noVBand="1"/>
      </w:tblPr>
      <w:tblGrid>
        <w:gridCol w:w="2250"/>
        <w:gridCol w:w="3510"/>
        <w:gridCol w:w="2245"/>
        <w:gridCol w:w="1265"/>
      </w:tblGrid>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Electrocatalysts</w:t>
            </w: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Medium / Scan rate (mV/s)</w:t>
            </w:r>
          </w:p>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Reference electrode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Maximum Current </w:t>
            </w:r>
          </w:p>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(mA/cm</w:t>
            </w:r>
            <w:r>
              <w:rPr>
                <w:rFonts w:ascii="Times New Roman" w:eastAsia="Calibri" w:hAnsi="Times New Roman" w:cs="Times New Roman"/>
                <w:color w:val="000000" w:themeColor="text1"/>
                <w:sz w:val="24"/>
                <w:szCs w:val="24"/>
                <w:vertAlign w:val="superscript"/>
              </w:rPr>
              <w:t>2</w:t>
            </w:r>
            <w:r>
              <w:rPr>
                <w:rFonts w:ascii="Times New Roman" w:eastAsia="Calibri" w:hAnsi="Times New Roman" w:cs="Times New Roman"/>
                <w:color w:val="000000" w:themeColor="text1"/>
                <w:sz w:val="24"/>
                <w:szCs w:val="24"/>
              </w:rPr>
              <w:t>) / Voltage (V)</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Refs.</w:t>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gramStart"/>
            <w:r>
              <w:rPr>
                <w:rFonts w:ascii="Times New Roman" w:eastAsia="Calibri" w:hAnsi="Times New Roman" w:cs="Times New Roman"/>
                <w:color w:val="000000" w:themeColor="text1"/>
                <w:sz w:val="24"/>
                <w:szCs w:val="24"/>
              </w:rPr>
              <w:t>Pt{</w:t>
            </w:r>
            <w:proofErr w:type="gramEnd"/>
            <w:r>
              <w:rPr>
                <w:rFonts w:ascii="Times New Roman" w:eastAsia="Calibri" w:hAnsi="Times New Roman" w:cs="Times New Roman"/>
                <w:color w:val="000000" w:themeColor="text1"/>
                <w:sz w:val="24"/>
                <w:szCs w:val="24"/>
              </w:rPr>
              <w:t>110}–Ru</w:t>
            </w:r>
          </w:p>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Pt-</w:t>
            </w:r>
            <w:proofErr w:type="spellStart"/>
            <w:r>
              <w:rPr>
                <w:rFonts w:ascii="Times New Roman" w:eastAsia="Calibri" w:hAnsi="Times New Roman" w:cs="Times New Roman"/>
                <w:color w:val="000000" w:themeColor="text1"/>
                <w:sz w:val="24"/>
                <w:szCs w:val="24"/>
              </w:rPr>
              <w:t>NbOx</w:t>
            </w:r>
            <w:proofErr w:type="spellEnd"/>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lang w:val="de-DE"/>
              </w:rPr>
            </w:pPr>
            <w:r>
              <w:rPr>
                <w:rFonts w:ascii="Times New Roman" w:eastAsia="Calibri" w:hAnsi="Times New Roman" w:cs="Times New Roman"/>
                <w:color w:val="000000" w:themeColor="text1"/>
                <w:sz w:val="24"/>
                <w:szCs w:val="24"/>
                <w:lang w:val="de-DE"/>
              </w:rPr>
              <w:t>0.5 M H</w:t>
            </w:r>
            <w:r>
              <w:rPr>
                <w:rFonts w:ascii="Times New Roman" w:eastAsia="Calibri" w:hAnsi="Times New Roman" w:cs="Times New Roman"/>
                <w:color w:val="000000" w:themeColor="text1"/>
                <w:sz w:val="24"/>
                <w:szCs w:val="24"/>
                <w:vertAlign w:val="subscript"/>
                <w:lang w:val="de-DE"/>
              </w:rPr>
              <w:t>2</w:t>
            </w:r>
            <w:r>
              <w:rPr>
                <w:rFonts w:ascii="Times New Roman" w:eastAsia="Calibri" w:hAnsi="Times New Roman" w:cs="Times New Roman"/>
                <w:color w:val="000000" w:themeColor="text1"/>
                <w:sz w:val="24"/>
                <w:szCs w:val="24"/>
                <w:lang w:val="de-DE"/>
              </w:rPr>
              <w:t>SO</w:t>
            </w:r>
            <w:r>
              <w:rPr>
                <w:rFonts w:ascii="Times New Roman" w:eastAsia="Calibri" w:hAnsi="Times New Roman" w:cs="Times New Roman"/>
                <w:color w:val="000000" w:themeColor="text1"/>
                <w:sz w:val="24"/>
                <w:szCs w:val="24"/>
                <w:vertAlign w:val="subscript"/>
                <w:lang w:val="de-DE"/>
              </w:rPr>
              <w:t xml:space="preserve">4 </w:t>
            </w:r>
            <w:r>
              <w:rPr>
                <w:rFonts w:ascii="Times New Roman" w:eastAsia="Calibri" w:hAnsi="Times New Roman" w:cs="Times New Roman"/>
                <w:color w:val="000000" w:themeColor="text1"/>
                <w:sz w:val="24"/>
                <w:szCs w:val="24"/>
                <w:lang w:val="de-DE"/>
              </w:rPr>
              <w:t>/ 100 / RHE</w:t>
            </w:r>
          </w:p>
          <w:p w:rsidR="00FA2F1C" w:rsidRDefault="00466360">
            <w:pPr>
              <w:spacing w:after="0" w:line="480" w:lineRule="auto"/>
              <w:rPr>
                <w:rFonts w:ascii="Times New Roman" w:eastAsia="Calibri" w:hAnsi="Times New Roman" w:cs="Times New Roman"/>
                <w:color w:val="000000" w:themeColor="text1"/>
                <w:sz w:val="24"/>
                <w:szCs w:val="24"/>
                <w:lang w:val="de-DE"/>
              </w:rPr>
            </w:pPr>
            <w:r>
              <w:rPr>
                <w:rFonts w:ascii="Times New Roman" w:eastAsia="Calibri" w:hAnsi="Times New Roman" w:cs="Times New Roman"/>
                <w:color w:val="000000" w:themeColor="text1"/>
                <w:sz w:val="24"/>
                <w:szCs w:val="24"/>
                <w:lang w:val="de-DE"/>
              </w:rPr>
              <w:t>0.5 M H</w:t>
            </w:r>
            <w:r>
              <w:rPr>
                <w:rFonts w:ascii="Times New Roman" w:eastAsia="Calibri" w:hAnsi="Times New Roman" w:cs="Times New Roman"/>
                <w:color w:val="000000" w:themeColor="text1"/>
                <w:sz w:val="24"/>
                <w:szCs w:val="24"/>
                <w:vertAlign w:val="subscript"/>
                <w:lang w:val="de-DE"/>
              </w:rPr>
              <w:t>2</w:t>
            </w:r>
            <w:r>
              <w:rPr>
                <w:rFonts w:ascii="Times New Roman" w:eastAsia="Calibri" w:hAnsi="Times New Roman" w:cs="Times New Roman"/>
                <w:color w:val="000000" w:themeColor="text1"/>
                <w:sz w:val="24"/>
                <w:szCs w:val="24"/>
                <w:lang w:val="de-DE"/>
              </w:rPr>
              <w:t>SO</w:t>
            </w:r>
            <w:r>
              <w:rPr>
                <w:rFonts w:ascii="Times New Roman" w:eastAsia="Calibri" w:hAnsi="Times New Roman" w:cs="Times New Roman"/>
                <w:color w:val="000000" w:themeColor="text1"/>
                <w:sz w:val="24"/>
                <w:szCs w:val="24"/>
                <w:vertAlign w:val="subscript"/>
                <w:lang w:val="de-DE"/>
              </w:rPr>
              <w:t>4</w:t>
            </w:r>
            <w:r>
              <w:rPr>
                <w:rFonts w:ascii="Times New Roman" w:eastAsia="Calibri" w:hAnsi="Times New Roman" w:cs="Times New Roman"/>
                <w:color w:val="000000" w:themeColor="text1"/>
                <w:sz w:val="24"/>
                <w:szCs w:val="24"/>
                <w:lang w:val="de-DE"/>
              </w:rPr>
              <w:t xml:space="preserve"> / 20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0.025 / 0.50 </w:t>
            </w:r>
          </w:p>
          <w:p w:rsidR="00FA2F1C" w:rsidRDefault="00466360">
            <w:pPr>
              <w:spacing w:after="0" w:line="480" w:lineRule="auto"/>
              <w:rPr>
                <w:rFonts w:ascii="Times New Roman" w:eastAsia="Calibri" w:hAnsi="Times New Roman" w:cs="Times New Roman"/>
                <w:color w:val="000000" w:themeColor="text1"/>
                <w:sz w:val="24"/>
                <w:szCs w:val="24"/>
                <w:vertAlign w:val="superscript"/>
              </w:rPr>
            </w:pPr>
            <w:r>
              <w:rPr>
                <w:rFonts w:ascii="Times New Roman" w:eastAsia="Calibri" w:hAnsi="Times New Roman" w:cs="Times New Roman"/>
                <w:color w:val="000000" w:themeColor="text1"/>
                <w:sz w:val="24"/>
                <w:szCs w:val="24"/>
              </w:rPr>
              <w:t>0.500 / 0.75</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&lt;EndNote&gt;&lt;Cite&gt;&lt;Author&gt;Ueda&lt;/Author&gt;&lt;Year&gt;2003&lt;/Year&gt;&lt;RecNum&gt;1&lt;/RecNum&gt;&lt;DisplayText&gt;[1]&lt;/DisplayText&gt;&lt;record&gt;&lt;rec-number&gt;1&lt;/rec-number&gt;&lt;foreign-keys&gt;&lt;key app="EN" db-id="veaxe22ar2prsbe9d5exz02iwft90afw2s2t" timestamp="1680607806"&gt;1&lt;/key&gt;&lt;/foreign-keys&gt;&lt;ref-type name="Journal Article"&gt;17&lt;/ref-type&gt;&lt;contributors&gt;&lt;authors&gt;&lt;author&gt;Ueda, Atsushi&lt;/author&gt;&lt;author&gt;Yamada, Yusuke&lt;/author&gt;&lt;author&gt;Ioroi, Tsutomu&lt;/author&gt;&lt;author&gt;Fujiwara, Naoko&lt;/author&gt;&lt;author&gt;Yasuda, Kazuaki&lt;/author&gt;&lt;author&gt;Miyazaki, Yoshinori&lt;/author&gt;&lt;author&gt;Kobayashi, Tetsuhiko&lt;/author&gt;&lt;/authors&gt;&lt;/contributors&gt;&lt;titles&gt;&lt;title&gt;Electrochemical oxidation of CO in sulfuric acid solution over Pt and PtRu catalysts modified with TaOx and NbOx&lt;/title&gt;&lt;secondary-title&gt;Catalysis today&lt;/secondary-title&gt;&lt;/titles&gt;&lt;periodical&gt;&lt;full-title&gt;Catalysis today&lt;/full-title&gt;&lt;/periodical&gt;&lt;pages&gt;223-229&lt;/pages&gt;&lt;volume&gt;84&lt;/volume&gt;&lt;number&gt;3-4&lt;/number&gt;&lt;dates&gt;&lt;year&gt;2003&lt;/year&gt;&lt;/dates&gt;&lt;isbn&gt;0920-5861&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Well-ordered </w:t>
            </w:r>
            <w:proofErr w:type="gramStart"/>
            <w:r>
              <w:rPr>
                <w:rFonts w:ascii="Times New Roman" w:eastAsia="Calibri" w:hAnsi="Times New Roman" w:cs="Times New Roman"/>
                <w:color w:val="000000" w:themeColor="text1"/>
                <w:sz w:val="24"/>
                <w:szCs w:val="24"/>
              </w:rPr>
              <w:t>Pt{</w:t>
            </w:r>
            <w:proofErr w:type="gramEnd"/>
            <w:r>
              <w:rPr>
                <w:rFonts w:ascii="Times New Roman" w:eastAsia="Calibri" w:hAnsi="Times New Roman" w:cs="Times New Roman"/>
                <w:color w:val="000000" w:themeColor="text1"/>
                <w:sz w:val="24"/>
                <w:szCs w:val="24"/>
              </w:rPr>
              <w:t>111}</w:t>
            </w: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 M NaOH / 50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0.500 / 0.80 </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&lt;EndNote&gt;&lt;Cite&gt;&lt;Author&gt;Spendelow&lt;/Author&gt;&lt;Year&gt;2006&lt;/Year&gt;&lt;RecNum&gt;3&lt;/RecNum&gt;&lt;DisplayText&gt;[2]&lt;/DisplayText&gt;&lt;record&gt;&lt;rec-number&gt;2&lt;/rec-number&gt;&lt;foreign-keys&gt;&lt;key app="EN" db-id="veaxe22ar2prsbe9d5exz02iwft90afw2s2t" timestamp="1680607806"&gt;2&lt;/key&gt;&lt;/foreign-keys&gt;&lt;ref-type name="Journal Article"&gt;17&lt;/ref-type&gt;&lt;contributors&gt;&lt;authors&gt;&lt;author&gt;Spendelow, JS&lt;/author&gt;&lt;author&gt;Goodpaster, JD&lt;/author&gt;&lt;author&gt;Kenis, PJA&lt;/author&gt;&lt;author&gt;Wieckowski, A %J The Journal of Physical Chemistry B&lt;/author&gt;&lt;/authors&gt;&lt;/contributors&gt;&lt;titles&gt;&lt;title&gt;Mechanism of CO oxidation on Pt (111) in alkaline media&lt;/title&gt;&lt;/titles&gt;&lt;pages&gt;9545-9555&lt;/pages&gt;&lt;volume&gt;110&lt;/volume&gt;&lt;number&gt;19&lt;/number&gt;&lt;dates&gt;&lt;year&gt;2006&lt;/year&gt;&lt;/dates&gt;&lt;isbn&gt;1520-6106&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[2]</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lastRenderedPageBreak/>
              <w:t>PtRu</w:t>
            </w:r>
            <w:proofErr w:type="spellEnd"/>
            <w:r>
              <w:rPr>
                <w:rFonts w:ascii="Times New Roman" w:eastAsia="Calibri" w:hAnsi="Times New Roman" w:cs="Times New Roman"/>
                <w:color w:val="000000" w:themeColor="text1"/>
                <w:sz w:val="24"/>
                <w:szCs w:val="24"/>
              </w:rPr>
              <w:t xml:space="preserve"> (1:1)</w:t>
            </w: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 0.1 M HClO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0.120 / 0.25</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&lt;EndNote&gt;&lt;Cite&gt;&lt;Author&gt;Du&lt;/Author&gt;&lt;Year&gt;2009&lt;/Year&gt;&lt;RecNum&gt;4&lt;/RecNum&gt;&lt;DisplayText&gt;[3]&lt;/DisplayText&gt;&lt;record&gt;&lt;rec-number&gt;3&lt;/rec-number&gt;&lt;foreign-keys&gt;&lt;key app="EN" db-id="veaxe22ar2prsbe9d5exz02iwft90afw2s2t" timestamp="1680607806"&gt;3&lt;/key&gt;&lt;/foreign-keys&gt;&lt;ref-type name="Journal Article"&gt;17&lt;/ref-type&gt;&lt;contributors&gt;&lt;authors&gt;&lt;author&gt;Du, Bingchen&lt;/author&gt;&lt;author&gt;Rabb, Savelas A&lt;/author&gt;&lt;author&gt;Zangmeister, Christopher&lt;/author&gt;&lt;author&gt;Tong, YuYe&lt;/author&gt;&lt;/authors&gt;&lt;/contributors&gt;&lt;titles&gt;&lt;title&gt;A volcano curve: optimizing methanol electro-oxidation on Pt-decorated Ru nanoparticles&lt;/title&gt;&lt;secondary-title&gt;Physical Chemistry Chemical Physics&lt;/secondary-title&gt;&lt;/titles&gt;&lt;periodical&gt;&lt;full-title&gt;Physical Chemistry Chemical Physics&lt;/full-title&gt;&lt;/periodical&gt;&lt;pages&gt;8231-8239&lt;/pages&gt;&lt;volume&gt;11&lt;/volume&gt;&lt;number&gt;37&lt;/number&gt;&lt;dates&gt;&lt;year&gt;2009&lt;/year&gt;&lt;/dates&gt;&lt;urls&gt;&lt;/urls&gt;&lt;/record&gt;&lt;/Cite&gt;&lt;/EndNote&gt;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[3]</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Pt/</w:t>
            </w:r>
            <w:proofErr w:type="spellStart"/>
            <w:r>
              <w:rPr>
                <w:rFonts w:ascii="Times New Roman" w:eastAsia="Calibri" w:hAnsi="Times New Roman" w:cs="Times New Roman"/>
                <w:color w:val="000000" w:themeColor="text1"/>
                <w:sz w:val="24"/>
                <w:szCs w:val="24"/>
              </w:rPr>
              <w:t>SnO</w:t>
            </w:r>
            <w:r>
              <w:rPr>
                <w:rFonts w:ascii="Times New Roman" w:eastAsia="Calibri" w:hAnsi="Times New Roman" w:cs="Times New Roman"/>
                <w:color w:val="000000" w:themeColor="text1"/>
                <w:sz w:val="24"/>
                <w:szCs w:val="24"/>
                <w:vertAlign w:val="subscript"/>
              </w:rPr>
              <w:t>x</w:t>
            </w:r>
            <w:proofErr w:type="spellEnd"/>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1.0 M HClO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 20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0.870 / 0.70 </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&lt;EndNote&gt;&lt;Cite&gt;&lt;Author&gt;Matsui&lt;/Author&gt;&lt;Year&gt;2006&lt;/Year&gt;&lt;RecNum&gt;5&lt;/RecNum&gt;&lt;DisplayText&gt;[4]&lt;/DisplayText&gt;&lt;record&gt;&lt;rec-number&gt;4&lt;/rec-number&gt;&lt;foreign-keys&gt;&lt;key app="EN" db-id="veaxe22ar2prsbe9d5exz02iwft90afw2s2t" timestamp="1680607806"&gt;4&lt;/key&gt;&lt;/foreign-keys&gt;&lt;ref-type name="Journal Article"&gt;17&lt;/ref-type&gt;&lt;contributors&gt;&lt;authors&gt;&lt;author&gt;Matsui, Toshiaki&lt;/author&gt;&lt;author&gt;Fujiwara, Katsuhiko&lt;/author&gt;&lt;author&gt;Okanishi, Takeoh&lt;/author&gt;&lt;author&gt;Kikuchi, Ryuji&lt;/author&gt;&lt;author&gt;Takeguchi, Tatsuya&lt;/author&gt;&lt;author&gt;Eguchi, Koichi %J Journal of power sources&lt;/author&gt;&lt;/authors&gt;&lt;/contributors&gt;&lt;titles&gt;&lt;title&gt;Electrochemical oxidation of CO over tin oxide supported platinum catalysts&lt;/title&gt;&lt;/titles&gt;&lt;pages&gt;152-156&lt;/pages&gt;&lt;volume&gt;155&lt;/volume&gt;&lt;number&gt;2&lt;/number&gt;&lt;dates&gt;&lt;year&gt;2006&lt;/year&gt;&lt;/dates&gt;&lt;isbn&gt;0378-7753&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[4]</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gramStart"/>
            <w:r>
              <w:rPr>
                <w:rFonts w:ascii="Times New Roman" w:eastAsia="Calibri" w:hAnsi="Times New Roman" w:cs="Times New Roman"/>
                <w:color w:val="000000" w:themeColor="text1"/>
                <w:sz w:val="24"/>
                <w:szCs w:val="24"/>
              </w:rPr>
              <w:t>Pt(</w:t>
            </w:r>
            <w:proofErr w:type="gramEnd"/>
            <w:r>
              <w:rPr>
                <w:rFonts w:ascii="Times New Roman" w:eastAsia="Calibri" w:hAnsi="Times New Roman" w:cs="Times New Roman"/>
                <w:color w:val="000000" w:themeColor="text1"/>
                <w:sz w:val="24"/>
                <w:szCs w:val="24"/>
              </w:rPr>
              <w:t>FAM)</w:t>
            </w: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 M H</w:t>
            </w:r>
            <w:r>
              <w:rPr>
                <w:rFonts w:ascii="Times New Roman" w:eastAsia="Calibri" w:hAnsi="Times New Roman" w:cs="Times New Roman"/>
                <w:color w:val="000000" w:themeColor="text1"/>
                <w:sz w:val="24"/>
                <w:szCs w:val="24"/>
                <w:vertAlign w:val="subscript"/>
              </w:rPr>
              <w:t>2</w:t>
            </w:r>
            <w:r>
              <w:rPr>
                <w:rFonts w:ascii="Times New Roman" w:eastAsia="Calibri" w:hAnsi="Times New Roman" w:cs="Times New Roman"/>
                <w:color w:val="000000" w:themeColor="text1"/>
                <w:sz w:val="24"/>
                <w:szCs w:val="24"/>
              </w:rPr>
              <w:t>SO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 50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0.320 / 0.72 </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&lt;EndNote&gt;&lt;Cite&gt;&lt;Author&gt;Ciapina&lt;/Author&gt;&lt;Year&gt;2010&lt;/Year&gt;&lt;RecNum&gt;6&lt;/RecNum&gt;&lt;DisplayText&gt;[5]&lt;/DisplayText&gt;&lt;record&gt;&lt;rec-number&gt;5&lt;/rec-number&gt;&lt;foreign-keys&gt;&lt;key app="EN" db-id="veaxe22ar2prsbe9d5exz02iwft90afw2s2t" timestamp="1680607806"&gt;5&lt;/key&gt;&lt;/foreign-keys&gt;&lt;ref-type name="Journal Article"&gt;17&lt;/ref-type&gt;&lt;contributors&gt;&lt;authors&gt;&lt;author&gt;Ciapina, Eduardo G&lt;/author&gt;&lt;author&gt;Santos, Sydney F&lt;/author&gt;&lt;author&gt;Gonzalez, Ernesto R %J Journal of Electroanalytical Chemistry&lt;/author&gt;&lt;/authors&gt;&lt;/contributors&gt;&lt;titles&gt;&lt;title&gt;The electrooxidation of carbon monoxide on unsupported Pt agglomerates&lt;/title&gt;&lt;/titles&gt;&lt;pages&gt;132-143&lt;/pages&gt;&lt;volume&gt;644&lt;/volume&gt;&lt;number&gt;2&lt;/number&gt;&lt;dates&gt;&lt;year&gt;2010&lt;/year&gt;&lt;/dates&gt;&lt;isbn&gt;1572-6657&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[5]</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Pt DEN</w:t>
            </w:r>
          </w:p>
        </w:tc>
        <w:tc>
          <w:tcPr>
            <w:tcW w:w="3510" w:type="dxa"/>
          </w:tcPr>
          <w:p w:rsidR="00FA2F1C" w:rsidRDefault="00466360">
            <w:pPr>
              <w:numPr>
                <w:ilvl w:val="1"/>
                <w:numId w:val="1"/>
              </w:numPr>
              <w:spacing w:after="0" w:line="480" w:lineRule="auto"/>
              <w:contextualSpacing/>
              <w:rPr>
                <w:rFonts w:ascii="Times New Roman" w:eastAsia="Calibri" w:hAnsi="Times New Roman" w:cs="Times New Roman"/>
                <w:color w:val="000000" w:themeColor="text1"/>
                <w:sz w:val="24"/>
                <w:szCs w:val="24"/>
                <w:lang w:val="en-ZA"/>
              </w:rPr>
            </w:pPr>
            <w:r>
              <w:rPr>
                <w:rFonts w:ascii="Times New Roman" w:eastAsia="Calibri" w:hAnsi="Times New Roman" w:cs="Times New Roman"/>
                <w:color w:val="000000" w:themeColor="text1"/>
                <w:sz w:val="24"/>
                <w:szCs w:val="24"/>
                <w:lang w:val="en-ZA"/>
              </w:rPr>
              <w:t>M HClO</w:t>
            </w:r>
            <w:r>
              <w:rPr>
                <w:rFonts w:ascii="Times New Roman" w:eastAsia="Calibri" w:hAnsi="Times New Roman" w:cs="Times New Roman"/>
                <w:color w:val="000000" w:themeColor="text1"/>
                <w:sz w:val="24"/>
                <w:szCs w:val="24"/>
                <w:vertAlign w:val="subscript"/>
                <w:lang w:val="en-ZA"/>
              </w:rPr>
              <w:t>4</w:t>
            </w:r>
            <w:r>
              <w:rPr>
                <w:rFonts w:ascii="Times New Roman" w:eastAsia="Calibri" w:hAnsi="Times New Roman" w:cs="Times New Roman"/>
                <w:color w:val="000000" w:themeColor="text1"/>
                <w:sz w:val="24"/>
                <w:szCs w:val="24"/>
                <w:lang w:val="en-ZA"/>
              </w:rPr>
              <w:t xml:space="preserve"> / 50 / Hg/Hg</w:t>
            </w:r>
            <w:r>
              <w:rPr>
                <w:rFonts w:ascii="Times New Roman" w:eastAsia="Calibri" w:hAnsi="Times New Roman" w:cs="Times New Roman"/>
                <w:color w:val="000000" w:themeColor="text1"/>
                <w:sz w:val="24"/>
                <w:szCs w:val="24"/>
                <w:vertAlign w:val="subscript"/>
                <w:lang w:val="en-ZA"/>
              </w:rPr>
              <w:t>2</w:t>
            </w:r>
            <w:r>
              <w:rPr>
                <w:rFonts w:ascii="Times New Roman" w:eastAsia="Calibri" w:hAnsi="Times New Roman" w:cs="Times New Roman"/>
                <w:color w:val="000000" w:themeColor="text1"/>
                <w:sz w:val="24"/>
                <w:szCs w:val="24"/>
                <w:lang w:val="en-ZA"/>
              </w:rPr>
              <w:t>SO</w:t>
            </w:r>
            <w:r>
              <w:rPr>
                <w:rFonts w:ascii="Times New Roman" w:eastAsia="Calibri" w:hAnsi="Times New Roman" w:cs="Times New Roman"/>
                <w:color w:val="000000" w:themeColor="text1"/>
                <w:sz w:val="24"/>
                <w:szCs w:val="24"/>
                <w:vertAlign w:val="subscript"/>
                <w:lang w:val="en-ZA"/>
              </w:rPr>
              <w:t>4</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0.200 / 0.30</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&lt;EndNote&gt;&lt;Cite&gt;&lt;Author&gt;Weir&lt;/Author&gt;&lt;Year&gt;2010&lt;/Year&gt;&lt;RecNum&gt;7&lt;/RecNum&gt;&lt;DisplayText&gt;[6]&lt;/DisplayText&gt;&lt;record&gt;&lt;rec-number&gt;6&lt;/rec-number&gt;&lt;foreign-keys&gt;&lt;key app="EN" db-id="veaxe22ar2prsbe9d5exz02iwft90afw2s2t" timestamp="1680607806"&gt;6&lt;/key&gt;&lt;/foreign-keys&gt;&lt;ref-type name="Journal Article"&gt;17&lt;/ref-type&gt;&lt;contributors&gt;&lt;authors&gt;&lt;author&gt;Weir, Michael G&lt;/author&gt;&lt;author&gt;Myers, V Sue&lt;/author&gt;&lt;author&gt;Frenkel, Anatoly I&lt;/author&gt;&lt;author&gt;Crooks, Richard M %J ChemPhysChem&lt;/author&gt;&lt;/authors&gt;&lt;/contributors&gt;&lt;titles&gt;&lt;title&gt;In situ X‐ray absorption analysis of</w:instrText>
            </w:r>
            <w:r>
              <w:rPr>
                <w:rFonts w:ascii="Cambria Math" w:eastAsia="Calibri" w:hAnsi="Cambria Math" w:cs="Cambria Math"/>
                <w:color w:val="000000" w:themeColor="text1"/>
                <w:sz w:val="24"/>
                <w:szCs w:val="24"/>
              </w:rPr>
              <w:instrText>∼</w:instrText>
            </w:r>
            <w:r>
              <w:rPr>
                <w:rFonts w:ascii="Times New Roman" w:eastAsia="Calibri" w:hAnsi="Times New Roman" w:cs="Times New Roman"/>
                <w:color w:val="000000" w:themeColor="text1"/>
                <w:sz w:val="24"/>
                <w:szCs w:val="24"/>
              </w:rPr>
              <w:instrText xml:space="preserve"> 1.8 nm dendrimer‐encapsulated Pt nanoparticles during electrochemical CO oxidation&lt;/title&gt;&lt;/titles&gt;&lt;pages&gt;2942-2950&lt;/pages&gt;&lt;volume&gt;11&lt;/volume&gt;&lt;number&gt;13&lt;/number&gt;&lt;dates&gt;&lt;year&gt;2010&lt;/year&gt;&lt;/dates&gt;&lt;isbn&gt;1439-4235&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[6]</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Polycrystalline Pd </w:t>
            </w: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0.5 M H</w:t>
            </w:r>
            <w:r>
              <w:rPr>
                <w:rFonts w:ascii="Times New Roman" w:eastAsia="Calibri" w:hAnsi="Times New Roman" w:cs="Times New Roman"/>
                <w:color w:val="000000" w:themeColor="text1"/>
                <w:sz w:val="24"/>
                <w:szCs w:val="24"/>
                <w:vertAlign w:val="subscript"/>
              </w:rPr>
              <w:t>2</w:t>
            </w:r>
            <w:r>
              <w:rPr>
                <w:rFonts w:ascii="Times New Roman" w:eastAsia="Calibri" w:hAnsi="Times New Roman" w:cs="Times New Roman"/>
                <w:color w:val="000000" w:themeColor="text1"/>
                <w:sz w:val="24"/>
                <w:szCs w:val="24"/>
              </w:rPr>
              <w:t>SO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 20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0.175 / 0.90</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&lt;EndNote&gt;&lt;Cite&gt;&lt;Author&gt;Fang&lt;/Author&gt;&lt;Year&gt;2010&lt;/Year&gt;&lt;RecNum&gt;8&lt;/RecNum&gt;&lt;DisplayText&gt;[7]&lt;/DisplayText&gt;&lt;record&gt;&lt;rec-number&gt;7&lt;/rec-number&gt;&lt;foreign-keys&gt;&lt;key app="EN" db-id="veaxe22ar2prsbe9d5exz02iwft90afw2s2t" timestamp="1680607806"&gt;7&lt;/key&gt;&lt;/foreign-keys&gt;&lt;ref-type name="Journal Article"&gt;17&lt;/ref-type&gt;&lt;contributors&gt;&lt;authors&gt;&lt;author&gt;Fang, Lan-lan&lt;/author&gt;&lt;author&gt;Tao, Qian&lt;/author&gt;&lt;author&gt;Li, Ming-fang&lt;/author&gt;&lt;author&gt;Liao, Ling-wen&lt;/author&gt;&lt;author&gt;Chen, Dong&lt;/author&gt;&lt;author&gt;Chen, Yan-xia&lt;/author&gt;&lt;/authors&gt;&lt;/contributors&gt;&lt;titles&gt;&lt;title&gt;Determination of the real surface area of palladium electrode&lt;/title&gt;&lt;secondary-title&gt;Chinese Journal of Chemical Physics&lt;/secondary-title&gt;&lt;/titles&gt;&lt;periodical&gt;&lt;full-title&gt;Chinese Journal of Chemical Physics&lt;/full-title&gt;&lt;/periodical&gt;&lt;pages&gt;543-548&lt;/pages&gt;&lt;volume&gt;23&lt;/volume&gt;&lt;number&gt;5&lt;/number&gt;&lt;dates&gt;&lt;year&gt;2010&lt;/year&gt;&lt;/dates&gt;&lt;isbn&gt;1674-0068&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[7]</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PdAg</w:t>
            </w:r>
            <w:proofErr w:type="spellEnd"/>
            <w:r>
              <w:rPr>
                <w:rFonts w:ascii="Times New Roman" w:eastAsia="Calibri" w:hAnsi="Times New Roman" w:cs="Times New Roman"/>
                <w:color w:val="000000" w:themeColor="text1"/>
                <w:sz w:val="24"/>
                <w:szCs w:val="24"/>
              </w:rPr>
              <w:t>/C</w:t>
            </w: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0.5 M KOH/ 20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0.944 / 0.60</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&lt;EndNote&gt;&lt;Cite&gt;&lt;Author&gt;Jurzinsky&lt;/Author&gt;&lt;Year&gt;2016&lt;/Year&gt;&lt;RecNum&gt;9&lt;/RecNum&gt;&lt;DisplayText&gt;[8]&lt;/DisplayText&gt;&lt;record&gt;&lt;rec-number&gt;8&lt;/rec-number&gt;&lt;foreign-keys&gt;&lt;key app="EN" db-id="veaxe22ar2prsbe9d5exz02iwft90afw2s2t" timestamp="1680607806"&gt;8&lt;/key&gt;&lt;/foreign-keys&gt;&lt;ref-type name="Journal Article"&gt;17&lt;/ref-type&gt;&lt;contributors&gt;&lt;authors&gt;&lt;author&gt;Jurzinsky, Tilman&lt;/author&gt;&lt;author&gt;Cremers, Carsten&lt;/author&gt;&lt;author&gt;Pinkwart, Karsten&lt;/author&gt;&lt;author&gt;Tübke, Jens&lt;/author&gt;&lt;/authors&gt;&lt;/contributors&gt;&lt;titles&gt;&lt;title&gt;On the influence of Ag on Pd-based electrocatalyst for methanol oxidation in alkaline media: a comparative differential electrochemical mass spectrometry study&lt;/title&gt;&lt;secondary-title&gt;Electrochimica Acta&lt;/secondary-title&gt;&lt;/titles&gt;&lt;periodical&gt;&lt;full-title&gt;Electrochimica Acta&lt;/full-title&gt;&lt;/periodical&gt;&lt;pages&gt;270-279&lt;/pages&gt;&lt;volume&gt;199&lt;/volume&gt;&lt;dates&gt;&lt;year&gt;2016&lt;/year&gt;&lt;/dates&gt;&lt;isbn&gt;0013-4686&lt;/isbn&gt;&lt;urls&gt;&lt;/urls&gt;&lt;/record&gt;&lt;/Cite&gt;&lt;/EndNote&gt;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[8]</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PtPd</w:t>
            </w:r>
            <w:proofErr w:type="spellEnd"/>
            <w:r>
              <w:rPr>
                <w:rFonts w:ascii="Times New Roman" w:eastAsia="Calibri" w:hAnsi="Times New Roman" w:cs="Times New Roman"/>
                <w:color w:val="000000" w:themeColor="text1"/>
                <w:sz w:val="24"/>
                <w:szCs w:val="24"/>
              </w:rPr>
              <w:t xml:space="preserve"> </w:t>
            </w:r>
            <w:proofErr w:type="spellStart"/>
            <w:r>
              <w:rPr>
                <w:rFonts w:ascii="Times New Roman" w:eastAsia="Calibri" w:hAnsi="Times New Roman" w:cs="Times New Roman"/>
                <w:color w:val="000000" w:themeColor="text1"/>
                <w:sz w:val="24"/>
                <w:szCs w:val="24"/>
              </w:rPr>
              <w:t>nanodendrites</w:t>
            </w:r>
            <w:proofErr w:type="spellEnd"/>
          </w:p>
        </w:tc>
        <w:tc>
          <w:tcPr>
            <w:tcW w:w="3510" w:type="dxa"/>
          </w:tcPr>
          <w:p w:rsidR="00FA2F1C" w:rsidRDefault="00466360">
            <w:pPr>
              <w:shd w:val="clear" w:color="auto" w:fill="FFFFFF"/>
              <w:spacing w:after="0" w:line="480" w:lineRule="auto"/>
              <w:textAlignment w:val="baseline"/>
              <w:rPr>
                <w:rFonts w:ascii="Times New Roman" w:eastAsia="Calibri"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1.0 M KOH / 50 </w:t>
            </w:r>
            <w:r>
              <w:rPr>
                <w:rFonts w:ascii="Times New Roman" w:eastAsia="Calibri" w:hAnsi="Times New Roman" w:cs="Times New Roman"/>
                <w:color w:val="000000" w:themeColor="text1"/>
                <w:sz w:val="24"/>
                <w:szCs w:val="24"/>
              </w:rPr>
              <w:t>/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5.100 / -0.15 </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&lt;EndNote&gt;&lt;Cite&gt;&lt;Author&gt;Eid&lt;/Author&gt;&lt;Year&gt;2017&lt;/Year&gt;&lt;RecNum&gt;10&lt;/RecNum&gt;&lt;DisplayText&gt;[9]&lt;/DisplayText&gt;&lt;record&gt;&lt;rec-number&gt;9&lt;/rec-number&gt;&lt;foreign-keys&gt;&lt;key app="EN" db-id="veaxe22ar2prsbe9d5exz02iwft90afw2s2t" timestamp="1680607806"&gt;9&lt;/key&gt;&lt;/foreign-keys&gt;&lt;ref-type name="Journal Article"&gt;17&lt;/ref-type&gt;&lt;contributors&gt;&lt;authors&gt;&lt;author&gt;Eid, Kamel&lt;/author&gt;&lt;author&gt;Ahmad, Yahia H&lt;/author&gt;&lt;author&gt;Yu, Hongjie&lt;/author&gt;&lt;author&gt;Li, Yinghao&lt;/author&gt;&lt;author&gt;Li, Xiaonian&lt;/author&gt;&lt;author&gt;AlQaradawi, Siham Y&lt;/author&gt;&lt;author&gt;Wang, Hongjing&lt;/author&gt;&lt;author&gt;Wang, Liang %J Nanoscale&lt;/author&gt;&lt;/authors&gt;&lt;/contributors&gt;&lt;titles&gt;&lt;title&gt;Rational one-step synthesis of porous PtPdRu nanodendrites for ethanol oxidation reaction with a superior tolerance for CO-poisoning&lt;/title&gt;&lt;/titles&gt;&lt;pages&gt;18881-18889&lt;/pages&gt;&lt;volume&gt;9&lt;/volume&gt;&lt;number&gt;47&lt;/number&gt;&lt;dates&gt;&lt;year&gt;2017&lt;/year&gt;&lt;/dates&gt;&lt;urls&gt;&lt;/urls&gt;&lt;/record&gt;&lt;/Cite&gt;&lt;/EndNote&gt;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[9]</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60 wt. % Pt/C</w:t>
            </w: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0.5 M H</w:t>
            </w:r>
            <w:r>
              <w:rPr>
                <w:rFonts w:ascii="Times New Roman" w:eastAsia="Calibri" w:hAnsi="Times New Roman" w:cs="Times New Roman"/>
                <w:color w:val="000000" w:themeColor="text1"/>
                <w:sz w:val="24"/>
                <w:szCs w:val="24"/>
                <w:vertAlign w:val="subscript"/>
              </w:rPr>
              <w:t>2</w:t>
            </w:r>
            <w:r>
              <w:rPr>
                <w:rFonts w:ascii="Times New Roman" w:eastAsia="Calibri" w:hAnsi="Times New Roman" w:cs="Times New Roman"/>
                <w:color w:val="000000" w:themeColor="text1"/>
                <w:sz w:val="24"/>
                <w:szCs w:val="24"/>
              </w:rPr>
              <w:t>SO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 10 / SHE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0.200 / 0.64 </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&lt;EndNote&gt;&lt;Cite&gt;&lt;Author&gt;McPherson&lt;/Author&gt;&lt;Year&gt;2017&lt;/Year&gt;&lt;RecNum&gt;11&lt;/RecNum&gt;&lt;DisplayText&gt;[10]&lt;/DisplayText&gt;&lt;record&gt;&lt;rec-number&gt;10&lt;/rec-number&gt;&lt;foreign-keys&gt;&lt;key app="EN" db-id="veaxe22ar2prsbe9d5exz02iwft90afw2s2t" timestamp="1680607806"&gt;10&lt;/key&gt;&lt;/foreign-keys&gt;&lt;ref-type name="Journal Article"&gt;17&lt;/ref-type&gt;&lt;contributors&gt;&lt;authors&gt;&lt;author&gt;McPherson, Ian J&lt;/author&gt;&lt;author&gt;Ash, Philip A&lt;/author&gt;&lt;author&gt;Jones, Lewys&lt;/author&gt;&lt;author&gt;Varambhia, Aakash&lt;/author&gt;&lt;author&gt;Jacobs, Robert MJ&lt;/author&gt;&lt;author&gt;Vincent, Kylie A %J The Journal of Physical Chemistry C&lt;/author&gt;&lt;/authors&gt;&lt;/contributors&gt;&lt;titles&gt;&lt;title&gt;Electrochemical CO oxidation at platinum on carbon studied through analysis of anomalous in situ IR spectra&lt;/title&gt;&lt;/titles&gt;&lt;pages&gt;17176-17187&lt;/pages&gt;&lt;volume&gt;121&lt;/volume&gt;&lt;number&gt;32&lt;/number&gt;&lt;dates&gt;&lt;year&gt;2017&lt;/year&gt;&lt;/dates&gt;&lt;isbn&gt;1932-7447&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[10]</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PtRu@h-BN</w:t>
            </w:r>
            <w:proofErr w:type="spellEnd"/>
            <w:r>
              <w:rPr>
                <w:rFonts w:ascii="Times New Roman" w:eastAsia="Calibri" w:hAnsi="Times New Roman" w:cs="Times New Roman"/>
                <w:color w:val="000000" w:themeColor="text1"/>
                <w:sz w:val="24"/>
                <w:szCs w:val="24"/>
              </w:rPr>
              <w:t>/C</w:t>
            </w: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 M H</w:t>
            </w:r>
            <w:r>
              <w:rPr>
                <w:rFonts w:ascii="Times New Roman" w:eastAsia="Calibri" w:hAnsi="Times New Roman" w:cs="Times New Roman"/>
                <w:color w:val="000000" w:themeColor="text1"/>
                <w:sz w:val="24"/>
                <w:szCs w:val="24"/>
                <w:vertAlign w:val="subscript"/>
              </w:rPr>
              <w:t>2</w:t>
            </w:r>
            <w:r>
              <w:rPr>
                <w:rFonts w:ascii="Times New Roman" w:eastAsia="Calibri" w:hAnsi="Times New Roman" w:cs="Times New Roman"/>
                <w:color w:val="000000" w:themeColor="text1"/>
                <w:sz w:val="24"/>
                <w:szCs w:val="24"/>
              </w:rPr>
              <w:t>SO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 20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1.250 / 0.60 </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&lt;EndNote&gt;&lt;Cite&gt;&lt;Author&gt;Sun&lt;/Author&gt;&lt;Year&gt;2018&lt;/Year&gt;&lt;RecNum&gt;12&lt;/RecNum&gt;&lt;DisplayText&gt;[11]&lt;/DisplayText&gt;&lt;record&gt;&lt;rec-number&gt;11&lt;/rec-number&gt;&lt;foreign-keys&gt;&lt;key app="EN" db-id="veaxe22ar2prsbe9d5exz02iwft90afw2s2t" timestamp="1680607806"&gt;11&lt;/key&gt;&lt;/foreign-keys&gt;&lt;ref-type name="Journal Article"&gt;17&lt;/ref-type&gt;&lt;contributors&gt;&lt;authors&gt;&lt;author&gt;Sun, Mengmeng&lt;/author&gt;&lt;author&gt;Lv, Yang&lt;/author&gt;&lt;author&gt;Song, Yujiang&lt;/author&gt;&lt;author&gt;Wu, Hao&lt;/author&gt;&lt;author&gt;Wang, Guoxiong&lt;/author&gt;&lt;author&gt;Zhang, Hong&lt;/author&gt;&lt;author&gt;Chen, Mingshu&lt;/author&gt;&lt;author&gt;Fu, Qiang&lt;/author&gt;&lt;author&gt;Bao, Xinhe %J Applied Surface Science&lt;/author&gt;&lt;/authors&gt;&lt;/contributors&gt;&lt;titles&gt;&lt;title&gt;CO-tolerant PtRu@ h-BN/C core–shell electrocatalysts for proton exchange membrane fuel cells&lt;/title&gt;&lt;/titles&gt;&lt;pages&gt;244-250&lt;/pages&gt;&lt;volume&gt;450&lt;/volume&gt;&lt;dates&gt;&lt;year&gt;2018&lt;/year&gt;&lt;/dates&gt;&lt;isbn&gt;0169-4332&lt;/isbn&gt;&lt;urls&gt;&lt;/urls&gt;&lt;/record&gt;&lt;/Cite&gt;&lt;/EndNote&gt;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[11]</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PtNi</w:t>
            </w:r>
            <w:proofErr w:type="spellEnd"/>
            <w:r>
              <w:rPr>
                <w:rFonts w:ascii="Times New Roman" w:eastAsia="Calibri" w:hAnsi="Times New Roman" w:cs="Times New Roman"/>
                <w:color w:val="000000" w:themeColor="text1"/>
                <w:sz w:val="24"/>
                <w:szCs w:val="24"/>
              </w:rPr>
              <w:t xml:space="preserve"> </w:t>
            </w:r>
            <w:proofErr w:type="spellStart"/>
            <w:r>
              <w:rPr>
                <w:rFonts w:ascii="Times New Roman" w:eastAsia="Calibri" w:hAnsi="Times New Roman" w:cs="Times New Roman"/>
                <w:color w:val="000000" w:themeColor="text1"/>
                <w:sz w:val="24"/>
                <w:szCs w:val="24"/>
              </w:rPr>
              <w:t>multicubes</w:t>
            </w:r>
            <w:proofErr w:type="spellEnd"/>
          </w:p>
        </w:tc>
        <w:tc>
          <w:tcPr>
            <w:tcW w:w="3510" w:type="dxa"/>
          </w:tcPr>
          <w:p w:rsidR="00FA2F1C" w:rsidRDefault="00466360">
            <w:pPr>
              <w:shd w:val="clear" w:color="auto" w:fill="FFFFFF"/>
              <w:spacing w:after="0" w:line="480" w:lineRule="auto"/>
              <w:textAlignment w:val="baseline"/>
              <w:rPr>
                <w:rFonts w:ascii="Times New Roman" w:eastAsia="Calibri"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1.0 M KOH / 50 / </w:t>
            </w:r>
            <w:r>
              <w:rPr>
                <w:rFonts w:ascii="Times New Roman" w:eastAsia="Calibri" w:hAnsi="Times New Roman" w:cs="Times New Roman"/>
                <w:color w:val="000000" w:themeColor="text1"/>
                <w:sz w:val="24"/>
                <w:szCs w:val="24"/>
              </w:rPr>
              <w:t>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0.580 / 0.65 </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&lt;EndNote&gt;&lt;Cite&gt;&lt;Author&gt;Wu&lt;/Author&gt;&lt;Year&gt;2020&lt;/Year&gt;&lt;RecNum&gt;13&lt;/RecNum&gt;&lt;DisplayText&gt;[12]&lt;/DisplayText&gt;&lt;record&gt;&lt;rec-number&gt;12&lt;/rec-number&gt;&lt;foreign-keys&gt;&lt;key app="EN" db-id="veaxe22ar2prsbe9d5exz02iwft90afw2s2t" timestamp="1680607806"&gt;12&lt;/key&gt;&lt;/foreign-keys&gt;&lt;ref-type name="Journal Article"&gt;17&lt;/ref-type&gt;&lt;contributors&gt;&lt;authors&gt;&lt;author&gt;Wu, Fengxia&lt;/author&gt;&lt;author&gt;Eid, Kamel&lt;/author&gt;&lt;author&gt;Abdullah, Aboubakr M&lt;/author&gt;&lt;author&gt;Niu, Wenxin&lt;/author&gt;&lt;author&gt;Wang, Chao&lt;/author&gt;&lt;author&gt;Lan, Yixiang&lt;/author&gt;&lt;author&gt;Elzatahry, Ahmed A&lt;/author&gt;&lt;author&gt;Xu, Guobao %J ACS Applied Materials&lt;/author&gt;&lt;author&gt;Interfaces&lt;/author&gt;&lt;/authors&gt;&lt;/contributors&gt;&lt;titles&gt;&lt;title&gt;Unveiling one-pot template-free fabrication of exquisite multidimensional PtNi multicube nanoarchitectonics for the efficient electrochemical oxidation of ethanol and methanol with a great tolerance for CO&lt;/title&gt;&lt;/titles&gt;&lt;pages&gt;31309-31318&lt;/pages&gt;&lt;volume&gt;12&lt;/volume&gt;&lt;number&gt;28&lt;/number&gt;&lt;dates&gt;&lt;year&gt;2020&lt;/year&gt;&lt;/dates&gt;&lt;isbn&gt;1944-8244&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[12]</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Pt PSS</w:t>
            </w: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0.5 M H</w:t>
            </w:r>
            <w:r>
              <w:rPr>
                <w:rFonts w:ascii="Times New Roman" w:eastAsia="Times New Roman" w:hAnsi="Times New Roman" w:cs="Times New Roman"/>
                <w:color w:val="000000" w:themeColor="text1"/>
                <w:sz w:val="24"/>
                <w:szCs w:val="24"/>
                <w:vertAlign w:val="subscript"/>
              </w:rPr>
              <w:t>2</w:t>
            </w:r>
            <w:r>
              <w:rPr>
                <w:rFonts w:ascii="Times New Roman" w:eastAsia="Times New Roman" w:hAnsi="Times New Roman" w:cs="Times New Roman"/>
                <w:color w:val="000000" w:themeColor="text1"/>
                <w:sz w:val="24"/>
                <w:szCs w:val="24"/>
              </w:rPr>
              <w:t>SO</w:t>
            </w:r>
            <w:r>
              <w:rPr>
                <w:rFonts w:ascii="Times New Roman" w:eastAsia="Times New Roman" w:hAnsi="Times New Roman" w:cs="Times New Roman"/>
                <w:color w:val="000000" w:themeColor="text1"/>
                <w:sz w:val="24"/>
                <w:szCs w:val="24"/>
                <w:vertAlign w:val="subscript"/>
              </w:rPr>
              <w:t>4</w:t>
            </w:r>
            <w:r>
              <w:rPr>
                <w:rFonts w:ascii="Times New Roman" w:eastAsia="Times New Roman" w:hAnsi="Times New Roman" w:cs="Times New Roman"/>
                <w:color w:val="000000" w:themeColor="text1"/>
                <w:sz w:val="24"/>
                <w:szCs w:val="24"/>
              </w:rPr>
              <w:t xml:space="preserve"> / 50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0.300 / 0.80 </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&lt;EndNote&gt;&lt;Cite&gt;&lt;Author&gt;Shen&lt;/Author&gt;&lt;Year&gt;2021&lt;/Year&gt;&lt;RecNum&gt;14&lt;/RecNum&gt;&lt;DisplayText&gt;[13]&lt;/DisplayText&gt;&lt;record&gt;&lt;rec-number&gt;13&lt;/rec-number&gt;&lt;foreign-keys&gt;&lt;key app="EN" db-id="veaxe22ar2prsbe9d5exz02iwft90afw2s2t" timestamp="1680607806"&gt;13&lt;/key&gt;&lt;/foreign-keys&gt;&lt;ref-type name="Journal Article"&gt;17&lt;/ref-type&gt;&lt;contributors&gt;&lt;authors&gt;&lt;author&gt;Shen, Dongyan&lt;/author&gt;&lt;author&gt;Liu, Yong&lt;/author&gt;&lt;author&gt;Yang, Guangxing&lt;/author&gt;&lt;author&gt;Yu, Hao&lt;/author&gt;&lt;author&gt;Liu, Peng-Fei&lt;/author&gt;&lt;author&gt;Peng, Feng&lt;/author&gt;&lt;/authors&gt;&lt;/contributors&gt;&lt;titles&gt;&lt;title&gt;Surface-structure sensitive chemical diffusivity and reactivity of CO adsorbates on noble metal electrocatalysts&lt;/title&gt;&lt;secondary-title&gt;Applied Catalysis B: Environmental&lt;/secondary-title&gt;&lt;/titles&gt;&lt;periodical&gt;&lt;full-title&gt;Applied Catalysis B: Environmental&lt;/full-title&gt;&lt;/periodical&gt;&lt;pages&gt;119522&lt;/pages&gt;&lt;volume&gt;281&lt;/volume&gt;&lt;dates&gt;&lt;year&gt;2021&lt;/year&gt;&lt;/dates&gt;&lt;isbn&gt;0926-3373&lt;/isbn&gt;&lt;urls&gt;&lt;/urls&gt;&lt;/record&gt;&lt;/Cite&gt;&lt;/EndNote&gt;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[13]</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proofErr w:type="gramStart"/>
            <w:r>
              <w:rPr>
                <w:rFonts w:ascii="Times New Roman" w:eastAsia="Calibri" w:hAnsi="Times New Roman" w:cs="Times New Roman"/>
                <w:color w:val="000000" w:themeColor="text1"/>
                <w:sz w:val="24"/>
                <w:szCs w:val="24"/>
              </w:rPr>
              <w:t>PtPd</w:t>
            </w:r>
            <w:proofErr w:type="spellEnd"/>
            <w:r>
              <w:rPr>
                <w:rFonts w:ascii="Times New Roman" w:eastAsia="Calibri" w:hAnsi="Times New Roman" w:cs="Times New Roman"/>
                <w:color w:val="000000" w:themeColor="text1"/>
                <w:sz w:val="24"/>
                <w:szCs w:val="24"/>
              </w:rPr>
              <w:t>(</w:t>
            </w:r>
            <w:proofErr w:type="gramEnd"/>
            <w:r>
              <w:rPr>
                <w:rFonts w:ascii="Times New Roman" w:eastAsia="Calibri" w:hAnsi="Times New Roman" w:cs="Times New Roman"/>
                <w:color w:val="000000" w:themeColor="text1"/>
                <w:sz w:val="24"/>
                <w:szCs w:val="24"/>
              </w:rPr>
              <w:t xml:space="preserve">50%) </w:t>
            </w:r>
            <w:proofErr w:type="spellStart"/>
            <w:r>
              <w:rPr>
                <w:rFonts w:ascii="Times New Roman" w:eastAsia="Calibri" w:hAnsi="Times New Roman" w:cs="Times New Roman"/>
                <w:color w:val="000000" w:themeColor="text1"/>
                <w:sz w:val="24"/>
                <w:szCs w:val="24"/>
              </w:rPr>
              <w:t>nanodendrites</w:t>
            </w:r>
            <w:proofErr w:type="spellEnd"/>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0.5 M H</w:t>
            </w:r>
            <w:r>
              <w:rPr>
                <w:rFonts w:ascii="Times New Roman" w:eastAsia="Times New Roman" w:hAnsi="Times New Roman" w:cs="Times New Roman"/>
                <w:color w:val="000000" w:themeColor="text1"/>
                <w:sz w:val="24"/>
                <w:szCs w:val="24"/>
                <w:vertAlign w:val="subscript"/>
              </w:rPr>
              <w:t>2</w:t>
            </w:r>
            <w:r>
              <w:rPr>
                <w:rFonts w:ascii="Times New Roman" w:eastAsia="Times New Roman" w:hAnsi="Times New Roman" w:cs="Times New Roman"/>
                <w:color w:val="000000" w:themeColor="text1"/>
                <w:sz w:val="24"/>
                <w:szCs w:val="24"/>
              </w:rPr>
              <w:t>SO</w:t>
            </w:r>
            <w:r>
              <w:rPr>
                <w:rFonts w:ascii="Times New Roman" w:eastAsia="Times New Roman" w:hAnsi="Times New Roman" w:cs="Times New Roman"/>
                <w:color w:val="000000" w:themeColor="text1"/>
                <w:sz w:val="24"/>
                <w:szCs w:val="24"/>
                <w:vertAlign w:val="subscript"/>
              </w:rPr>
              <w:t>4</w:t>
            </w:r>
            <w:r>
              <w:rPr>
                <w:rFonts w:ascii="Times New Roman" w:eastAsia="Times New Roman" w:hAnsi="Times New Roman" w:cs="Times New Roman"/>
                <w:color w:val="000000" w:themeColor="text1"/>
                <w:sz w:val="24"/>
                <w:szCs w:val="24"/>
              </w:rPr>
              <w:t xml:space="preserve"> / 20 / SCE </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⁓3.000 / ⁓0.60</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&lt;EndNote&gt;&lt;Cite&gt;&lt;Author&gt;Asmussen&lt;/Author&gt;&lt;Year&gt;2013&lt;/Year&gt;&lt;RecNum&gt;295&lt;/RecNum&gt;&lt;DisplayText&gt;[14]&lt;/DisplayText&gt;&lt;record&gt;&lt;rec-number&gt;14&lt;/rec-number&gt;&lt;foreign-keys&gt;&lt;key app="EN" db-id="veaxe22ar2prsbe9d5exz02iwft90afw2s2t" timestamp="1680607806"&gt;14&lt;/key&gt;&lt;/foreign-keys&gt;&lt;ref-type name="Journal Article"&gt;17&lt;/ref-type&gt;&lt;contributors&gt;&lt;authors&gt;&lt;author&gt;Asmussen, R Matthew&lt;/author&gt;&lt;author&gt;Adams, Brian D&lt;/author&gt;&lt;author&gt;Chen, Shuai&lt;/author&gt;&lt;author&gt;Shah, Badal&lt;/author&gt;&lt;author&gt;Chen, Aicheng&lt;/author&gt;&lt;/authors&gt;&lt;/contributors&gt;&lt;titles&gt;&lt;title&gt;Synthesis and electrochemical study of PtPd nanodendrites&lt;/title&gt;&lt;secondary-title&gt;Journal of Electroanalytical Chemistry&lt;/secondary-title&gt;&lt;/titles&gt;&lt;periodical&gt;&lt;full-title&gt;Journal of Electroanalytical Chemistry&lt;/full-title&gt;&lt;/periodical&gt;&lt;pages&gt;151-157&lt;/pages&gt;&lt;volume&gt;688&lt;/volume&gt;&lt;dates&gt;&lt;year&gt;2013&lt;/year&gt;&lt;/dates&gt;&lt;isbn&gt;1572-6657&lt;/isbn&gt;&lt;urls&gt;&lt;/urls&gt;&lt;/record&gt;&lt;/Cite&gt;&lt;/EndNote&gt;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[14]</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Pd/CMK-3-R8-1500-10</w:t>
            </w: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0.5 M H</w:t>
            </w:r>
            <w:r>
              <w:rPr>
                <w:rFonts w:ascii="Times New Roman" w:eastAsia="Times New Roman" w:hAnsi="Times New Roman" w:cs="Times New Roman"/>
                <w:color w:val="000000" w:themeColor="text1"/>
                <w:sz w:val="24"/>
                <w:szCs w:val="24"/>
                <w:vertAlign w:val="subscript"/>
              </w:rPr>
              <w:t>2</w:t>
            </w:r>
            <w:r>
              <w:rPr>
                <w:rFonts w:ascii="Times New Roman" w:eastAsia="Times New Roman" w:hAnsi="Times New Roman" w:cs="Times New Roman"/>
                <w:color w:val="000000" w:themeColor="text1"/>
                <w:sz w:val="24"/>
                <w:szCs w:val="24"/>
              </w:rPr>
              <w:t>SO</w:t>
            </w:r>
            <w:r>
              <w:rPr>
                <w:rFonts w:ascii="Times New Roman" w:eastAsia="Times New Roman" w:hAnsi="Times New Roman" w:cs="Times New Roman"/>
                <w:color w:val="000000" w:themeColor="text1"/>
                <w:sz w:val="24"/>
                <w:szCs w:val="24"/>
                <w:vertAlign w:val="subscript"/>
              </w:rPr>
              <w:t>4</w:t>
            </w:r>
            <w:r>
              <w:rPr>
                <w:rFonts w:ascii="Times New Roman" w:eastAsia="Times New Roman" w:hAnsi="Times New Roman" w:cs="Times New Roman"/>
                <w:color w:val="000000" w:themeColor="text1"/>
                <w:sz w:val="24"/>
                <w:szCs w:val="24"/>
              </w:rPr>
              <w:t xml:space="preserve"> / 20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0.145 / ⁓ 0.90</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&lt;EndNote&gt;&lt;Cite&gt;&lt;Author&gt;Celorrio&lt;/Author&gt;&lt;Year&gt;2016&lt;/Year&gt;&lt;RecNum&gt;294&lt;/RecNum&gt;&lt;DisplayText&gt;[15]&lt;/DisplayText&gt;&lt;record&gt;&lt;rec-number&gt;15&lt;/rec-number&gt;&lt;foreign-keys&gt;&lt;key app="EN" db-id="veaxe22ar2prsbe9d5exz02iwft90afw2s2t" timestamp="1680607806"&gt;15&lt;/key&gt;&lt;/foreign-keys&gt;&lt;ref-type name="Journal Article"&gt;17&lt;/ref-type&gt;&lt;contributors&gt;&lt;authors&gt;&lt;author&gt;Celorrio, Veronica&lt;/author&gt;&lt;author&gt;Sebastián, David&lt;/author&gt;&lt;author&gt;Calvillo, Laura&lt;/author&gt;&lt;author&gt;García, AB&lt;/author&gt;&lt;author&gt;Fermin, David J&lt;/author&gt;&lt;author&gt;Lázaro, MJ&lt;/author&gt;&lt;/authors&gt;&lt;/contributors&gt;&lt;titles&gt;&lt;title&gt;Influence of thermal treatments on the stability of Pd nanoparticles supported on graphitised ordered mesoporous carbons&lt;/title&gt;&lt;secondary-title&gt;international journal of hydrogen energy&lt;/secondary-title&gt;&lt;/titles&gt;&lt;periodical&gt;&lt;full-title&gt;international journal of hydrogen energy&lt;/full-title&gt;&lt;/periodical&gt;&lt;pages&gt;19570-19578&lt;/pages&gt;&lt;volume&gt;41&lt;/volume&gt;&lt;number&gt;43&lt;/number&gt;&lt;dates&gt;&lt;year&gt;2016&lt;/year&gt;&lt;/dates&gt;&lt;isbn&gt;0360-3199&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[15]</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w:t>
            </w:r>
            <w:proofErr w:type="gramStart"/>
            <w:r>
              <w:rPr>
                <w:rFonts w:ascii="Times New Roman" w:eastAsia="Calibri" w:hAnsi="Times New Roman" w:cs="Times New Roman"/>
                <w:color w:val="000000" w:themeColor="text1"/>
                <w:sz w:val="24"/>
                <w:szCs w:val="24"/>
              </w:rPr>
              <w:t>Pd(</w:t>
            </w:r>
            <w:proofErr w:type="gramEnd"/>
            <w:r>
              <w:rPr>
                <w:rFonts w:ascii="Times New Roman" w:eastAsia="Calibri" w:hAnsi="Times New Roman" w:cs="Times New Roman"/>
                <w:color w:val="000000" w:themeColor="text1"/>
                <w:sz w:val="24"/>
                <w:szCs w:val="24"/>
              </w:rPr>
              <w:t>4:1)/C</w:t>
            </w: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1.0 M KOH / 50 / Hg/</w:t>
            </w:r>
            <w:proofErr w:type="spellStart"/>
            <w:r>
              <w:rPr>
                <w:rFonts w:ascii="Times New Roman" w:eastAsia="Times New Roman" w:hAnsi="Times New Roman" w:cs="Times New Roman"/>
                <w:color w:val="000000" w:themeColor="text1"/>
                <w:sz w:val="24"/>
                <w:szCs w:val="24"/>
              </w:rPr>
              <w:t>HgO</w:t>
            </w:r>
            <w:proofErr w:type="spellEnd"/>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0.175 / ⁓ -0.10</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&lt;EndNote&gt;&lt;Cite&gt;&lt;Author&gt;Wang&lt;/Author&gt;&lt;Year&gt;2010&lt;/Year&gt;&lt;RecNum&gt;293&lt;/RecNum&gt;&lt;DisplayText&gt;[16]&lt;/DisplayText&gt;&lt;record&gt;&lt;rec-number&gt;16&lt;/rec-number&gt;&lt;foreign-keys&gt;&lt;key app="EN" db-id="veaxe22ar2prsbe9d5exz02iwft90afw2s2t" timestamp="1680607806"&gt;16&lt;/key&gt;&lt;/foreign-keys&gt;&lt;ref-type name="Journal Article"&gt;17&lt;/ref-type&gt;&lt;contributors&gt;&lt;authors&gt;&lt;author&gt;Wang, Yi&lt;/author&gt;&lt;author&gt;Nguyen, Truong Son&lt;/author&gt;&lt;author&gt;Liu, Xuewei&lt;/author&gt;&lt;author&gt;Wang, Xin&lt;/author&gt;&lt;/authors&gt;&lt;/contributors&gt;&lt;titles&gt;&lt;title&gt;Novel palladium–lead (Pd–Pb/C) bimetallic catalysts for electrooxidation of ethanol in alkaline media&lt;/title&gt;&lt;secondary-title&gt;Journal of Power Sources&lt;/secondary-title&gt;&lt;/titles&gt;&lt;periodical&gt;&lt;full-title&gt;Journal of Power Sources&lt;/full-title&gt;&lt;/periodical&gt;&lt;pages&gt;2619-2622&lt;/pages&gt;&lt;volume&gt;195&lt;/volume&gt;&lt;number&gt;9&lt;/number&gt;&lt;dates&gt;&lt;year&gt;2010&lt;/year&gt;&lt;/dates&gt;&lt;isbn&gt;0378-7753&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[16]</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Pd/Ti</w:t>
            </w:r>
            <w:r>
              <w:rPr>
                <w:rFonts w:ascii="Times New Roman" w:eastAsia="Calibri" w:hAnsi="Times New Roman" w:cs="Times New Roman"/>
                <w:color w:val="000000" w:themeColor="text1"/>
                <w:sz w:val="24"/>
                <w:szCs w:val="24"/>
                <w:vertAlign w:val="subscript"/>
              </w:rPr>
              <w:t>3</w:t>
            </w:r>
            <w:r>
              <w:rPr>
                <w:rFonts w:ascii="Times New Roman" w:eastAsia="Calibri" w:hAnsi="Times New Roman" w:cs="Times New Roman"/>
                <w:color w:val="000000" w:themeColor="text1"/>
                <w:sz w:val="24"/>
                <w:szCs w:val="24"/>
              </w:rPr>
              <w:t>C</w:t>
            </w:r>
            <w:r>
              <w:rPr>
                <w:rFonts w:ascii="Times New Roman" w:eastAsia="Calibri" w:hAnsi="Times New Roman" w:cs="Times New Roman"/>
                <w:color w:val="000000" w:themeColor="text1"/>
                <w:sz w:val="24"/>
                <w:szCs w:val="24"/>
                <w:vertAlign w:val="subscript"/>
              </w:rPr>
              <w:t>2</w:t>
            </w:r>
            <w:r>
              <w:rPr>
                <w:rFonts w:ascii="Times New Roman" w:eastAsia="Calibri" w:hAnsi="Times New Roman" w:cs="Times New Roman"/>
                <w:color w:val="000000" w:themeColor="text1"/>
                <w:sz w:val="24"/>
                <w:szCs w:val="24"/>
              </w:rPr>
              <w:t>T</w:t>
            </w:r>
            <w:r>
              <w:rPr>
                <w:rFonts w:ascii="Times New Roman" w:eastAsia="Calibri" w:hAnsi="Times New Roman" w:cs="Times New Roman"/>
                <w:color w:val="000000" w:themeColor="text1"/>
                <w:sz w:val="24"/>
                <w:szCs w:val="24"/>
                <w:vertAlign w:val="subscript"/>
              </w:rPr>
              <w:t>x</w:t>
            </w: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0.1 M HClO</w:t>
            </w:r>
            <w:r>
              <w:rPr>
                <w:rFonts w:ascii="Times New Roman" w:eastAsia="Times New Roman" w:hAnsi="Times New Roman" w:cs="Times New Roman"/>
                <w:color w:val="000000" w:themeColor="text1"/>
                <w:sz w:val="24"/>
                <w:szCs w:val="24"/>
                <w:vertAlign w:val="subscript"/>
              </w:rPr>
              <w:t>4</w:t>
            </w:r>
            <w:r>
              <w:rPr>
                <w:rFonts w:ascii="Times New Roman" w:eastAsia="Times New Roman" w:hAnsi="Times New Roman" w:cs="Times New Roman"/>
                <w:color w:val="000000" w:themeColor="text1"/>
                <w:sz w:val="24"/>
                <w:szCs w:val="24"/>
              </w:rPr>
              <w:t xml:space="preserve"> /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0.318 / ⁓0.90</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&lt;EndNote&gt;&lt;Cite&gt;&lt;Author&gt;Salah&lt;/Author&gt;&lt;Year&gt;2022&lt;/Year&gt;&lt;RecNum&gt;7&lt;/RecNum&gt;&lt;DisplayText&gt;[17]&lt;/DisplayText&gt;&lt;record&gt;&lt;rec-number&gt;7&lt;/rec-number&gt;&lt;foreign-keys&gt;&lt;key app="EN" db-id="5rp9et5z8r9x5revss7v2pepzxewsv5v9vx9" timestamp="1690381791"&gt;7&lt;/key&gt;&lt;/foreign-keys&gt;&lt;ref-type name="Journal Article"&gt;17&lt;/ref-type&gt;&lt;contributors&gt;&lt;authors&gt;&lt;author&gt;Salah, Belal&lt;/author&gt;&lt;author&gt;Eid, Kamel&lt;/author&gt;&lt;author&gt;Abdelgwad, Ahmed M&lt;/author&gt;&lt;author&gt;Ibrahim, Yasmeen&lt;/author&gt;&lt;author&gt;Abdullah, Aboubakr M&lt;/author&gt;&lt;author&gt;Hassan, Mohammad K&lt;/author&gt;&lt;author&gt;Ozoemena, Kenneth I&lt;/author&gt;&lt;/authors&gt;&lt;/contributors&gt;&lt;titles&gt;&lt;title&gt;Titanium Carbide (Ti3C2Tx) MXene Ornamented with Palladium Nanoparticles for Electrochemical CO Oxidation&lt;/title&gt;&lt;secondary-title&gt;Electroanalysis&lt;/secondary-title&gt;&lt;/titles&gt;&lt;periodical&gt;&lt;full-title&gt;Electroanalysis&lt;/full-title&gt;&lt;/periodical&gt;&lt;pages&gt;677-683&lt;/pages&gt;&lt;volume&gt;34&lt;/volume&gt;&lt;number&gt;4&lt;/number&gt;&lt;dates&gt;&lt;year&gt;2022&lt;/year&gt;&lt;/dates&gt;&lt;isbn&gt;1040-0397&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[17]</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Pd/Ni-MOF/PC</w:t>
            </w: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0.1 M NaHCO</w:t>
            </w:r>
            <w:r>
              <w:rPr>
                <w:rFonts w:ascii="Times New Roman" w:eastAsia="Times New Roman" w:hAnsi="Times New Roman" w:cs="Times New Roman"/>
                <w:color w:val="000000" w:themeColor="text1"/>
                <w:sz w:val="24"/>
                <w:szCs w:val="24"/>
                <w:vertAlign w:val="subscript"/>
              </w:rPr>
              <w:t>3</w:t>
            </w:r>
            <w:r>
              <w:rPr>
                <w:rFonts w:ascii="Times New Roman" w:eastAsia="Times New Roman" w:hAnsi="Times New Roman" w:cs="Times New Roman"/>
                <w:color w:val="000000" w:themeColor="text1"/>
                <w:sz w:val="24"/>
                <w:szCs w:val="24"/>
              </w:rPr>
              <w:t>/ 50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1.220 / 0.83</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&lt;EndNote&gt;&lt;Cite&gt;&lt;Author&gt;Ipadeola&lt;/Author&gt;&lt;Year&gt;2022&lt;/Year&gt;&lt;RecNum&gt;73&lt;/RecNum&gt;&lt;DisplayText&gt;[18]&lt;/DisplayText&gt;&lt;record&gt;&lt;rec-number&gt;73&lt;/rec-number&gt;&lt;foreign-keys&gt;&lt;key app="EN" db-id="v5r9d0xz1xvd5nerxd3vsr595edxdxzdzvzx" timestamp="1687528893"&gt;73&lt;/key&gt;&lt;/foreign-keys&gt;&lt;ref-type name="Journal Article"&gt;17&lt;/ref-type&gt;&lt;contributors&gt;&lt;authors&gt;&lt;author&gt;Ipadeola, Adewale K&lt;/author&gt;&lt;author&gt;Eid, Kamel&lt;/author&gt;&lt;author&gt;Abdullah, Aboubakr M&lt;/author&gt;&lt;author&gt;Al-Hajri, Rashid S&lt;/author&gt;&lt;author&gt;Ozoemena, Kenneth I&lt;/author&gt;&lt;/authors&gt;&lt;/contributors&gt;&lt;titles&gt;&lt;title&gt;Pd/Ni-metal–organic framework-derived porous carbon nanosheets for efficient CO oxidation over a wide pH range&lt;/title&gt;&lt;secondary-title&gt;Nanoscale Advances&lt;/secondary-title&gt;&lt;/titles&gt;&lt;periodical&gt;&lt;full-title&gt;Nanoscale Advances&lt;/full-title&gt;&lt;/periodical&gt;&lt;pages&gt;5044-5055&lt;/pages&gt;&lt;volume&gt;4&lt;/volume&gt;&lt;number&gt;23&lt;/number&gt;&lt;dates&gt;&lt;year&gt;2022&lt;/year&gt;&lt;/dates&gt;&lt;urls&gt;&lt;/urls&gt;&lt;/record&gt;&lt;/Cite&gt;&lt;/EndNote&gt;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[18]</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Pd/ZIF-67/C</w:t>
            </w: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0.1 M NaHCO</w:t>
            </w:r>
            <w:r>
              <w:rPr>
                <w:rFonts w:ascii="Times New Roman" w:eastAsia="Times New Roman" w:hAnsi="Times New Roman" w:cs="Times New Roman"/>
                <w:color w:val="000000" w:themeColor="text1"/>
                <w:sz w:val="24"/>
                <w:szCs w:val="24"/>
                <w:vertAlign w:val="subscript"/>
              </w:rPr>
              <w:t>3</w:t>
            </w:r>
            <w:r>
              <w:rPr>
                <w:rFonts w:ascii="Times New Roman" w:eastAsia="Times New Roman" w:hAnsi="Times New Roman" w:cs="Times New Roman"/>
                <w:color w:val="000000" w:themeColor="text1"/>
                <w:sz w:val="24"/>
                <w:szCs w:val="24"/>
              </w:rPr>
              <w:t>/ 50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1.497 / 0.85</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fldChar w:fldCharType="begin"/>
            </w:r>
            <w:r>
              <w:rPr>
                <w:rFonts w:ascii="Times New Roman" w:eastAsia="Calibri" w:hAnsi="Times New Roman" w:cs="Times New Roman"/>
                <w:color w:val="000000" w:themeColor="text1"/>
                <w:sz w:val="24"/>
                <w:szCs w:val="24"/>
              </w:rPr>
              <w:instrText xml:space="preserve"> ADDIN EN.CITE &lt;EndNote&gt;&lt;Cite&gt;&lt;Author&gt;Ipadeola&lt;/Author&gt;&lt;Year&gt;2022&lt;/Year&gt;&lt;RecNum&gt;2&lt;/RecNum&gt;&lt;DisplayText&gt;[19]&lt;/DisplayText&gt;&lt;record&gt;&lt;rec-number&gt;2&lt;/rec-number&gt;&lt;foreign-keys&gt;&lt;key app="EN" db-id="vfzdzvdxxpfprve5xebvdxrgdz0ezt2vpzwt" timestamp="1680587209"&gt;2&lt;/key&gt;&lt;/foreign-keys&gt;&lt;ref-type name="Journal Article"&gt;17&lt;/ref-type&gt;&lt;contributors&gt;&lt;authors&gt;&lt;author&gt;Ipadeola, Adewale K&lt;/author&gt;&lt;author&gt;Eid, Kamel&lt;/author&gt;&lt;author&gt;Abdullah, Aboubakr M&lt;/author&gt;&lt;author&gt;Ozoemena, Kenneth I&lt;/author&gt;&lt;/authors&gt;&lt;/contributors&gt;&lt;titles&gt;&lt;title&gt;Pd-Nanoparticles Embedded Metal–Organic Framework-Derived Hierarchical Porous Carbon Nanosheets as Efficient Electrocatalysts for Carbon Monoxide Oxidation in Different Electrolytes&lt;/title&gt;&lt;secondary-title&gt;Langmuir&lt;/secondary-title&gt;&lt;/titles&gt;&lt;periodical&gt;&lt;full-title&gt;Langmuir&lt;/full-title&gt;&lt;/periodical&gt;&lt;pages&gt;11109-11120&lt;/pages&gt;&lt;volume&gt;38&lt;/volume&gt;&lt;number&gt;36&lt;/number&gt;&lt;dates&gt;&lt;year&gt;2022&lt;/year&gt;&lt;/dates&gt;&lt;isbn&gt;0743-7463&lt;/isbn&gt;&lt;urls&gt;&lt;/urls&gt;&lt;/record&gt;&lt;/Cite&gt;&lt;/EndNote&gt;</w:instrText>
            </w:r>
            <w:r>
              <w:rPr>
                <w:rFonts w:ascii="Times New Roman" w:eastAsia="Calibri" w:hAnsi="Times New Roman" w:cs="Times New Roman"/>
                <w:color w:val="000000" w:themeColor="text1"/>
                <w:sz w:val="24"/>
                <w:szCs w:val="24"/>
              </w:rPr>
              <w:fldChar w:fldCharType="separate"/>
            </w:r>
            <w:r>
              <w:rPr>
                <w:rFonts w:ascii="Times New Roman" w:eastAsia="Calibri" w:hAnsi="Times New Roman" w:cs="Times New Roman"/>
                <w:color w:val="000000" w:themeColor="text1"/>
                <w:sz w:val="24"/>
                <w:szCs w:val="24"/>
              </w:rPr>
              <w:t>[19]</w:t>
            </w:r>
            <w:r>
              <w:rPr>
                <w:rFonts w:ascii="Times New Roman" w:eastAsia="Calibri" w:hAnsi="Times New Roman" w:cs="Times New Roman"/>
                <w:color w:val="000000" w:themeColor="text1"/>
                <w:sz w:val="24"/>
                <w:szCs w:val="24"/>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AuPd</w:t>
            </w:r>
            <w:proofErr w:type="spellEnd"/>
            <w:r>
              <w:rPr>
                <w:rFonts w:ascii="Times New Roman" w:eastAsia="Calibri" w:hAnsi="Times New Roman" w:cs="Times New Roman"/>
                <w:color w:val="000000" w:themeColor="text1"/>
                <w:sz w:val="24"/>
                <w:szCs w:val="24"/>
              </w:rPr>
              <w:t>/C</w:t>
            </w: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0.5 M H</w:t>
            </w:r>
            <w:r>
              <w:rPr>
                <w:rFonts w:ascii="Times New Roman" w:eastAsia="Times New Roman" w:hAnsi="Times New Roman" w:cs="Times New Roman"/>
                <w:color w:val="000000" w:themeColor="text1"/>
                <w:sz w:val="24"/>
                <w:szCs w:val="24"/>
                <w:vertAlign w:val="subscript"/>
              </w:rPr>
              <w:t>2</w:t>
            </w:r>
            <w:r>
              <w:rPr>
                <w:rFonts w:ascii="Times New Roman" w:eastAsia="Times New Roman" w:hAnsi="Times New Roman" w:cs="Times New Roman"/>
                <w:color w:val="000000" w:themeColor="text1"/>
                <w:sz w:val="24"/>
                <w:szCs w:val="24"/>
              </w:rPr>
              <w:t>SO</w:t>
            </w:r>
            <w:r>
              <w:rPr>
                <w:rFonts w:ascii="Times New Roman" w:eastAsia="Times New Roman" w:hAnsi="Times New Roman" w:cs="Times New Roman"/>
                <w:color w:val="000000" w:themeColor="text1"/>
                <w:sz w:val="24"/>
                <w:szCs w:val="24"/>
                <w:vertAlign w:val="subscript"/>
              </w:rPr>
              <w:t>4</w:t>
            </w:r>
            <w:r>
              <w:rPr>
                <w:rFonts w:ascii="Times New Roman" w:eastAsia="Times New Roman" w:hAnsi="Times New Roman" w:cs="Times New Roman"/>
                <w:color w:val="000000" w:themeColor="text1"/>
                <w:sz w:val="24"/>
                <w:szCs w:val="24"/>
              </w:rPr>
              <w:t>/ 20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0.567 / ⁓ 0.90</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lang w:val="en"/>
              </w:rPr>
            </w:pPr>
            <w:r>
              <w:rPr>
                <w:rFonts w:ascii="Times New Roman" w:eastAsia="Calibri" w:hAnsi="Times New Roman" w:cs="Times New Roman"/>
                <w:color w:val="000000" w:themeColor="text1"/>
                <w:sz w:val="24"/>
                <w:szCs w:val="24"/>
                <w:lang w:val="en"/>
              </w:rPr>
              <w:fldChar w:fldCharType="begin"/>
            </w:r>
            <w:r>
              <w:rPr>
                <w:rFonts w:ascii="Times New Roman" w:eastAsia="Calibri" w:hAnsi="Times New Roman" w:cs="Times New Roman"/>
                <w:color w:val="000000" w:themeColor="text1"/>
                <w:sz w:val="24"/>
                <w:szCs w:val="24"/>
                <w:lang w:val="en"/>
              </w:rPr>
              <w:instrText xml:space="preserve"> ADDIN EN.CITE &lt;EndNote&gt;&lt;Cite&gt;&lt;Author&gt;Ulas&lt;/Author&gt;&lt;Year&gt;2019&lt;/Year&gt;&lt;RecNum&gt;4&lt;/RecNum&gt;&lt;DisplayText&gt;[20]&lt;/DisplayText&gt;&lt;record&gt;&lt;rec-number&gt;4&lt;/rec-number&gt;&lt;foreign-keys&gt;&lt;key app="EN" db-id="9e2d5p9wlpwsvce5fdtvzwsn5ve9ssfddrtx" timestamp="1680873608"&gt;4&lt;/key&gt;&lt;/foreign-keys&gt;&lt;ref-type name="Journal Article"&gt;17&lt;/ref-type&gt;&lt;contributors&gt;&lt;authors&gt;&lt;author&gt;Ulas, Berdan&lt;/author&gt;&lt;author&gt;Kivrak, Arif&lt;/author&gt;&lt;author&gt;Aktas, Nahit&lt;/author&gt;&lt;author&gt;Kivrak, Hilal&lt;/author&gt;&lt;/authors&gt;&lt;/contributors&gt;&lt;titles&gt;&lt;title&gt;Carbon monoxide and formic acid electrooxidation study on Au decorated Pd catalysts prepared via microwave assisted polyol method&lt;/title&gt;&lt;secondary-title&gt;Fullerenes, Nanotubes and Carbon Nanostructures&lt;/secondary-title&gt;&lt;/titles&gt;&lt;periodical&gt;&lt;full-title&gt;Fullerenes, Nanotubes and Carbon Nanostructures&lt;/full-title&gt;&lt;/periodical&gt;&lt;pages&gt;545-552&lt;/pages&gt;&lt;volume&gt;27&lt;/volume&gt;&lt;number&gt;7&lt;/number&gt;&lt;dates&gt;&lt;year&gt;2019&lt;/year&gt;&lt;/dates&gt;&lt;isbn&gt;1536-383X&lt;/isbn&gt;&lt;urls&gt;&lt;/urls&gt;&lt;/record&gt;&lt;/Cite&gt;&lt;/EndNote&gt;</w:instrText>
            </w:r>
            <w:r>
              <w:rPr>
                <w:rFonts w:ascii="Times New Roman" w:eastAsia="Calibri" w:hAnsi="Times New Roman" w:cs="Times New Roman"/>
                <w:color w:val="000000" w:themeColor="text1"/>
                <w:sz w:val="24"/>
                <w:szCs w:val="24"/>
                <w:lang w:val="en"/>
              </w:rPr>
              <w:fldChar w:fldCharType="separate"/>
            </w:r>
            <w:r>
              <w:rPr>
                <w:rFonts w:ascii="Times New Roman" w:eastAsia="Calibri" w:hAnsi="Times New Roman" w:cs="Times New Roman"/>
                <w:color w:val="000000" w:themeColor="text1"/>
                <w:sz w:val="24"/>
                <w:szCs w:val="24"/>
                <w:lang w:val="en"/>
              </w:rPr>
              <w:t>[20]</w:t>
            </w:r>
            <w:r>
              <w:rPr>
                <w:rFonts w:ascii="Times New Roman" w:eastAsia="Calibri" w:hAnsi="Times New Roman" w:cs="Times New Roman"/>
                <w:color w:val="000000" w:themeColor="text1"/>
                <w:sz w:val="24"/>
                <w:szCs w:val="24"/>
                <w:lang w:val="en"/>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PdNiO-CeO</w:t>
            </w:r>
            <w:r>
              <w:rPr>
                <w:rFonts w:ascii="Times New Roman" w:eastAsia="Calibri" w:hAnsi="Times New Roman" w:cs="Times New Roman"/>
                <w:color w:val="000000" w:themeColor="text1"/>
                <w:sz w:val="24"/>
                <w:szCs w:val="24"/>
                <w:vertAlign w:val="subscript"/>
              </w:rPr>
              <w:t>2</w:t>
            </w:r>
            <w:r>
              <w:rPr>
                <w:rFonts w:ascii="Times New Roman" w:eastAsia="Calibri" w:hAnsi="Times New Roman" w:cs="Times New Roman"/>
                <w:color w:val="000000" w:themeColor="text1"/>
                <w:sz w:val="24"/>
                <w:szCs w:val="24"/>
              </w:rPr>
              <w:t>/OLC</w:t>
            </w: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Calibri" w:hAnsi="Times New Roman" w:cs="Times New Roman"/>
                <w:color w:val="000000" w:themeColor="text1"/>
                <w:sz w:val="24"/>
                <w:szCs w:val="24"/>
              </w:rPr>
              <w:t>0.1 M HClO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w:t>
            </w:r>
            <w:r>
              <w:rPr>
                <w:rFonts w:ascii="Times New Roman" w:eastAsia="Calibri" w:hAnsi="Times New Roman" w:cs="Times New Roman"/>
                <w:color w:val="000000" w:themeColor="text1"/>
                <w:sz w:val="24"/>
                <w:szCs w:val="24"/>
                <w:vertAlign w:val="subscript"/>
              </w:rPr>
              <w:t xml:space="preserve"> </w:t>
            </w:r>
            <w:r>
              <w:rPr>
                <w:rFonts w:ascii="Times New Roman" w:eastAsia="Calibri" w:hAnsi="Times New Roman" w:cs="Times New Roman"/>
                <w:color w:val="000000" w:themeColor="text1"/>
                <w:sz w:val="24"/>
                <w:szCs w:val="24"/>
              </w:rPr>
              <w:t>50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2.500 / 1.10</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lang w:val="en"/>
              </w:rPr>
            </w:pPr>
            <w:r>
              <w:rPr>
                <w:rFonts w:ascii="Times New Roman" w:eastAsia="Calibri" w:hAnsi="Times New Roman" w:cs="Times New Roman"/>
                <w:color w:val="000000" w:themeColor="text1"/>
                <w:sz w:val="24"/>
                <w:szCs w:val="24"/>
                <w:lang w:val="en"/>
              </w:rPr>
              <w:fldChar w:fldCharType="begin"/>
            </w:r>
            <w:r>
              <w:rPr>
                <w:rFonts w:ascii="Times New Roman" w:eastAsia="Calibri" w:hAnsi="Times New Roman" w:cs="Times New Roman"/>
                <w:color w:val="000000" w:themeColor="text1"/>
                <w:sz w:val="24"/>
                <w:szCs w:val="24"/>
                <w:lang w:val="en"/>
              </w:rPr>
              <w:instrText xml:space="preserve"> ADDIN EN.CITE &lt;EndNote&gt;&lt;Cite&gt;&lt;Author&gt;Ipadeola&lt;/Author&gt;&lt;Year&gt;2023&lt;/Year&gt;&lt;RecNum&gt;28&lt;/RecNum&gt;&lt;DisplayText&gt;[21]&lt;/DisplayText&gt;&lt;record&gt;&lt;rec-number&gt;28&lt;/rec-number&gt;&lt;foreign-keys&gt;&lt;key app="EN" db-id="9e2d5p9wlpwsvce5fdtvzwsn5ve9ssfddrtx" timestamp="1680873754"&gt;28&lt;/key&gt;&lt;/foreign-keys&gt;&lt;ref-type name="Journal Article"&gt;17&lt;/ref-type&gt;&lt;contributors&gt;&lt;authors&gt;&lt;author&gt;Ipadeola, Adewale Kabir&lt;/author&gt;&lt;author&gt;Haruna, Aderemi Bashiru&lt;/author&gt;&lt;author&gt;Abdullah, Aboubakr M.&lt;/author&gt;&lt;author&gt;Al-Hajri, Rashid&lt;/author&gt;&lt;author&gt;Viter, Roman&lt;/author&gt;&lt;author&gt;Ozoemena, Kenneth Ikechukwu&lt;/author&gt;&lt;author&gt;Eid, Kamel&lt;/author&gt;&lt;/authors&gt;&lt;/contributors&gt;&lt;titles&gt;&lt;title&gt;Ternary PdNiO Nanocrystals Ornamented Porous CeO2/Onion-like Carbon for Electrooxidation of Carbon Monoxide: Unveiling the Effect of Supports and Electrolytes†&lt;/title&gt;&lt;secondary-title&gt;Catalysis Science &amp;amp; Technology&lt;/secondary-title&gt;&lt;/titles&gt;&lt;periodical&gt;&lt;full-title&gt;Catalysis Science &amp;amp; Technology&lt;/full-title&gt;&lt;/periodical&gt;&lt;dates&gt;&lt;year&gt;2023&lt;/year&gt;&lt;/dates&gt;&lt;publisher&gt;The Royal Society of Chemistry&lt;/publisher&gt;&lt;isbn&gt;2044-4753&lt;/isbn&gt;&lt;work-type&gt;10.1039/D3CY00253E&lt;/work-type&gt;&lt;urls&gt;&lt;related-urls&gt;&lt;url&gt;http://dx.doi.org/10.1039/D3CY00253E&lt;/url&gt;&lt;/related-urls&gt;&lt;/urls&gt;&lt;electronic-resource-num&gt;10.1039/D3CY00253E&lt;/electronic-resource-num&gt;&lt;/record&gt;&lt;/Cite&gt;&lt;/EndNote&gt;</w:instrText>
            </w:r>
            <w:r>
              <w:rPr>
                <w:rFonts w:ascii="Times New Roman" w:eastAsia="Calibri" w:hAnsi="Times New Roman" w:cs="Times New Roman"/>
                <w:color w:val="000000" w:themeColor="text1"/>
                <w:sz w:val="24"/>
                <w:szCs w:val="24"/>
                <w:lang w:val="en"/>
              </w:rPr>
              <w:fldChar w:fldCharType="separate"/>
            </w:r>
            <w:r>
              <w:rPr>
                <w:rFonts w:ascii="Times New Roman" w:eastAsia="Calibri" w:hAnsi="Times New Roman" w:cs="Times New Roman"/>
                <w:color w:val="000000" w:themeColor="text1"/>
                <w:sz w:val="24"/>
                <w:szCs w:val="24"/>
                <w:lang w:val="en"/>
              </w:rPr>
              <w:t>[21]</w:t>
            </w:r>
            <w:r>
              <w:rPr>
                <w:rFonts w:ascii="Times New Roman" w:eastAsia="Calibri" w:hAnsi="Times New Roman" w:cs="Times New Roman"/>
                <w:color w:val="000000" w:themeColor="text1"/>
                <w:sz w:val="24"/>
                <w:szCs w:val="24"/>
                <w:lang w:val="en"/>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PdNiO-CeO</w:t>
            </w:r>
            <w:r>
              <w:rPr>
                <w:rFonts w:ascii="Times New Roman" w:eastAsia="Calibri" w:hAnsi="Times New Roman" w:cs="Times New Roman"/>
                <w:color w:val="000000" w:themeColor="text1"/>
                <w:sz w:val="24"/>
                <w:szCs w:val="24"/>
                <w:vertAlign w:val="subscript"/>
              </w:rPr>
              <w:t>2</w:t>
            </w:r>
            <w:r>
              <w:rPr>
                <w:rFonts w:ascii="Times New Roman" w:eastAsia="Calibri" w:hAnsi="Times New Roman" w:cs="Times New Roman"/>
                <w:color w:val="000000" w:themeColor="text1"/>
                <w:sz w:val="24"/>
                <w:szCs w:val="24"/>
              </w:rPr>
              <w:t>/CB</w:t>
            </w:r>
          </w:p>
        </w:tc>
        <w:tc>
          <w:tcPr>
            <w:tcW w:w="3510" w:type="dxa"/>
          </w:tcPr>
          <w:p w:rsidR="00FA2F1C" w:rsidRDefault="00466360">
            <w:pPr>
              <w:shd w:val="clear" w:color="auto" w:fill="FFFFFF"/>
              <w:spacing w:after="0" w:line="480" w:lineRule="auto"/>
              <w:textAlignment w:val="baseline"/>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 M HClO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w:t>
            </w:r>
            <w:r>
              <w:rPr>
                <w:rFonts w:ascii="Times New Roman" w:eastAsia="Calibri" w:hAnsi="Times New Roman" w:cs="Times New Roman"/>
                <w:color w:val="000000" w:themeColor="text1"/>
                <w:sz w:val="24"/>
                <w:szCs w:val="24"/>
                <w:vertAlign w:val="subscript"/>
              </w:rPr>
              <w:t xml:space="preserve"> </w:t>
            </w:r>
            <w:r>
              <w:rPr>
                <w:rFonts w:ascii="Times New Roman" w:eastAsia="Calibri" w:hAnsi="Times New Roman" w:cs="Times New Roman"/>
                <w:color w:val="000000" w:themeColor="text1"/>
                <w:sz w:val="24"/>
                <w:szCs w:val="24"/>
              </w:rPr>
              <w:t>50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2.650 / 1.05</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lang w:val="en"/>
              </w:rPr>
            </w:pPr>
            <w:r>
              <w:rPr>
                <w:rFonts w:ascii="Times New Roman" w:eastAsia="Calibri" w:hAnsi="Times New Roman" w:cs="Times New Roman"/>
                <w:color w:val="000000" w:themeColor="text1"/>
                <w:sz w:val="24"/>
                <w:szCs w:val="24"/>
                <w:lang w:val="en"/>
              </w:rPr>
              <w:fldChar w:fldCharType="begin"/>
            </w:r>
            <w:r>
              <w:rPr>
                <w:rFonts w:ascii="Times New Roman" w:eastAsia="Calibri" w:hAnsi="Times New Roman" w:cs="Times New Roman"/>
                <w:color w:val="000000" w:themeColor="text1"/>
                <w:sz w:val="24"/>
                <w:szCs w:val="24"/>
                <w:lang w:val="en"/>
              </w:rPr>
              <w:instrText xml:space="preserve"> ADDIN EN.CITE &lt;EndNote&gt;&lt;Cite&gt;&lt;Author&gt;Ipadeola&lt;/Author&gt;&lt;Year&gt;2023&lt;/Year&gt;&lt;RecNum&gt;19&lt;/RecNum&gt;&lt;DisplayText&gt;[22]&lt;/DisplayText&gt;&lt;record&gt;&lt;rec-number&gt;19&lt;/rec-number&gt;&lt;foreign-keys&gt;&lt;key app="EN" db-id="5rp9et5z8r9x5revss7v2pepzxewsv5v9vx9" timestamp="1690382806"&gt;19&lt;/key&gt;&lt;/foreign-keys&gt;&lt;ref-type name="Journal Article"&gt;17&lt;/ref-type&gt;&lt;contributors&gt;&lt;authors&gt;&lt;author&gt;Ipadeola, Adewale K&lt;/author&gt;&lt;author&gt;Haruna, Aderemi B&lt;/author&gt;&lt;author&gt;Abdullah, Aboubakr M&lt;/author&gt;&lt;author&gt;Shibl, Mohamed F&lt;/author&gt;&lt;author&gt;Ahmadaliev, Doniyorbek&lt;/author&gt;&lt;author&gt;Ozoemena, Kenneth I&lt;/author&gt;&lt;author&gt;Eid, Kamel&lt;/author&gt;&lt;/authors&gt;&lt;/contributors&gt;&lt;titles&gt;&lt;title&gt;Electrocatalytic CO oxidation on porous ternary PdNiO-CeO2/carbon black nanocatalysts: Effect of supports and electrolytes&lt;/title&gt;&lt;secondary-title&gt;Catalysis Today&lt;/secondary-title&gt;&lt;/titles&gt;&lt;periodical&gt;&lt;full-title&gt;Catalysis Today&lt;/full-title&gt;&lt;/periodical&gt;&lt;pages&gt;114178&lt;/pages&gt;&lt;volume&gt;421&lt;/volume&gt;&lt;dates&gt;&lt;year&gt;2023&lt;/year&gt;&lt;/dates&gt;&lt;isbn&gt;0920-5861&lt;/isbn&gt;&lt;urls&gt;&lt;/urls&gt;&lt;/record&gt;&lt;/Cite&gt;&lt;/EndNote&gt;</w:instrText>
            </w:r>
            <w:r>
              <w:rPr>
                <w:rFonts w:ascii="Times New Roman" w:eastAsia="Calibri" w:hAnsi="Times New Roman" w:cs="Times New Roman"/>
                <w:color w:val="000000" w:themeColor="text1"/>
                <w:sz w:val="24"/>
                <w:szCs w:val="24"/>
                <w:lang w:val="en"/>
              </w:rPr>
              <w:fldChar w:fldCharType="separate"/>
            </w:r>
            <w:r>
              <w:rPr>
                <w:rFonts w:ascii="Times New Roman" w:eastAsia="Calibri" w:hAnsi="Times New Roman" w:cs="Times New Roman"/>
                <w:color w:val="000000" w:themeColor="text1"/>
                <w:sz w:val="24"/>
                <w:szCs w:val="24"/>
                <w:lang w:val="en"/>
              </w:rPr>
              <w:t>[22]</w:t>
            </w:r>
            <w:r>
              <w:rPr>
                <w:rFonts w:ascii="Times New Roman" w:eastAsia="Calibri" w:hAnsi="Times New Roman" w:cs="Times New Roman"/>
                <w:color w:val="000000" w:themeColor="text1"/>
                <w:sz w:val="24"/>
                <w:szCs w:val="24"/>
                <w:lang w:val="en"/>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Pd </w:t>
            </w:r>
            <w:proofErr w:type="spellStart"/>
            <w:r>
              <w:rPr>
                <w:rFonts w:ascii="Times New Roman" w:eastAsia="Calibri" w:hAnsi="Times New Roman" w:cs="Times New Roman"/>
                <w:color w:val="000000" w:themeColor="text1"/>
                <w:sz w:val="24"/>
                <w:szCs w:val="24"/>
              </w:rPr>
              <w:t>nanocube</w:t>
            </w:r>
            <w:proofErr w:type="spellEnd"/>
          </w:p>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lastRenderedPageBreak/>
              <w:t xml:space="preserve">Pd </w:t>
            </w:r>
            <w:proofErr w:type="spellStart"/>
            <w:r>
              <w:rPr>
                <w:rFonts w:ascii="Times New Roman" w:eastAsia="Calibri" w:hAnsi="Times New Roman" w:cs="Times New Roman"/>
                <w:color w:val="000000" w:themeColor="text1"/>
                <w:sz w:val="24"/>
                <w:szCs w:val="24"/>
              </w:rPr>
              <w:t>nanosponge</w:t>
            </w:r>
            <w:proofErr w:type="spellEnd"/>
          </w:p>
        </w:tc>
        <w:tc>
          <w:tcPr>
            <w:tcW w:w="3510" w:type="dxa"/>
          </w:tcPr>
          <w:p w:rsidR="00FA2F1C" w:rsidRDefault="00466360">
            <w:pPr>
              <w:shd w:val="clear" w:color="auto" w:fill="FFFFFF"/>
              <w:spacing w:after="0" w:line="480" w:lineRule="auto"/>
              <w:textAlignment w:val="baseline"/>
              <w:rPr>
                <w:rFonts w:ascii="Times New Roman" w:eastAsia="Calibri"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lastRenderedPageBreak/>
              <w:t>0.1 M H</w:t>
            </w:r>
            <w:r>
              <w:rPr>
                <w:rFonts w:ascii="Times New Roman" w:eastAsia="Times New Roman" w:hAnsi="Times New Roman" w:cs="Times New Roman"/>
                <w:color w:val="000000" w:themeColor="text1"/>
                <w:sz w:val="24"/>
                <w:szCs w:val="24"/>
                <w:vertAlign w:val="subscript"/>
              </w:rPr>
              <w:t>2</w:t>
            </w:r>
            <w:r>
              <w:rPr>
                <w:rFonts w:ascii="Times New Roman" w:eastAsia="Times New Roman" w:hAnsi="Times New Roman" w:cs="Times New Roman"/>
                <w:color w:val="000000" w:themeColor="text1"/>
                <w:sz w:val="24"/>
                <w:szCs w:val="24"/>
              </w:rPr>
              <w:t>SO</w:t>
            </w:r>
            <w:r>
              <w:rPr>
                <w:rFonts w:ascii="Times New Roman" w:eastAsia="Times New Roman" w:hAnsi="Times New Roman" w:cs="Times New Roman"/>
                <w:color w:val="000000" w:themeColor="text1"/>
                <w:sz w:val="24"/>
                <w:szCs w:val="24"/>
                <w:vertAlign w:val="subscript"/>
              </w:rPr>
              <w:t>4</w:t>
            </w:r>
            <w:r>
              <w:rPr>
                <w:rFonts w:ascii="Times New Roman" w:eastAsia="Times New Roman" w:hAnsi="Times New Roman" w:cs="Times New Roman"/>
                <w:color w:val="000000" w:themeColor="text1"/>
                <w:sz w:val="24"/>
                <w:szCs w:val="24"/>
              </w:rPr>
              <w:t>/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5.920 / 0.76</w:t>
            </w:r>
          </w:p>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lastRenderedPageBreak/>
              <w:t>4.000 / 0.72</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lang w:val="en"/>
              </w:rPr>
            </w:pPr>
            <w:r>
              <w:rPr>
                <w:rFonts w:ascii="Times New Roman" w:eastAsia="Calibri" w:hAnsi="Times New Roman" w:cs="Times New Roman"/>
                <w:color w:val="000000" w:themeColor="text1"/>
                <w:sz w:val="24"/>
                <w:szCs w:val="24"/>
                <w:lang w:val="en"/>
              </w:rPr>
              <w:lastRenderedPageBreak/>
              <w:fldChar w:fldCharType="begin"/>
            </w:r>
            <w:r>
              <w:rPr>
                <w:rFonts w:ascii="Times New Roman" w:eastAsia="Calibri" w:hAnsi="Times New Roman" w:cs="Times New Roman"/>
                <w:color w:val="000000" w:themeColor="text1"/>
                <w:sz w:val="24"/>
                <w:szCs w:val="24"/>
                <w:lang w:val="en"/>
              </w:rPr>
              <w:instrText xml:space="preserve"> ADDIN EN.CITE &lt;EndNote&gt;&lt;Cite&gt;&lt;Author&gt;Salah&lt;/Author&gt;&lt;Year&gt;2023&lt;/Year&gt;&lt;RecNum&gt;18&lt;/RecNum&gt;&lt;DisplayText&gt;[23]&lt;/DisplayText&gt;&lt;record&gt;&lt;rec-number&gt;18&lt;/rec-number&gt;&lt;foreign-keys&gt;&lt;key app="EN" db-id="5rp9et5z8r9x5revss7v2pepzxewsv5v9vx9" timestamp="1690382325"&gt;18&lt;/key&gt;&lt;/foreign-keys&gt;&lt;ref-type name="Journal Article"&gt;17&lt;/ref-type&gt;&lt;contributors&gt;&lt;authors&gt;&lt;author&gt;Salah, Belal&lt;/author&gt;&lt;author&gt;Ipadeola, Adewale K.&lt;/author&gt;&lt;author&gt;Abdullah, Aboubakr M.&lt;/author&gt;&lt;author&gt;Ghanem, Alaa&lt;/author&gt;&lt;author&gt;Eid, Kamel&lt;/author&gt;&lt;/authors&gt;&lt;/contributors&gt;&lt;titles&gt;&lt;title&gt;Self-Standing Pd-Based Nanostructures for Electrocatalytic CO Oxidation: Do Nanocatalyst Shape and Electrolyte pH Matter?&lt;/title&gt;&lt;secondary-title&gt;International Journal of Molecular Sciences&lt;/secondary-title&gt;&lt;/titles&gt;&lt;periodical&gt;&lt;full-title&gt;International Journal of Molecular Sciences&lt;/full-title&gt;&lt;/periodical&gt;&lt;pages&gt;11832&lt;/pages&gt;&lt;volume&gt;24&lt;/volume&gt;&lt;number&gt;14&lt;/number&gt;&lt;dates&gt;&lt;year&gt;2023&lt;/year&gt;&lt;/dates&gt;&lt;isbn&gt;1422-0067&lt;/isbn&gt;&lt;accession-num&gt;doi:10.3390/ijms241411832&lt;/accession-num&gt;&lt;urls&gt;&lt;related-urls&gt;&lt;url&gt;https://www.mdpi.com/1422-0067/24/14/11832&lt;/url&gt;&lt;/related-urls&gt;&lt;/urls&gt;&lt;/record&gt;&lt;/Cite&gt;&lt;/EndNote&gt;</w:instrText>
            </w:r>
            <w:r>
              <w:rPr>
                <w:rFonts w:ascii="Times New Roman" w:eastAsia="Calibri" w:hAnsi="Times New Roman" w:cs="Times New Roman"/>
                <w:color w:val="000000" w:themeColor="text1"/>
                <w:sz w:val="24"/>
                <w:szCs w:val="24"/>
                <w:lang w:val="en"/>
              </w:rPr>
              <w:fldChar w:fldCharType="separate"/>
            </w:r>
            <w:r>
              <w:rPr>
                <w:rFonts w:ascii="Times New Roman" w:eastAsia="Calibri" w:hAnsi="Times New Roman" w:cs="Times New Roman"/>
                <w:color w:val="000000" w:themeColor="text1"/>
                <w:sz w:val="24"/>
                <w:szCs w:val="24"/>
                <w:lang w:val="en"/>
              </w:rPr>
              <w:t>[23]</w:t>
            </w:r>
            <w:r>
              <w:rPr>
                <w:rFonts w:ascii="Times New Roman" w:eastAsia="Calibri" w:hAnsi="Times New Roman" w:cs="Times New Roman"/>
                <w:color w:val="000000" w:themeColor="text1"/>
                <w:sz w:val="24"/>
                <w:szCs w:val="24"/>
                <w:lang w:val="en"/>
              </w:rPr>
              <w:fldChar w:fldCharType="end"/>
            </w:r>
          </w:p>
        </w:tc>
      </w:tr>
      <w:tr w:rsidR="00FA2F1C">
        <w:tc>
          <w:tcPr>
            <w:tcW w:w="2250" w:type="dxa"/>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PdCu</w:t>
            </w:r>
            <w:proofErr w:type="spellEnd"/>
          </w:p>
        </w:tc>
        <w:tc>
          <w:tcPr>
            <w:tcW w:w="3510" w:type="dxa"/>
          </w:tcPr>
          <w:p w:rsidR="00FA2F1C" w:rsidRDefault="00466360">
            <w:pPr>
              <w:shd w:val="clear" w:color="auto" w:fill="FFFFFF"/>
              <w:spacing w:after="0" w:line="480" w:lineRule="auto"/>
              <w:textAlignment w:val="baseline"/>
              <w:rPr>
                <w:rFonts w:ascii="Times New Roman" w:eastAsia="Calibri"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0.1 M KOH / 50 / RHE</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3.610 / 0.94 </w:t>
            </w:r>
          </w:p>
        </w:tc>
        <w:tc>
          <w:tcPr>
            <w:tcW w:w="1265" w:type="dxa"/>
          </w:tcPr>
          <w:p w:rsidR="00FA2F1C" w:rsidRDefault="00466360">
            <w:pPr>
              <w:spacing w:after="0" w:line="480" w:lineRule="auto"/>
              <w:jc w:val="center"/>
              <w:rPr>
                <w:rFonts w:ascii="Times New Roman" w:eastAsia="Calibri" w:hAnsi="Times New Roman" w:cs="Times New Roman"/>
                <w:color w:val="000000" w:themeColor="text1"/>
                <w:sz w:val="24"/>
                <w:szCs w:val="24"/>
                <w:lang w:val="en"/>
              </w:rPr>
            </w:pPr>
            <w:r>
              <w:rPr>
                <w:rFonts w:ascii="Times New Roman" w:eastAsia="Calibri" w:hAnsi="Times New Roman" w:cs="Times New Roman"/>
                <w:color w:val="000000" w:themeColor="text1"/>
                <w:sz w:val="24"/>
                <w:szCs w:val="24"/>
                <w:lang w:val="en"/>
              </w:rPr>
              <w:fldChar w:fldCharType="begin"/>
            </w:r>
            <w:r>
              <w:rPr>
                <w:rFonts w:ascii="Times New Roman" w:eastAsia="Calibri" w:hAnsi="Times New Roman" w:cs="Times New Roman"/>
                <w:color w:val="000000" w:themeColor="text1"/>
                <w:sz w:val="24"/>
                <w:szCs w:val="24"/>
                <w:lang w:val="en"/>
              </w:rPr>
              <w:instrText xml:space="preserve"> ADDIN EN.CITE &lt;EndNote&gt;&lt;Cite&gt;&lt;Author&gt;Salah&lt;/Author&gt;&lt;Year&gt;2023&lt;/Year&gt;&lt;RecNum&gt;17&lt;/RecNum&gt;&lt;DisplayText&gt;[24]&lt;/DisplayText&gt;&lt;record&gt;&lt;rec-number&gt;17&lt;/rec-number&gt;&lt;foreign-keys&gt;&lt;key app="EN" db-id="5rp9et5z8r9x5revss7v2pepzxewsv5v9vx9" timestamp="1690381847"&gt;17&lt;/key&gt;&lt;/foreign-keys&gt;&lt;ref-type name="Journal Article"&gt;17&lt;/ref-type&gt;&lt;contributors&gt;&lt;authors&gt;&lt;author&gt;Salah, Belal&lt;/author&gt;&lt;author&gt;Ipadeola, Adewale K&lt;/author&gt;&lt;author&gt;Abdullah, Aboubakr M&lt;/author&gt;&lt;author&gt;Eid, Kamel&lt;/author&gt;&lt;/authors&gt;&lt;/contributors&gt;&lt;titles&gt;&lt;title&gt;Unravelling the Alloy Effect of Porous Binary Pd-Based Nanostructures on Electrocatalytic Oxidation of Carbon Monoxide in Different Electrolytes&lt;/title&gt;&lt;secondary-title&gt;ACS Applied Engineering Materials&lt;/secondary-title&gt;&lt;/titles&gt;&lt;periodical&gt;&lt;full-title&gt;ACS Applied Engineering Materials&lt;/full-title&gt;&lt;/periodical&gt;&lt;dates&gt;&lt;year&gt;2023&lt;/year&gt;&lt;/dates&gt;&lt;isbn&gt;2771-9545&lt;/isbn&gt;&lt;urls&gt;&lt;/urls&gt;&lt;/record&gt;&lt;/Cite&gt;&lt;/EndNote&gt;</w:instrText>
            </w:r>
            <w:r>
              <w:rPr>
                <w:rFonts w:ascii="Times New Roman" w:eastAsia="Calibri" w:hAnsi="Times New Roman" w:cs="Times New Roman"/>
                <w:color w:val="000000" w:themeColor="text1"/>
                <w:sz w:val="24"/>
                <w:szCs w:val="24"/>
                <w:lang w:val="en"/>
              </w:rPr>
              <w:fldChar w:fldCharType="separate"/>
            </w:r>
            <w:r>
              <w:rPr>
                <w:rFonts w:ascii="Times New Roman" w:eastAsia="Calibri" w:hAnsi="Times New Roman" w:cs="Times New Roman"/>
                <w:color w:val="000000" w:themeColor="text1"/>
                <w:sz w:val="24"/>
                <w:szCs w:val="24"/>
                <w:lang w:val="en"/>
              </w:rPr>
              <w:t>[24]</w:t>
            </w:r>
            <w:r>
              <w:rPr>
                <w:rFonts w:ascii="Times New Roman" w:eastAsia="Calibri" w:hAnsi="Times New Roman" w:cs="Times New Roman"/>
                <w:color w:val="000000" w:themeColor="text1"/>
                <w:sz w:val="24"/>
                <w:szCs w:val="24"/>
                <w:lang w:val="en"/>
              </w:rPr>
              <w:fldChar w:fldCharType="end"/>
            </w:r>
          </w:p>
        </w:tc>
      </w:tr>
      <w:tr w:rsidR="00FA2F1C">
        <w:tc>
          <w:tcPr>
            <w:tcW w:w="2250" w:type="dxa"/>
            <w:vMerge w:val="restart"/>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PdNi</w:t>
            </w:r>
            <w:proofErr w:type="spellEnd"/>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Calibri" w:hAnsi="Times New Roman" w:cs="Times New Roman"/>
                <w:color w:val="000000" w:themeColor="text1"/>
                <w:sz w:val="24"/>
                <w:szCs w:val="24"/>
              </w:rPr>
              <w:t>0.1 M HClO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w:t>
            </w:r>
            <w:r>
              <w:rPr>
                <w:rFonts w:ascii="Times New Roman" w:eastAsia="Calibri" w:hAnsi="Times New Roman" w:cs="Times New Roman"/>
                <w:color w:val="000000" w:themeColor="text1"/>
                <w:sz w:val="24"/>
                <w:szCs w:val="24"/>
                <w:vertAlign w:val="subscript"/>
              </w:rPr>
              <w:t xml:space="preserve"> </w:t>
            </w:r>
            <w:r>
              <w:rPr>
                <w:rFonts w:ascii="Times New Roman" w:eastAsia="Calibri" w:hAnsi="Times New Roman" w:cs="Times New Roman"/>
                <w:color w:val="000000" w:themeColor="text1"/>
                <w:sz w:val="24"/>
                <w:szCs w:val="24"/>
              </w:rPr>
              <w:t>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 0.344 / 0.654</w:t>
            </w:r>
          </w:p>
        </w:tc>
        <w:tc>
          <w:tcPr>
            <w:tcW w:w="1265" w:type="dxa"/>
            <w:vMerge w:val="restart"/>
          </w:tcPr>
          <w:p w:rsidR="00FA2F1C" w:rsidRDefault="00FA2F1C">
            <w:pPr>
              <w:spacing w:after="0" w:line="480" w:lineRule="auto"/>
              <w:jc w:val="center"/>
              <w:rPr>
                <w:rFonts w:ascii="Times New Roman" w:eastAsia="Calibri" w:hAnsi="Times New Roman" w:cs="Times New Roman"/>
                <w:color w:val="000000" w:themeColor="text1"/>
                <w:sz w:val="24"/>
                <w:szCs w:val="24"/>
              </w:rPr>
            </w:pPr>
          </w:p>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This work</w:t>
            </w:r>
          </w:p>
        </w:tc>
      </w:tr>
      <w:tr w:rsidR="00FA2F1C">
        <w:tc>
          <w:tcPr>
            <w:tcW w:w="2250"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Calibri" w:hAnsi="Times New Roman" w:cs="Times New Roman"/>
                <w:color w:val="000000" w:themeColor="text1"/>
                <w:sz w:val="24"/>
                <w:szCs w:val="24"/>
              </w:rPr>
              <w:t>0.1 M KOH /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0.800 / -0.105</w:t>
            </w:r>
          </w:p>
        </w:tc>
        <w:tc>
          <w:tcPr>
            <w:tcW w:w="1265" w:type="dxa"/>
            <w:vMerge/>
          </w:tcPr>
          <w:p w:rsidR="00FA2F1C" w:rsidRDefault="00FA2F1C">
            <w:pPr>
              <w:spacing w:after="0" w:line="480" w:lineRule="auto"/>
              <w:jc w:val="center"/>
              <w:rPr>
                <w:rFonts w:ascii="Times New Roman" w:eastAsia="Calibri" w:hAnsi="Times New Roman" w:cs="Times New Roman"/>
                <w:color w:val="000000" w:themeColor="text1"/>
                <w:sz w:val="24"/>
                <w:szCs w:val="24"/>
              </w:rPr>
            </w:pPr>
          </w:p>
        </w:tc>
      </w:tr>
      <w:tr w:rsidR="00FA2F1C">
        <w:tc>
          <w:tcPr>
            <w:tcW w:w="2250"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c>
          <w:tcPr>
            <w:tcW w:w="3510" w:type="dxa"/>
          </w:tcPr>
          <w:p w:rsidR="00FA2F1C" w:rsidRDefault="00466360">
            <w:pPr>
              <w:shd w:val="clear" w:color="auto" w:fill="FFFFFF"/>
              <w:spacing w:after="0" w:line="480" w:lineRule="auto"/>
              <w:textAlignment w:val="baseline"/>
              <w:rPr>
                <w:rFonts w:ascii="Times New Roman" w:eastAsia="Times New Roman" w:hAnsi="Times New Roman" w:cs="Times New Roman"/>
                <w:color w:val="000000" w:themeColor="text1"/>
                <w:sz w:val="24"/>
                <w:szCs w:val="24"/>
              </w:rPr>
            </w:pPr>
            <w:r>
              <w:rPr>
                <w:rFonts w:ascii="Times New Roman" w:eastAsia="Calibri" w:hAnsi="Times New Roman" w:cs="Times New Roman"/>
                <w:color w:val="000000" w:themeColor="text1"/>
                <w:sz w:val="24"/>
                <w:szCs w:val="24"/>
              </w:rPr>
              <w:t>0.5 M NaHCO</w:t>
            </w:r>
            <w:r>
              <w:rPr>
                <w:rFonts w:ascii="Times New Roman" w:eastAsia="Calibri" w:hAnsi="Times New Roman" w:cs="Times New Roman"/>
                <w:color w:val="000000" w:themeColor="text1"/>
                <w:sz w:val="24"/>
                <w:szCs w:val="24"/>
                <w:vertAlign w:val="subscript"/>
              </w:rPr>
              <w:t>3</w:t>
            </w:r>
            <w:r>
              <w:rPr>
                <w:rFonts w:ascii="Times New Roman" w:eastAsia="Calibri" w:hAnsi="Times New Roman" w:cs="Times New Roman"/>
                <w:color w:val="000000" w:themeColor="text1"/>
                <w:sz w:val="24"/>
                <w:szCs w:val="24"/>
              </w:rPr>
              <w:t xml:space="preserve"> /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0.222 / 0.196</w:t>
            </w:r>
          </w:p>
        </w:tc>
        <w:tc>
          <w:tcPr>
            <w:tcW w:w="1265" w:type="dxa"/>
            <w:vMerge/>
          </w:tcPr>
          <w:p w:rsidR="00FA2F1C" w:rsidRDefault="00FA2F1C">
            <w:pPr>
              <w:spacing w:after="0" w:line="480" w:lineRule="auto"/>
              <w:jc w:val="center"/>
              <w:rPr>
                <w:rFonts w:ascii="Times New Roman" w:eastAsia="Calibri" w:hAnsi="Times New Roman" w:cs="Times New Roman"/>
                <w:color w:val="000000" w:themeColor="text1"/>
                <w:sz w:val="24"/>
                <w:szCs w:val="24"/>
              </w:rPr>
            </w:pPr>
          </w:p>
        </w:tc>
      </w:tr>
      <w:tr w:rsidR="00FA2F1C">
        <w:tc>
          <w:tcPr>
            <w:tcW w:w="2250" w:type="dxa"/>
            <w:vMerge w:val="restart"/>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PdCo</w:t>
            </w:r>
            <w:proofErr w:type="spellEnd"/>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 M HClO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w:t>
            </w:r>
            <w:r>
              <w:rPr>
                <w:rFonts w:ascii="Times New Roman" w:eastAsia="Calibri" w:hAnsi="Times New Roman" w:cs="Times New Roman"/>
                <w:color w:val="000000" w:themeColor="text1"/>
                <w:sz w:val="24"/>
                <w:szCs w:val="24"/>
                <w:vertAlign w:val="subscript"/>
              </w:rPr>
              <w:t xml:space="preserve"> </w:t>
            </w:r>
            <w:r>
              <w:rPr>
                <w:rFonts w:ascii="Times New Roman" w:eastAsia="Calibri" w:hAnsi="Times New Roman" w:cs="Times New Roman"/>
                <w:color w:val="000000" w:themeColor="text1"/>
                <w:sz w:val="24"/>
                <w:szCs w:val="24"/>
              </w:rPr>
              <w:t>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0.676 / 0.688</w:t>
            </w:r>
          </w:p>
        </w:tc>
        <w:tc>
          <w:tcPr>
            <w:tcW w:w="1265" w:type="dxa"/>
            <w:vMerge w:val="restart"/>
          </w:tcPr>
          <w:p w:rsidR="00FA2F1C" w:rsidRDefault="00FA2F1C">
            <w:pPr>
              <w:spacing w:after="0" w:line="480" w:lineRule="auto"/>
              <w:jc w:val="center"/>
              <w:rPr>
                <w:rFonts w:ascii="Times New Roman" w:eastAsia="Calibri" w:hAnsi="Times New Roman" w:cs="Times New Roman"/>
                <w:color w:val="000000" w:themeColor="text1"/>
                <w:sz w:val="24"/>
                <w:szCs w:val="24"/>
              </w:rPr>
            </w:pPr>
          </w:p>
          <w:p w:rsidR="00FA2F1C" w:rsidRDefault="00466360">
            <w:pPr>
              <w:spacing w:after="0" w:line="480" w:lineRule="auto"/>
              <w:jc w:val="center"/>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This work</w:t>
            </w:r>
          </w:p>
        </w:tc>
      </w:tr>
      <w:tr w:rsidR="00FA2F1C">
        <w:tc>
          <w:tcPr>
            <w:tcW w:w="2250"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 M KOH /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2.150 / -0.104</w:t>
            </w:r>
          </w:p>
        </w:tc>
        <w:tc>
          <w:tcPr>
            <w:tcW w:w="1265"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r>
      <w:tr w:rsidR="00FA2F1C">
        <w:tc>
          <w:tcPr>
            <w:tcW w:w="2250"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0.5 M NaHCO</w:t>
            </w:r>
            <w:r>
              <w:rPr>
                <w:rFonts w:ascii="Times New Roman" w:eastAsia="Calibri" w:hAnsi="Times New Roman" w:cs="Times New Roman"/>
                <w:color w:val="000000" w:themeColor="text1"/>
                <w:sz w:val="24"/>
                <w:szCs w:val="24"/>
                <w:vertAlign w:val="subscript"/>
              </w:rPr>
              <w:t>3</w:t>
            </w:r>
            <w:r>
              <w:rPr>
                <w:rFonts w:ascii="Times New Roman" w:eastAsia="Calibri" w:hAnsi="Times New Roman" w:cs="Times New Roman"/>
                <w:color w:val="000000" w:themeColor="text1"/>
                <w:sz w:val="24"/>
                <w:szCs w:val="24"/>
              </w:rPr>
              <w:t xml:space="preserve"> /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1.590 / 0.274</w:t>
            </w:r>
          </w:p>
        </w:tc>
        <w:tc>
          <w:tcPr>
            <w:tcW w:w="1265"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r>
      <w:tr w:rsidR="00FA2F1C">
        <w:trPr>
          <w:trHeight w:val="350"/>
        </w:trPr>
        <w:tc>
          <w:tcPr>
            <w:tcW w:w="2250" w:type="dxa"/>
            <w:vMerge w:val="restart"/>
          </w:tcPr>
          <w:p w:rsidR="00FA2F1C" w:rsidRDefault="00466360">
            <w:pPr>
              <w:spacing w:after="0" w:line="480" w:lineRule="auto"/>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PdFe</w:t>
            </w:r>
            <w:proofErr w:type="spellEnd"/>
          </w:p>
          <w:p w:rsidR="00FA2F1C" w:rsidRDefault="00FA2F1C">
            <w:pPr>
              <w:spacing w:after="0" w:line="480" w:lineRule="auto"/>
              <w:rPr>
                <w:rFonts w:ascii="Times New Roman" w:eastAsia="Calibri" w:hAnsi="Times New Roman" w:cs="Times New Roman"/>
                <w:color w:val="000000" w:themeColor="text1"/>
                <w:sz w:val="24"/>
                <w:szCs w:val="24"/>
              </w:rPr>
            </w:pPr>
          </w:p>
          <w:p w:rsidR="00FA2F1C" w:rsidRDefault="00FA2F1C">
            <w:pPr>
              <w:spacing w:after="0" w:line="480" w:lineRule="auto"/>
              <w:rPr>
                <w:rFonts w:ascii="Times New Roman" w:eastAsia="Calibri" w:hAnsi="Times New Roman" w:cs="Times New Roman"/>
                <w:color w:val="000000" w:themeColor="text1"/>
                <w:sz w:val="24"/>
                <w:szCs w:val="24"/>
              </w:rPr>
            </w:pP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 M HClO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rPr>
              <w:t xml:space="preserve"> /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1.480 / 0.770</w:t>
            </w:r>
          </w:p>
        </w:tc>
        <w:tc>
          <w:tcPr>
            <w:tcW w:w="1265" w:type="dxa"/>
            <w:vMerge w:val="restart"/>
          </w:tcPr>
          <w:p w:rsidR="00FA2F1C" w:rsidRDefault="00FA2F1C">
            <w:pPr>
              <w:spacing w:after="0" w:line="480" w:lineRule="auto"/>
              <w:rPr>
                <w:rFonts w:ascii="Times New Roman" w:eastAsia="Calibri" w:hAnsi="Times New Roman" w:cs="Times New Roman"/>
                <w:color w:val="000000" w:themeColor="text1"/>
                <w:sz w:val="24"/>
                <w:szCs w:val="24"/>
              </w:rPr>
            </w:pPr>
          </w:p>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This work</w:t>
            </w:r>
          </w:p>
          <w:p w:rsidR="00FA2F1C" w:rsidRDefault="00FA2F1C">
            <w:pPr>
              <w:spacing w:after="0" w:line="480" w:lineRule="auto"/>
              <w:jc w:val="center"/>
              <w:rPr>
                <w:rFonts w:ascii="Times New Roman" w:eastAsia="Calibri" w:hAnsi="Times New Roman" w:cs="Times New Roman"/>
                <w:color w:val="000000" w:themeColor="text1"/>
                <w:sz w:val="24"/>
                <w:szCs w:val="24"/>
              </w:rPr>
            </w:pPr>
          </w:p>
        </w:tc>
      </w:tr>
      <w:tr w:rsidR="00FA2F1C">
        <w:trPr>
          <w:trHeight w:val="260"/>
        </w:trPr>
        <w:tc>
          <w:tcPr>
            <w:tcW w:w="2250"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0.1 M KOH /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5.220 / -0.104 </w:t>
            </w:r>
          </w:p>
        </w:tc>
        <w:tc>
          <w:tcPr>
            <w:tcW w:w="1265"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r>
      <w:tr w:rsidR="00FA2F1C">
        <w:trPr>
          <w:trHeight w:val="251"/>
        </w:trPr>
        <w:tc>
          <w:tcPr>
            <w:tcW w:w="2250"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c>
          <w:tcPr>
            <w:tcW w:w="3510"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0.5 M NaHCO</w:t>
            </w:r>
            <w:r>
              <w:rPr>
                <w:rFonts w:ascii="Times New Roman" w:eastAsia="Calibri" w:hAnsi="Times New Roman" w:cs="Times New Roman"/>
                <w:color w:val="000000" w:themeColor="text1"/>
                <w:sz w:val="24"/>
                <w:szCs w:val="24"/>
                <w:vertAlign w:val="subscript"/>
              </w:rPr>
              <w:t>3</w:t>
            </w:r>
            <w:r>
              <w:rPr>
                <w:rFonts w:ascii="Times New Roman" w:eastAsia="Calibri" w:hAnsi="Times New Roman" w:cs="Times New Roman"/>
                <w:color w:val="000000" w:themeColor="text1"/>
                <w:sz w:val="24"/>
                <w:szCs w:val="24"/>
              </w:rPr>
              <w:t xml:space="preserve"> / 50 / Ag/AgCl</w:t>
            </w:r>
          </w:p>
        </w:tc>
        <w:tc>
          <w:tcPr>
            <w:tcW w:w="2245" w:type="dxa"/>
          </w:tcPr>
          <w:p w:rsidR="00FA2F1C" w:rsidRDefault="00466360">
            <w:pPr>
              <w:spacing w:after="0" w:line="48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1.450 / 0.266 </w:t>
            </w:r>
          </w:p>
        </w:tc>
        <w:tc>
          <w:tcPr>
            <w:tcW w:w="1265" w:type="dxa"/>
            <w:vMerge/>
          </w:tcPr>
          <w:p w:rsidR="00FA2F1C" w:rsidRDefault="00FA2F1C">
            <w:pPr>
              <w:spacing w:after="0" w:line="480" w:lineRule="auto"/>
              <w:rPr>
                <w:rFonts w:ascii="Times New Roman" w:eastAsia="Calibri" w:hAnsi="Times New Roman" w:cs="Times New Roman"/>
                <w:color w:val="000000" w:themeColor="text1"/>
                <w:sz w:val="24"/>
                <w:szCs w:val="24"/>
              </w:rPr>
            </w:pPr>
          </w:p>
        </w:tc>
      </w:tr>
    </w:tbl>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lang w:val="zh-CN"/>
        </w:rPr>
        <w:t>Dendrimer-encapsulated nanoparticles (DEN), polyhedron with smooth surfaces (PSS),</w:t>
      </w:r>
      <w:r>
        <w:rPr>
          <w:rFonts w:ascii="Times New Roman" w:eastAsia="Calibri" w:hAnsi="Times New Roman" w:cs="Times New Roman"/>
          <w:color w:val="000000" w:themeColor="text1"/>
          <w:sz w:val="24"/>
          <w:szCs w:val="24"/>
        </w:rPr>
        <w:t xml:space="preserve"> unsupported Pt nanoparticles (Pt(FAM)), graphitized ordered mesoporous carbons (CMK-3), metal-organic framework derived porous carbon (MOF/PC), zeolitic imidazolate framework (ZIF-67), onion-like carbon (OLC), carbon black (CB).</w:t>
      </w:r>
    </w:p>
    <w:p w:rsidR="00FA2F1C" w:rsidRDefault="00FA2F1C">
      <w:pPr>
        <w:spacing w:after="0" w:line="480" w:lineRule="auto"/>
        <w:jc w:val="both"/>
        <w:rPr>
          <w:rFonts w:ascii="Times New Roman" w:eastAsia="Calibri" w:hAnsi="Times New Roman" w:cs="Times New Roman"/>
          <w:color w:val="000000" w:themeColor="text1"/>
          <w:sz w:val="24"/>
          <w:szCs w:val="24"/>
          <w:lang w:val="zh-CN"/>
        </w:rPr>
      </w:pPr>
    </w:p>
    <w:p w:rsidR="00FA2F1C" w:rsidRDefault="00466360">
      <w:pPr>
        <w:spacing w:after="0" w:line="480" w:lineRule="auto"/>
        <w:jc w:val="both"/>
        <w:rPr>
          <w:rFonts w:ascii="Times New Roman" w:eastAsia="Calibri" w:hAnsi="Times New Roman" w:cs="Times New Roman"/>
          <w:color w:val="000000" w:themeColor="text1"/>
          <w:sz w:val="24"/>
          <w:szCs w:val="24"/>
          <w:lang w:val="zh-CN"/>
        </w:rPr>
      </w:pPr>
      <w:r>
        <w:rPr>
          <w:rFonts w:ascii="Times New Roman" w:eastAsia="Calibri" w:hAnsi="Times New Roman" w:cs="Times New Roman"/>
          <w:color w:val="000000" w:themeColor="text1"/>
          <w:sz w:val="24"/>
          <w:szCs w:val="24"/>
          <w:lang w:val="zh-CN"/>
        </w:rPr>
        <w:t xml:space="preserve">Table </w:t>
      </w:r>
      <w:r>
        <w:rPr>
          <w:rFonts w:ascii="Times New Roman" w:eastAsia="Calibri" w:hAnsi="Times New Roman" w:cs="Times New Roman"/>
          <w:color w:val="000000" w:themeColor="text1"/>
          <w:sz w:val="24"/>
          <w:szCs w:val="24"/>
        </w:rPr>
        <w:t>S4</w:t>
      </w:r>
      <w:r>
        <w:rPr>
          <w:rFonts w:ascii="Times New Roman" w:eastAsia="Calibri" w:hAnsi="Times New Roman" w:cs="Times New Roman"/>
          <w:color w:val="000000" w:themeColor="text1"/>
          <w:sz w:val="24"/>
          <w:szCs w:val="24"/>
          <w:lang w:val="zh-CN"/>
        </w:rPr>
        <w:t xml:space="preserve">: EIS data </w:t>
      </w:r>
      <w:r>
        <w:rPr>
          <w:rFonts w:ascii="Times New Roman" w:eastAsia="Calibri" w:hAnsi="Times New Roman" w:cs="Times New Roman"/>
          <w:color w:val="000000" w:themeColor="text1"/>
          <w:sz w:val="24"/>
          <w:szCs w:val="24"/>
        </w:rPr>
        <w:t xml:space="preserve">analysis </w:t>
      </w:r>
      <w:r>
        <w:rPr>
          <w:rFonts w:ascii="Times New Roman" w:eastAsia="Calibri" w:hAnsi="Times New Roman" w:cs="Times New Roman"/>
          <w:color w:val="000000" w:themeColor="text1"/>
          <w:sz w:val="24"/>
          <w:szCs w:val="24"/>
          <w:lang w:val="zh-CN"/>
        </w:rPr>
        <w:t>for the Pd</w:t>
      </w:r>
      <w:r>
        <w:rPr>
          <w:rFonts w:ascii="Times New Roman" w:eastAsia="Calibri" w:hAnsi="Times New Roman" w:cs="Times New Roman"/>
          <w:color w:val="000000" w:themeColor="text1"/>
          <w:sz w:val="24"/>
          <w:szCs w:val="24"/>
        </w:rPr>
        <w:t>Fe</w:t>
      </w:r>
      <w:r>
        <w:rPr>
          <w:rFonts w:ascii="Times New Roman" w:eastAsia="Calibri" w:hAnsi="Times New Roman" w:cs="Times New Roman"/>
          <w:color w:val="000000" w:themeColor="text1"/>
          <w:sz w:val="24"/>
          <w:szCs w:val="24"/>
          <w:lang w:val="zh-CN"/>
        </w:rPr>
        <w:t>, Pd</w:t>
      </w:r>
      <w:r>
        <w:rPr>
          <w:rFonts w:ascii="Times New Roman" w:eastAsia="Calibri" w:hAnsi="Times New Roman" w:cs="Times New Roman"/>
          <w:color w:val="000000" w:themeColor="text1"/>
          <w:sz w:val="24"/>
          <w:szCs w:val="24"/>
        </w:rPr>
        <w:t>Co</w:t>
      </w:r>
      <w:r>
        <w:rPr>
          <w:rFonts w:ascii="Times New Roman" w:eastAsia="Calibri" w:hAnsi="Times New Roman" w:cs="Times New Roman"/>
          <w:color w:val="000000" w:themeColor="text1"/>
          <w:sz w:val="24"/>
          <w:szCs w:val="24"/>
          <w:lang w:val="zh-CN"/>
        </w:rPr>
        <w:t xml:space="preserve">, </w:t>
      </w:r>
      <w:proofErr w:type="spellStart"/>
      <w:r>
        <w:rPr>
          <w:rFonts w:ascii="Times New Roman" w:eastAsia="Calibri" w:hAnsi="Times New Roman" w:cs="Times New Roman"/>
          <w:color w:val="000000" w:themeColor="text1"/>
          <w:sz w:val="24"/>
          <w:szCs w:val="24"/>
        </w:rPr>
        <w:t>PdNi</w:t>
      </w:r>
      <w:proofErr w:type="spellEnd"/>
      <w:r>
        <w:rPr>
          <w:rFonts w:ascii="Times New Roman" w:eastAsia="Calibri" w:hAnsi="Times New Roman" w:cs="Times New Roman"/>
          <w:color w:val="000000" w:themeColor="text1"/>
          <w:sz w:val="24"/>
          <w:szCs w:val="24"/>
        </w:rPr>
        <w:t>,</w:t>
      </w:r>
      <w:r>
        <w:rPr>
          <w:rFonts w:ascii="Times New Roman" w:eastAsia="Calibri" w:hAnsi="Times New Roman" w:cs="Times New Roman"/>
          <w:color w:val="000000" w:themeColor="text1"/>
          <w:sz w:val="24"/>
          <w:szCs w:val="24"/>
          <w:lang w:val="zh-CN"/>
        </w:rPr>
        <w:t xml:space="preserve"> and Pd/C in </w:t>
      </w:r>
      <w:r>
        <w:rPr>
          <w:rFonts w:ascii="Times New Roman" w:eastAsia="Calibri" w:hAnsi="Times New Roman" w:cs="Times New Roman"/>
          <w:color w:val="000000" w:themeColor="text1"/>
          <w:sz w:val="24"/>
          <w:szCs w:val="24"/>
        </w:rPr>
        <w:t>0.1 M KOH</w:t>
      </w:r>
      <w:r>
        <w:rPr>
          <w:rFonts w:ascii="Times New Roman" w:eastAsia="Calibri" w:hAnsi="Times New Roman" w:cs="Times New Roman"/>
          <w:color w:val="000000" w:themeColor="text1"/>
          <w:sz w:val="24"/>
          <w:szCs w:val="24"/>
          <w:lang w:val="zh-CN"/>
        </w:rPr>
        <w:t xml:space="preserve"> saturated</w:t>
      </w:r>
      <w:r>
        <w:rPr>
          <w:rFonts w:ascii="Times New Roman" w:eastAsia="Calibri" w:hAnsi="Times New Roman" w:cs="Times New Roman"/>
          <w:color w:val="000000" w:themeColor="text1"/>
          <w:sz w:val="24"/>
          <w:szCs w:val="24"/>
        </w:rPr>
        <w:t xml:space="preserve"> by CO</w:t>
      </w:r>
      <w:r>
        <w:rPr>
          <w:rFonts w:ascii="Times New Roman" w:eastAsia="Calibri" w:hAnsi="Times New Roman" w:cs="Times New Roman"/>
          <w:color w:val="000000" w:themeColor="text1"/>
          <w:sz w:val="24"/>
          <w:szCs w:val="24"/>
          <w:lang w:val="zh-CN"/>
        </w:rPr>
        <w:t>.</w:t>
      </w: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604"/>
        <w:gridCol w:w="1522"/>
        <w:gridCol w:w="1825"/>
        <w:gridCol w:w="1674"/>
        <w:gridCol w:w="804"/>
      </w:tblGrid>
      <w:tr w:rsidR="00FA2F1C">
        <w:tc>
          <w:tcPr>
            <w:tcW w:w="1604"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Catalysts </w:t>
            </w:r>
          </w:p>
        </w:tc>
        <w:tc>
          <w:tcPr>
            <w:tcW w:w="1522"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i/>
                <w:iCs/>
                <w:color w:val="000000" w:themeColor="text1"/>
                <w:sz w:val="24"/>
                <w:szCs w:val="24"/>
              </w:rPr>
              <w:t>R</w:t>
            </w:r>
            <w:r>
              <w:rPr>
                <w:rFonts w:ascii="Times New Roman" w:eastAsia="Calibri" w:hAnsi="Times New Roman" w:cs="Times New Roman"/>
                <w:color w:val="000000" w:themeColor="text1"/>
                <w:sz w:val="24"/>
                <w:szCs w:val="24"/>
                <w:vertAlign w:val="subscript"/>
              </w:rPr>
              <w:t>s</w:t>
            </w:r>
            <w:r>
              <w:rPr>
                <w:rFonts w:ascii="Times New Roman" w:eastAsia="Calibri" w:hAnsi="Times New Roman" w:cs="Times New Roman"/>
                <w:color w:val="000000" w:themeColor="text1"/>
                <w:sz w:val="24"/>
                <w:szCs w:val="24"/>
              </w:rPr>
              <w:t xml:space="preserve"> / Ω</w:t>
            </w:r>
          </w:p>
        </w:tc>
        <w:tc>
          <w:tcPr>
            <w:tcW w:w="1825"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i/>
                <w:iCs/>
                <w:color w:val="000000" w:themeColor="text1"/>
                <w:sz w:val="24"/>
                <w:szCs w:val="24"/>
              </w:rPr>
              <w:t>R</w:t>
            </w:r>
            <w:r>
              <w:rPr>
                <w:rFonts w:ascii="Times New Roman" w:eastAsia="Calibri" w:hAnsi="Times New Roman" w:cs="Times New Roman"/>
                <w:color w:val="000000" w:themeColor="text1"/>
                <w:sz w:val="24"/>
                <w:szCs w:val="24"/>
                <w:vertAlign w:val="subscript"/>
              </w:rPr>
              <w:t>ct</w:t>
            </w:r>
            <w:proofErr w:type="spellEnd"/>
            <w:r>
              <w:rPr>
                <w:rFonts w:ascii="Times New Roman" w:eastAsia="Calibri" w:hAnsi="Times New Roman" w:cs="Times New Roman"/>
                <w:color w:val="000000" w:themeColor="text1"/>
                <w:sz w:val="24"/>
                <w:szCs w:val="24"/>
              </w:rPr>
              <w:t xml:space="preserve"> / </w:t>
            </w:r>
            <w:proofErr w:type="spellStart"/>
            <w:r>
              <w:rPr>
                <w:rFonts w:ascii="Times New Roman" w:eastAsia="Calibri" w:hAnsi="Times New Roman" w:cs="Times New Roman"/>
                <w:color w:val="000000" w:themeColor="text1"/>
                <w:sz w:val="24"/>
                <w:szCs w:val="24"/>
              </w:rPr>
              <w:t>kΩ</w:t>
            </w:r>
            <w:proofErr w:type="spellEnd"/>
          </w:p>
        </w:tc>
        <w:tc>
          <w:tcPr>
            <w:tcW w:w="1674"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CPE / </w:t>
            </w:r>
            <w:proofErr w:type="spellStart"/>
            <w:r>
              <w:rPr>
                <w:rFonts w:ascii="Times New Roman" w:eastAsia="Calibri" w:hAnsi="Times New Roman" w:cs="Times New Roman"/>
                <w:color w:val="000000" w:themeColor="text1"/>
                <w:sz w:val="24"/>
                <w:szCs w:val="24"/>
              </w:rPr>
              <w:t>μ</w:t>
            </w:r>
            <w:proofErr w:type="gramStart"/>
            <w:r>
              <w:rPr>
                <w:rFonts w:ascii="Times New Roman" w:eastAsia="Calibri" w:hAnsi="Times New Roman" w:cs="Times New Roman"/>
                <w:color w:val="000000" w:themeColor="text1"/>
                <w:sz w:val="24"/>
                <w:szCs w:val="24"/>
              </w:rPr>
              <w:t>S.s</w:t>
            </w:r>
            <w:proofErr w:type="spellEnd"/>
            <w:proofErr w:type="gramEnd"/>
            <w:r>
              <w:rPr>
                <w:rFonts w:ascii="Times New Roman" w:eastAsia="Calibri" w:hAnsi="Times New Roman" w:cs="Times New Roman"/>
                <w:color w:val="000000" w:themeColor="text1"/>
                <w:sz w:val="24"/>
                <w:szCs w:val="24"/>
                <w:vertAlign w:val="superscript"/>
              </w:rPr>
              <w:t>(1-n)</w:t>
            </w:r>
            <w:r>
              <w:rPr>
                <w:rFonts w:ascii="Times New Roman" w:eastAsia="Calibri" w:hAnsi="Times New Roman" w:cs="Times New Roman"/>
                <w:color w:val="000000" w:themeColor="text1"/>
                <w:sz w:val="24"/>
                <w:szCs w:val="24"/>
              </w:rPr>
              <w:t xml:space="preserve"> </w:t>
            </w:r>
          </w:p>
        </w:tc>
        <w:tc>
          <w:tcPr>
            <w:tcW w:w="804"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n</w:t>
            </w:r>
          </w:p>
        </w:tc>
      </w:tr>
      <w:tr w:rsidR="00FA2F1C">
        <w:trPr>
          <w:trHeight w:val="584"/>
        </w:trPr>
        <w:tc>
          <w:tcPr>
            <w:tcW w:w="1604"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PdFe</w:t>
            </w:r>
            <w:proofErr w:type="spellEnd"/>
          </w:p>
        </w:tc>
        <w:tc>
          <w:tcPr>
            <w:tcW w:w="1522"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86.30 ± 6.7</w:t>
            </w:r>
          </w:p>
        </w:tc>
        <w:tc>
          <w:tcPr>
            <w:tcW w:w="1825"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4.60 ± 0.92</w:t>
            </w:r>
          </w:p>
        </w:tc>
        <w:tc>
          <w:tcPr>
            <w:tcW w:w="1674"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166.60 ± 9.6</w:t>
            </w:r>
          </w:p>
        </w:tc>
        <w:tc>
          <w:tcPr>
            <w:tcW w:w="804"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0.88</w:t>
            </w:r>
          </w:p>
        </w:tc>
      </w:tr>
      <w:tr w:rsidR="00FA2F1C">
        <w:trPr>
          <w:trHeight w:val="584"/>
        </w:trPr>
        <w:tc>
          <w:tcPr>
            <w:tcW w:w="1604" w:type="dxa"/>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PdCo</w:t>
            </w:r>
            <w:proofErr w:type="spellEnd"/>
          </w:p>
        </w:tc>
        <w:tc>
          <w:tcPr>
            <w:tcW w:w="1522"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129.30 ± 17.5</w:t>
            </w:r>
          </w:p>
        </w:tc>
        <w:tc>
          <w:tcPr>
            <w:tcW w:w="1825"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5.84 ± 0.15 </w:t>
            </w:r>
          </w:p>
        </w:tc>
        <w:tc>
          <w:tcPr>
            <w:tcW w:w="1674" w:type="dxa"/>
          </w:tcPr>
          <w:p w:rsidR="00FA2F1C" w:rsidRDefault="00326925">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96.99 ± 1.04</w:t>
            </w:r>
          </w:p>
        </w:tc>
        <w:tc>
          <w:tcPr>
            <w:tcW w:w="804"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0.88</w:t>
            </w:r>
          </w:p>
        </w:tc>
      </w:tr>
      <w:tr w:rsidR="00FA2F1C">
        <w:trPr>
          <w:trHeight w:val="584"/>
        </w:trPr>
        <w:tc>
          <w:tcPr>
            <w:tcW w:w="1604"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w:t>
            </w:r>
            <w:r w:rsidR="00320BE8">
              <w:rPr>
                <w:rFonts w:ascii="Times New Roman" w:eastAsia="Calibri" w:hAnsi="Times New Roman" w:cs="Times New Roman"/>
                <w:color w:val="000000" w:themeColor="text1"/>
                <w:sz w:val="24"/>
                <w:szCs w:val="24"/>
              </w:rPr>
              <w:t>Ni</w:t>
            </w:r>
            <w:proofErr w:type="spellEnd"/>
          </w:p>
        </w:tc>
        <w:tc>
          <w:tcPr>
            <w:tcW w:w="1522"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147.40 ± 11.4</w:t>
            </w:r>
          </w:p>
        </w:tc>
        <w:tc>
          <w:tcPr>
            <w:tcW w:w="1825"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7.10 ± 0.21</w:t>
            </w:r>
          </w:p>
        </w:tc>
        <w:tc>
          <w:tcPr>
            <w:tcW w:w="1674"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30.34 ± 2.12</w:t>
            </w:r>
          </w:p>
        </w:tc>
        <w:tc>
          <w:tcPr>
            <w:tcW w:w="804"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0.89</w:t>
            </w:r>
          </w:p>
        </w:tc>
      </w:tr>
      <w:tr w:rsidR="00FA2F1C">
        <w:trPr>
          <w:trHeight w:val="584"/>
        </w:trPr>
        <w:tc>
          <w:tcPr>
            <w:tcW w:w="1604"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Pd/C</w:t>
            </w:r>
          </w:p>
        </w:tc>
        <w:tc>
          <w:tcPr>
            <w:tcW w:w="1522"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84.70 ± 0.75</w:t>
            </w:r>
          </w:p>
        </w:tc>
        <w:tc>
          <w:tcPr>
            <w:tcW w:w="1825"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6.78 ± 3.78</w:t>
            </w:r>
          </w:p>
        </w:tc>
        <w:tc>
          <w:tcPr>
            <w:tcW w:w="1674" w:type="dxa"/>
            <w:tcBorders>
              <w:top w:val="nil"/>
              <w:bottom w:val="single" w:sz="12" w:space="0" w:color="auto"/>
            </w:tcBorders>
          </w:tcPr>
          <w:p w:rsidR="00FA2F1C" w:rsidRDefault="00326925">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72.25 ± 5.8</w:t>
            </w:r>
          </w:p>
        </w:tc>
        <w:tc>
          <w:tcPr>
            <w:tcW w:w="804"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0.84</w:t>
            </w:r>
          </w:p>
        </w:tc>
      </w:tr>
    </w:tbl>
    <w:p w:rsidR="00FA2F1C" w:rsidRDefault="00FA2F1C">
      <w:pPr>
        <w:spacing w:after="0" w:line="480" w:lineRule="auto"/>
        <w:rPr>
          <w:rFonts w:ascii="Times New Roman" w:hAnsi="Times New Roman" w:cs="Times New Roman"/>
          <w:color w:val="000000" w:themeColor="text1"/>
          <w:sz w:val="24"/>
          <w:szCs w:val="24"/>
        </w:rPr>
      </w:pPr>
    </w:p>
    <w:p w:rsidR="00FA2F1C" w:rsidRDefault="00466360">
      <w:pPr>
        <w:spacing w:after="0" w:line="480" w:lineRule="auto"/>
        <w:jc w:val="both"/>
        <w:rPr>
          <w:rFonts w:ascii="Times New Roman" w:eastAsia="Calibri" w:hAnsi="Times New Roman" w:cs="Times New Roman"/>
          <w:color w:val="000000" w:themeColor="text1"/>
          <w:sz w:val="24"/>
          <w:szCs w:val="24"/>
          <w:lang w:val="zh-CN"/>
        </w:rPr>
      </w:pPr>
      <w:r>
        <w:rPr>
          <w:rFonts w:ascii="Times New Roman" w:eastAsia="Calibri" w:hAnsi="Times New Roman" w:cs="Times New Roman"/>
          <w:color w:val="000000" w:themeColor="text1"/>
          <w:sz w:val="24"/>
          <w:szCs w:val="24"/>
          <w:lang w:val="zh-CN"/>
        </w:rPr>
        <w:lastRenderedPageBreak/>
        <w:t xml:space="preserve">Table </w:t>
      </w:r>
      <w:r>
        <w:rPr>
          <w:rFonts w:ascii="Times New Roman" w:eastAsia="Calibri" w:hAnsi="Times New Roman" w:cs="Times New Roman"/>
          <w:color w:val="000000" w:themeColor="text1"/>
          <w:sz w:val="24"/>
          <w:szCs w:val="24"/>
        </w:rPr>
        <w:t>S5</w:t>
      </w:r>
      <w:r>
        <w:rPr>
          <w:rFonts w:ascii="Times New Roman" w:eastAsia="Calibri" w:hAnsi="Times New Roman" w:cs="Times New Roman"/>
          <w:color w:val="000000" w:themeColor="text1"/>
          <w:sz w:val="24"/>
          <w:szCs w:val="24"/>
          <w:lang w:val="zh-CN"/>
        </w:rPr>
        <w:t>: EIS data</w:t>
      </w:r>
      <w:r>
        <w:rPr>
          <w:rFonts w:ascii="Times New Roman" w:eastAsia="Calibri" w:hAnsi="Times New Roman" w:cs="Times New Roman"/>
          <w:color w:val="000000" w:themeColor="text1"/>
          <w:sz w:val="24"/>
          <w:szCs w:val="24"/>
        </w:rPr>
        <w:t xml:space="preserve"> analysis</w:t>
      </w:r>
      <w:r>
        <w:rPr>
          <w:rFonts w:ascii="Times New Roman" w:eastAsia="Calibri" w:hAnsi="Times New Roman" w:cs="Times New Roman"/>
          <w:color w:val="000000" w:themeColor="text1"/>
          <w:sz w:val="24"/>
          <w:szCs w:val="24"/>
          <w:lang w:val="zh-CN"/>
        </w:rPr>
        <w:t xml:space="preserve"> for the Pd</w:t>
      </w:r>
      <w:r>
        <w:rPr>
          <w:rFonts w:ascii="Times New Roman" w:eastAsia="Calibri" w:hAnsi="Times New Roman" w:cs="Times New Roman"/>
          <w:color w:val="000000" w:themeColor="text1"/>
          <w:sz w:val="24"/>
          <w:szCs w:val="24"/>
        </w:rPr>
        <w:t>Fe</w:t>
      </w:r>
      <w:r>
        <w:rPr>
          <w:rFonts w:ascii="Times New Roman" w:eastAsia="Calibri" w:hAnsi="Times New Roman" w:cs="Times New Roman"/>
          <w:color w:val="000000" w:themeColor="text1"/>
          <w:sz w:val="24"/>
          <w:szCs w:val="24"/>
          <w:lang w:val="zh-CN"/>
        </w:rPr>
        <w:t>, Pd</w:t>
      </w:r>
      <w:r>
        <w:rPr>
          <w:rFonts w:ascii="Times New Roman" w:eastAsia="Calibri" w:hAnsi="Times New Roman" w:cs="Times New Roman"/>
          <w:color w:val="000000" w:themeColor="text1"/>
          <w:sz w:val="24"/>
          <w:szCs w:val="24"/>
        </w:rPr>
        <w:t>Co</w:t>
      </w:r>
      <w:r>
        <w:rPr>
          <w:rFonts w:ascii="Times New Roman" w:eastAsia="Calibri" w:hAnsi="Times New Roman" w:cs="Times New Roman"/>
          <w:color w:val="000000" w:themeColor="text1"/>
          <w:sz w:val="24"/>
          <w:szCs w:val="24"/>
          <w:lang w:val="zh-CN"/>
        </w:rPr>
        <w:t xml:space="preserve">, </w:t>
      </w:r>
      <w:proofErr w:type="spellStart"/>
      <w:r>
        <w:rPr>
          <w:rFonts w:ascii="Times New Roman" w:eastAsia="Calibri" w:hAnsi="Times New Roman" w:cs="Times New Roman"/>
          <w:color w:val="000000" w:themeColor="text1"/>
          <w:sz w:val="24"/>
          <w:szCs w:val="24"/>
        </w:rPr>
        <w:t>PdNi</w:t>
      </w:r>
      <w:proofErr w:type="spellEnd"/>
      <w:r>
        <w:rPr>
          <w:rFonts w:ascii="Times New Roman" w:eastAsia="Calibri" w:hAnsi="Times New Roman" w:cs="Times New Roman"/>
          <w:color w:val="000000" w:themeColor="text1"/>
          <w:sz w:val="24"/>
          <w:szCs w:val="24"/>
        </w:rPr>
        <w:t>,</w:t>
      </w:r>
      <w:r>
        <w:rPr>
          <w:rFonts w:ascii="Times New Roman" w:eastAsia="Calibri" w:hAnsi="Times New Roman" w:cs="Times New Roman"/>
          <w:color w:val="000000" w:themeColor="text1"/>
          <w:sz w:val="24"/>
          <w:szCs w:val="24"/>
          <w:lang w:val="zh-CN"/>
        </w:rPr>
        <w:t xml:space="preserve"> and Pd/C in </w:t>
      </w:r>
      <w:r>
        <w:rPr>
          <w:rFonts w:ascii="Times New Roman" w:eastAsia="Calibri" w:hAnsi="Times New Roman" w:cs="Times New Roman"/>
          <w:color w:val="000000" w:themeColor="text1"/>
          <w:sz w:val="24"/>
          <w:szCs w:val="24"/>
        </w:rPr>
        <w:t>0.1 M HClO</w:t>
      </w:r>
      <w:r>
        <w:rPr>
          <w:rFonts w:ascii="Times New Roman" w:eastAsia="Calibri" w:hAnsi="Times New Roman" w:cs="Times New Roman"/>
          <w:color w:val="000000" w:themeColor="text1"/>
          <w:sz w:val="24"/>
          <w:szCs w:val="24"/>
          <w:vertAlign w:val="subscript"/>
        </w:rPr>
        <w:t>4</w:t>
      </w:r>
      <w:r>
        <w:rPr>
          <w:rFonts w:ascii="Times New Roman" w:eastAsia="Calibri" w:hAnsi="Times New Roman" w:cs="Times New Roman"/>
          <w:color w:val="000000" w:themeColor="text1"/>
          <w:sz w:val="24"/>
          <w:szCs w:val="24"/>
          <w:lang w:val="zh-CN"/>
        </w:rPr>
        <w:t xml:space="preserve"> saturated</w:t>
      </w:r>
      <w:r>
        <w:rPr>
          <w:rFonts w:ascii="Times New Roman" w:eastAsia="Calibri" w:hAnsi="Times New Roman" w:cs="Times New Roman"/>
          <w:color w:val="000000" w:themeColor="text1"/>
          <w:sz w:val="24"/>
          <w:szCs w:val="24"/>
        </w:rPr>
        <w:t xml:space="preserve"> by CO</w:t>
      </w:r>
      <w:r>
        <w:rPr>
          <w:rFonts w:ascii="Times New Roman" w:eastAsia="Calibri" w:hAnsi="Times New Roman" w:cs="Times New Roman"/>
          <w:color w:val="000000" w:themeColor="text1"/>
          <w:sz w:val="24"/>
          <w:szCs w:val="24"/>
          <w:lang w:val="zh-CN"/>
        </w:rPr>
        <w:t>.</w:t>
      </w: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604"/>
        <w:gridCol w:w="1522"/>
        <w:gridCol w:w="1825"/>
        <w:gridCol w:w="1674"/>
        <w:gridCol w:w="804"/>
      </w:tblGrid>
      <w:tr w:rsidR="00FA2F1C">
        <w:tc>
          <w:tcPr>
            <w:tcW w:w="1604"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Catalysts </w:t>
            </w:r>
          </w:p>
        </w:tc>
        <w:tc>
          <w:tcPr>
            <w:tcW w:w="1522"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i/>
                <w:iCs/>
                <w:color w:val="000000" w:themeColor="text1"/>
                <w:sz w:val="24"/>
                <w:szCs w:val="24"/>
              </w:rPr>
              <w:t>R</w:t>
            </w:r>
            <w:r>
              <w:rPr>
                <w:rFonts w:ascii="Times New Roman" w:eastAsia="Calibri" w:hAnsi="Times New Roman" w:cs="Times New Roman"/>
                <w:color w:val="000000" w:themeColor="text1"/>
                <w:sz w:val="24"/>
                <w:szCs w:val="24"/>
                <w:vertAlign w:val="subscript"/>
              </w:rPr>
              <w:t>s</w:t>
            </w:r>
            <w:r>
              <w:rPr>
                <w:rFonts w:ascii="Times New Roman" w:eastAsia="Calibri" w:hAnsi="Times New Roman" w:cs="Times New Roman"/>
                <w:color w:val="000000" w:themeColor="text1"/>
                <w:sz w:val="24"/>
                <w:szCs w:val="24"/>
              </w:rPr>
              <w:t xml:space="preserve"> / Ω</w:t>
            </w:r>
          </w:p>
        </w:tc>
        <w:tc>
          <w:tcPr>
            <w:tcW w:w="1825"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i/>
                <w:iCs/>
                <w:color w:val="000000" w:themeColor="text1"/>
                <w:sz w:val="24"/>
                <w:szCs w:val="24"/>
              </w:rPr>
              <w:t>R</w:t>
            </w:r>
            <w:r>
              <w:rPr>
                <w:rFonts w:ascii="Times New Roman" w:eastAsia="Calibri" w:hAnsi="Times New Roman" w:cs="Times New Roman"/>
                <w:color w:val="000000" w:themeColor="text1"/>
                <w:sz w:val="24"/>
                <w:szCs w:val="24"/>
                <w:vertAlign w:val="subscript"/>
              </w:rPr>
              <w:t>ct</w:t>
            </w:r>
            <w:proofErr w:type="spellEnd"/>
            <w:r>
              <w:rPr>
                <w:rFonts w:ascii="Times New Roman" w:eastAsia="Calibri" w:hAnsi="Times New Roman" w:cs="Times New Roman"/>
                <w:color w:val="000000" w:themeColor="text1"/>
                <w:sz w:val="24"/>
                <w:szCs w:val="24"/>
              </w:rPr>
              <w:t xml:space="preserve"> / </w:t>
            </w:r>
            <w:proofErr w:type="spellStart"/>
            <w:r>
              <w:rPr>
                <w:rFonts w:ascii="Times New Roman" w:eastAsia="Calibri" w:hAnsi="Times New Roman" w:cs="Times New Roman"/>
                <w:color w:val="000000" w:themeColor="text1"/>
                <w:sz w:val="24"/>
                <w:szCs w:val="24"/>
              </w:rPr>
              <w:t>kΩ</w:t>
            </w:r>
            <w:proofErr w:type="spellEnd"/>
          </w:p>
        </w:tc>
        <w:tc>
          <w:tcPr>
            <w:tcW w:w="1674"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CPE / </w:t>
            </w:r>
            <w:proofErr w:type="spellStart"/>
            <w:r>
              <w:rPr>
                <w:rFonts w:ascii="Times New Roman" w:eastAsia="Calibri" w:hAnsi="Times New Roman" w:cs="Times New Roman"/>
                <w:color w:val="000000" w:themeColor="text1"/>
                <w:sz w:val="24"/>
                <w:szCs w:val="24"/>
              </w:rPr>
              <w:t>μ</w:t>
            </w:r>
            <w:proofErr w:type="gramStart"/>
            <w:r>
              <w:rPr>
                <w:rFonts w:ascii="Times New Roman" w:eastAsia="Calibri" w:hAnsi="Times New Roman" w:cs="Times New Roman"/>
                <w:color w:val="000000" w:themeColor="text1"/>
                <w:sz w:val="24"/>
                <w:szCs w:val="24"/>
              </w:rPr>
              <w:t>S.s</w:t>
            </w:r>
            <w:proofErr w:type="spellEnd"/>
            <w:proofErr w:type="gramEnd"/>
            <w:r>
              <w:rPr>
                <w:rFonts w:ascii="Times New Roman" w:eastAsia="Calibri" w:hAnsi="Times New Roman" w:cs="Times New Roman"/>
                <w:color w:val="000000" w:themeColor="text1"/>
                <w:sz w:val="24"/>
                <w:szCs w:val="24"/>
                <w:vertAlign w:val="superscript"/>
              </w:rPr>
              <w:t>(1-n)</w:t>
            </w:r>
            <w:r>
              <w:rPr>
                <w:rFonts w:ascii="Times New Roman" w:eastAsia="Calibri" w:hAnsi="Times New Roman" w:cs="Times New Roman"/>
                <w:color w:val="000000" w:themeColor="text1"/>
                <w:sz w:val="24"/>
                <w:szCs w:val="24"/>
              </w:rPr>
              <w:t xml:space="preserve"> </w:t>
            </w:r>
          </w:p>
        </w:tc>
        <w:tc>
          <w:tcPr>
            <w:tcW w:w="804"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n</w:t>
            </w:r>
          </w:p>
        </w:tc>
      </w:tr>
      <w:tr w:rsidR="00FA2F1C">
        <w:trPr>
          <w:trHeight w:val="584"/>
        </w:trPr>
        <w:tc>
          <w:tcPr>
            <w:tcW w:w="1604"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PdFe</w:t>
            </w:r>
            <w:proofErr w:type="spellEnd"/>
          </w:p>
        </w:tc>
        <w:tc>
          <w:tcPr>
            <w:tcW w:w="1522"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61.41 ± </w:t>
            </w:r>
            <w:r w:rsidR="00D73CEF">
              <w:rPr>
                <w:rFonts w:ascii="Times New Roman" w:eastAsia="Calibri" w:hAnsi="Times New Roman" w:cs="Times New Roman"/>
                <w:color w:val="000000" w:themeColor="text1"/>
                <w:sz w:val="24"/>
                <w:szCs w:val="24"/>
              </w:rPr>
              <w:t>0.</w:t>
            </w:r>
          </w:p>
        </w:tc>
        <w:tc>
          <w:tcPr>
            <w:tcW w:w="1825"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3.94 ± 0.58</w:t>
            </w:r>
          </w:p>
        </w:tc>
        <w:tc>
          <w:tcPr>
            <w:tcW w:w="1674"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43.1 ± 1.2</w:t>
            </w:r>
          </w:p>
        </w:tc>
        <w:tc>
          <w:tcPr>
            <w:tcW w:w="804"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0.85</w:t>
            </w:r>
          </w:p>
        </w:tc>
      </w:tr>
      <w:tr w:rsidR="00FA2F1C">
        <w:trPr>
          <w:trHeight w:val="584"/>
        </w:trPr>
        <w:tc>
          <w:tcPr>
            <w:tcW w:w="1604" w:type="dxa"/>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PdCo</w:t>
            </w:r>
            <w:proofErr w:type="spellEnd"/>
          </w:p>
        </w:tc>
        <w:tc>
          <w:tcPr>
            <w:tcW w:w="1522"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128.2 ± 2</w:t>
            </w:r>
            <w:r w:rsidR="00F1233B">
              <w:rPr>
                <w:rFonts w:ascii="Times New Roman" w:eastAsia="Calibri" w:hAnsi="Times New Roman" w:cs="Times New Roman"/>
                <w:color w:val="000000" w:themeColor="text1"/>
                <w:sz w:val="24"/>
                <w:szCs w:val="24"/>
              </w:rPr>
              <w:t>.</w:t>
            </w:r>
            <w:r>
              <w:rPr>
                <w:rFonts w:ascii="Times New Roman" w:eastAsia="Calibri" w:hAnsi="Times New Roman" w:cs="Times New Roman"/>
                <w:color w:val="000000" w:themeColor="text1"/>
                <w:sz w:val="24"/>
                <w:szCs w:val="24"/>
              </w:rPr>
              <w:t>79</w:t>
            </w:r>
          </w:p>
        </w:tc>
        <w:tc>
          <w:tcPr>
            <w:tcW w:w="1825"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5.06 ± 0.908</w:t>
            </w:r>
          </w:p>
        </w:tc>
        <w:tc>
          <w:tcPr>
            <w:tcW w:w="1674"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25.21 ± 1.2</w:t>
            </w:r>
          </w:p>
        </w:tc>
        <w:tc>
          <w:tcPr>
            <w:tcW w:w="804"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0.90</w:t>
            </w:r>
          </w:p>
        </w:tc>
      </w:tr>
      <w:tr w:rsidR="00FA2F1C">
        <w:trPr>
          <w:trHeight w:val="584"/>
        </w:trPr>
        <w:tc>
          <w:tcPr>
            <w:tcW w:w="1604"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PdNi</w:t>
            </w:r>
            <w:proofErr w:type="spellEnd"/>
          </w:p>
        </w:tc>
        <w:tc>
          <w:tcPr>
            <w:tcW w:w="1522"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115.9 ± 1.97</w:t>
            </w:r>
          </w:p>
        </w:tc>
        <w:tc>
          <w:tcPr>
            <w:tcW w:w="1825"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53.13 ± 0.482</w:t>
            </w:r>
          </w:p>
        </w:tc>
        <w:tc>
          <w:tcPr>
            <w:tcW w:w="1674"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18.83 ± 0.48</w:t>
            </w:r>
          </w:p>
        </w:tc>
        <w:tc>
          <w:tcPr>
            <w:tcW w:w="804" w:type="dxa"/>
            <w:tcBorders>
              <w:bottom w:val="nil"/>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0.88</w:t>
            </w:r>
          </w:p>
        </w:tc>
      </w:tr>
      <w:tr w:rsidR="00FA2F1C">
        <w:trPr>
          <w:trHeight w:val="584"/>
        </w:trPr>
        <w:tc>
          <w:tcPr>
            <w:tcW w:w="1604"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Pd/C</w:t>
            </w:r>
          </w:p>
        </w:tc>
        <w:tc>
          <w:tcPr>
            <w:tcW w:w="1522"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144.70 ± 0.75</w:t>
            </w:r>
          </w:p>
        </w:tc>
        <w:tc>
          <w:tcPr>
            <w:tcW w:w="1825"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107.60 ± 3.78</w:t>
            </w:r>
          </w:p>
        </w:tc>
        <w:tc>
          <w:tcPr>
            <w:tcW w:w="1674"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24.01 ± 2.22</w:t>
            </w:r>
          </w:p>
        </w:tc>
        <w:tc>
          <w:tcPr>
            <w:tcW w:w="804"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0.90</w:t>
            </w:r>
          </w:p>
        </w:tc>
      </w:tr>
    </w:tbl>
    <w:p w:rsidR="00FA2F1C" w:rsidRDefault="00FA2F1C">
      <w:pPr>
        <w:spacing w:line="480" w:lineRule="auto"/>
        <w:rPr>
          <w:rFonts w:ascii="Times New Roman" w:hAnsi="Times New Roman" w:cs="Times New Roman"/>
          <w:color w:val="000000" w:themeColor="text1"/>
          <w:sz w:val="24"/>
          <w:szCs w:val="24"/>
        </w:rPr>
      </w:pPr>
    </w:p>
    <w:p w:rsidR="00FA2F1C" w:rsidRDefault="00466360">
      <w:pPr>
        <w:spacing w:after="0" w:line="480" w:lineRule="auto"/>
        <w:rPr>
          <w:rFonts w:ascii="Times New Roman" w:hAnsi="Times New Roman" w:cs="Times New Roman"/>
          <w:color w:val="000000" w:themeColor="text1"/>
          <w:sz w:val="24"/>
          <w:szCs w:val="24"/>
        </w:rPr>
      </w:pPr>
      <w:r>
        <w:rPr>
          <w:noProof/>
          <w:color w:val="000000" w:themeColor="text1"/>
        </w:rPr>
        <w:drawing>
          <wp:inline distT="0" distB="0" distL="0" distR="0">
            <wp:extent cx="5943600" cy="3367405"/>
            <wp:effectExtent l="0" t="0" r="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13"/>
                    <a:stretch>
                      <a:fillRect/>
                    </a:stretch>
                  </pic:blipFill>
                  <pic:spPr>
                    <a:xfrm>
                      <a:off x="0" y="0"/>
                      <a:ext cx="5943600" cy="3367405"/>
                    </a:xfrm>
                    <a:prstGeom prst="rect">
                      <a:avLst/>
                    </a:prstGeom>
                  </pic:spPr>
                </pic:pic>
              </a:graphicData>
            </a:graphic>
          </wp:inline>
        </w:drawing>
      </w:r>
    </w:p>
    <w:p w:rsidR="00FA2F1C" w:rsidRDefault="00466360">
      <w:pPr>
        <w:spacing w:line="480" w:lineRule="auto"/>
        <w:jc w:val="both"/>
        <w:rPr>
          <w:rFonts w:ascii="Times New Roman" w:eastAsia="Calibri" w:hAnsi="Times New Roman" w:cs="Times New Roman"/>
          <w:color w:val="000000" w:themeColor="text1"/>
          <w:sz w:val="24"/>
          <w:szCs w:val="24"/>
          <w:vertAlign w:val="subscript"/>
        </w:rPr>
      </w:pPr>
      <w:r>
        <w:rPr>
          <w:rFonts w:ascii="Times New Roman" w:eastAsia="Calibri" w:hAnsi="Times New Roman" w:cs="Times New Roman"/>
          <w:color w:val="000000" w:themeColor="text1"/>
          <w:sz w:val="24"/>
          <w:szCs w:val="24"/>
        </w:rPr>
        <w:t xml:space="preserve">Fig. S6. (a) CV curves, (b) LSV curves at 50 mV/s, and (c-f) scan rate studies of </w:t>
      </w:r>
      <w:proofErr w:type="spellStart"/>
      <w:r>
        <w:rPr>
          <w:rFonts w:ascii="Times New Roman" w:eastAsia="Calibri" w:hAnsi="Times New Roman" w:cs="Times New Roman"/>
          <w:color w:val="000000" w:themeColor="text1"/>
          <w:sz w:val="24"/>
          <w:szCs w:val="24"/>
        </w:rPr>
        <w:t>PdFe</w:t>
      </w:r>
      <w:proofErr w:type="spellEnd"/>
      <w:r>
        <w:rPr>
          <w:rFonts w:ascii="Times New Roman" w:eastAsia="Calibri" w:hAnsi="Times New Roman" w:cs="Times New Roman"/>
          <w:color w:val="000000" w:themeColor="text1"/>
          <w:sz w:val="24"/>
          <w:szCs w:val="24"/>
        </w:rPr>
        <w:t xml:space="preserve">, </w:t>
      </w:r>
      <w:proofErr w:type="spellStart"/>
      <w:r>
        <w:rPr>
          <w:rFonts w:ascii="Times New Roman" w:eastAsia="Calibri" w:hAnsi="Times New Roman" w:cs="Times New Roman"/>
          <w:color w:val="000000" w:themeColor="text1"/>
          <w:sz w:val="24"/>
          <w:szCs w:val="24"/>
        </w:rPr>
        <w:t>PdCo</w:t>
      </w:r>
      <w:proofErr w:type="spellEnd"/>
      <w:r>
        <w:rPr>
          <w:rFonts w:ascii="Times New Roman" w:eastAsia="Calibri" w:hAnsi="Times New Roman" w:cs="Times New Roman"/>
          <w:color w:val="000000" w:themeColor="text1"/>
          <w:sz w:val="24"/>
          <w:szCs w:val="24"/>
        </w:rPr>
        <w:t xml:space="preserve">, </w:t>
      </w:r>
      <w:proofErr w:type="spellStart"/>
      <w:r>
        <w:rPr>
          <w:rFonts w:ascii="Times New Roman" w:eastAsia="Calibri" w:hAnsi="Times New Roman" w:cs="Times New Roman"/>
          <w:color w:val="000000" w:themeColor="text1"/>
          <w:sz w:val="24"/>
          <w:szCs w:val="24"/>
        </w:rPr>
        <w:t>PdNi</w:t>
      </w:r>
      <w:proofErr w:type="spellEnd"/>
      <w:r>
        <w:rPr>
          <w:rFonts w:ascii="Times New Roman" w:eastAsia="Calibri" w:hAnsi="Times New Roman" w:cs="Times New Roman"/>
          <w:color w:val="000000" w:themeColor="text1"/>
          <w:sz w:val="24"/>
          <w:szCs w:val="24"/>
        </w:rPr>
        <w:t>, and Pd/C in CO-saturated 0.5 M NaHCO</w:t>
      </w:r>
      <w:r>
        <w:rPr>
          <w:rFonts w:ascii="Times New Roman" w:eastAsia="Calibri" w:hAnsi="Times New Roman" w:cs="Times New Roman"/>
          <w:color w:val="000000" w:themeColor="text1"/>
          <w:sz w:val="24"/>
          <w:szCs w:val="24"/>
          <w:vertAlign w:val="subscript"/>
        </w:rPr>
        <w:t>3</w:t>
      </w:r>
    </w:p>
    <w:p w:rsidR="00FA2F1C" w:rsidRDefault="00B718D5">
      <w:pPr>
        <w:spacing w:line="480" w:lineRule="auto"/>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lastRenderedPageBreak/>
        <w:drawing>
          <wp:inline distT="0" distB="0" distL="0" distR="0" wp14:anchorId="13B5C769">
            <wp:extent cx="5943600" cy="2494096"/>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2494096"/>
                    </a:xfrm>
                    <a:prstGeom prst="rect">
                      <a:avLst/>
                    </a:prstGeom>
                    <a:noFill/>
                  </pic:spPr>
                </pic:pic>
              </a:graphicData>
            </a:graphic>
          </wp:inline>
        </w:drawing>
      </w:r>
    </w:p>
    <w:p w:rsidR="00FA2F1C" w:rsidRDefault="00466360">
      <w:pPr>
        <w:spacing w:after="0" w:line="480" w:lineRule="auto"/>
        <w:jc w:val="both"/>
        <w:rPr>
          <w:rFonts w:ascii="Times New Roman" w:eastAsia="Calibri" w:hAnsi="Times New Roman" w:cs="Times New Roman"/>
          <w:color w:val="000000" w:themeColor="text1"/>
          <w:sz w:val="24"/>
          <w:szCs w:val="24"/>
          <w:vertAlign w:val="subscript"/>
        </w:rPr>
      </w:pPr>
      <w:r>
        <w:rPr>
          <w:rFonts w:ascii="Times New Roman" w:eastAsia="Calibri" w:hAnsi="Times New Roman" w:cs="Times New Roman"/>
          <w:color w:val="000000" w:themeColor="text1"/>
          <w:sz w:val="24"/>
          <w:szCs w:val="24"/>
        </w:rPr>
        <w:t xml:space="preserve">Fig. S7. (a) CA curves, (b-e) CV curves at initial and 1000 cycles, (f) Nyquist plots, and (g) Bode plots of </w:t>
      </w:r>
      <w:proofErr w:type="spellStart"/>
      <w:r>
        <w:rPr>
          <w:rFonts w:ascii="Times New Roman" w:eastAsia="Calibri" w:hAnsi="Times New Roman" w:cs="Times New Roman"/>
          <w:color w:val="000000" w:themeColor="text1"/>
          <w:sz w:val="24"/>
          <w:szCs w:val="24"/>
        </w:rPr>
        <w:t>PdFe</w:t>
      </w:r>
      <w:proofErr w:type="spellEnd"/>
      <w:r>
        <w:rPr>
          <w:rFonts w:ascii="Times New Roman" w:eastAsia="Calibri" w:hAnsi="Times New Roman" w:cs="Times New Roman"/>
          <w:color w:val="000000" w:themeColor="text1"/>
          <w:sz w:val="24"/>
          <w:szCs w:val="24"/>
        </w:rPr>
        <w:t xml:space="preserve">, </w:t>
      </w:r>
      <w:proofErr w:type="spellStart"/>
      <w:r>
        <w:rPr>
          <w:rFonts w:ascii="Times New Roman" w:eastAsia="Calibri" w:hAnsi="Times New Roman" w:cs="Times New Roman"/>
          <w:color w:val="000000" w:themeColor="text1"/>
          <w:sz w:val="24"/>
          <w:szCs w:val="24"/>
        </w:rPr>
        <w:t>PdCo</w:t>
      </w:r>
      <w:proofErr w:type="spellEnd"/>
      <w:r>
        <w:rPr>
          <w:rFonts w:ascii="Times New Roman" w:eastAsia="Calibri" w:hAnsi="Times New Roman" w:cs="Times New Roman"/>
          <w:color w:val="000000" w:themeColor="text1"/>
          <w:sz w:val="24"/>
          <w:szCs w:val="24"/>
        </w:rPr>
        <w:t xml:space="preserve">, </w:t>
      </w:r>
      <w:proofErr w:type="spellStart"/>
      <w:r>
        <w:rPr>
          <w:rFonts w:ascii="Times New Roman" w:eastAsia="Calibri" w:hAnsi="Times New Roman" w:cs="Times New Roman"/>
          <w:color w:val="000000" w:themeColor="text1"/>
          <w:sz w:val="24"/>
          <w:szCs w:val="24"/>
        </w:rPr>
        <w:t>PdNi</w:t>
      </w:r>
      <w:proofErr w:type="spellEnd"/>
      <w:r>
        <w:rPr>
          <w:rFonts w:ascii="Times New Roman" w:eastAsia="Calibri" w:hAnsi="Times New Roman" w:cs="Times New Roman"/>
          <w:color w:val="000000" w:themeColor="text1"/>
          <w:sz w:val="24"/>
          <w:szCs w:val="24"/>
        </w:rPr>
        <w:t>, and Pd/C in CO-saturated 0.5 M NaHCO</w:t>
      </w:r>
      <w:r>
        <w:rPr>
          <w:rFonts w:ascii="Times New Roman" w:eastAsia="Calibri" w:hAnsi="Times New Roman" w:cs="Times New Roman"/>
          <w:color w:val="000000" w:themeColor="text1"/>
          <w:sz w:val="24"/>
          <w:szCs w:val="24"/>
          <w:vertAlign w:val="subscript"/>
        </w:rPr>
        <w:t>3</w:t>
      </w:r>
    </w:p>
    <w:p w:rsidR="00FA2F1C" w:rsidRDefault="00FA2F1C">
      <w:pPr>
        <w:spacing w:after="0" w:line="480" w:lineRule="auto"/>
        <w:jc w:val="both"/>
        <w:rPr>
          <w:rFonts w:ascii="Times New Roman" w:eastAsia="Calibri" w:hAnsi="Times New Roman" w:cs="Times New Roman"/>
          <w:color w:val="000000" w:themeColor="text1"/>
          <w:sz w:val="24"/>
          <w:szCs w:val="24"/>
        </w:rPr>
      </w:pPr>
    </w:p>
    <w:p w:rsidR="00FA2F1C" w:rsidRDefault="00466360">
      <w:pPr>
        <w:spacing w:after="0" w:line="480" w:lineRule="auto"/>
        <w:jc w:val="both"/>
        <w:rPr>
          <w:rFonts w:ascii="Times New Roman" w:eastAsia="Calibri" w:hAnsi="Times New Roman" w:cs="Times New Roman"/>
          <w:color w:val="000000" w:themeColor="text1"/>
          <w:sz w:val="24"/>
          <w:szCs w:val="24"/>
          <w:lang w:val="zh-CN"/>
        </w:rPr>
      </w:pPr>
      <w:r>
        <w:rPr>
          <w:rFonts w:ascii="Times New Roman" w:eastAsia="Calibri" w:hAnsi="Times New Roman" w:cs="Times New Roman"/>
          <w:color w:val="000000" w:themeColor="text1"/>
          <w:sz w:val="24"/>
          <w:szCs w:val="24"/>
          <w:lang w:val="zh-CN"/>
        </w:rPr>
        <w:t xml:space="preserve">Table </w:t>
      </w:r>
      <w:r>
        <w:rPr>
          <w:rFonts w:ascii="Times New Roman" w:eastAsia="Calibri" w:hAnsi="Times New Roman" w:cs="Times New Roman"/>
          <w:color w:val="000000" w:themeColor="text1"/>
          <w:sz w:val="24"/>
          <w:szCs w:val="24"/>
        </w:rPr>
        <w:t>S6</w:t>
      </w:r>
      <w:r>
        <w:rPr>
          <w:rFonts w:ascii="Times New Roman" w:eastAsia="Calibri" w:hAnsi="Times New Roman" w:cs="Times New Roman"/>
          <w:color w:val="000000" w:themeColor="text1"/>
          <w:sz w:val="24"/>
          <w:szCs w:val="24"/>
          <w:lang w:val="zh-CN"/>
        </w:rPr>
        <w:t xml:space="preserve">: EIS data </w:t>
      </w:r>
      <w:r>
        <w:rPr>
          <w:rFonts w:ascii="Times New Roman" w:eastAsia="Calibri" w:hAnsi="Times New Roman" w:cs="Times New Roman"/>
          <w:color w:val="000000" w:themeColor="text1"/>
          <w:sz w:val="24"/>
          <w:szCs w:val="24"/>
        </w:rPr>
        <w:t xml:space="preserve">analysis </w:t>
      </w:r>
      <w:r>
        <w:rPr>
          <w:rFonts w:ascii="Times New Roman" w:eastAsia="Calibri" w:hAnsi="Times New Roman" w:cs="Times New Roman"/>
          <w:color w:val="000000" w:themeColor="text1"/>
          <w:sz w:val="24"/>
          <w:szCs w:val="24"/>
          <w:lang w:val="zh-CN"/>
        </w:rPr>
        <w:t>for the Pd</w:t>
      </w:r>
      <w:r>
        <w:rPr>
          <w:rFonts w:ascii="Times New Roman" w:eastAsia="Calibri" w:hAnsi="Times New Roman" w:cs="Times New Roman"/>
          <w:color w:val="000000" w:themeColor="text1"/>
          <w:sz w:val="24"/>
          <w:szCs w:val="24"/>
        </w:rPr>
        <w:t>Fe</w:t>
      </w:r>
      <w:r>
        <w:rPr>
          <w:rFonts w:ascii="Times New Roman" w:eastAsia="Calibri" w:hAnsi="Times New Roman" w:cs="Times New Roman"/>
          <w:color w:val="000000" w:themeColor="text1"/>
          <w:sz w:val="24"/>
          <w:szCs w:val="24"/>
          <w:lang w:val="zh-CN"/>
        </w:rPr>
        <w:t>, Pd</w:t>
      </w:r>
      <w:r>
        <w:rPr>
          <w:rFonts w:ascii="Times New Roman" w:eastAsia="Calibri" w:hAnsi="Times New Roman" w:cs="Times New Roman"/>
          <w:color w:val="000000" w:themeColor="text1"/>
          <w:sz w:val="24"/>
          <w:szCs w:val="24"/>
        </w:rPr>
        <w:t>Co</w:t>
      </w:r>
      <w:r>
        <w:rPr>
          <w:rFonts w:ascii="Times New Roman" w:eastAsia="Calibri" w:hAnsi="Times New Roman" w:cs="Times New Roman"/>
          <w:color w:val="000000" w:themeColor="text1"/>
          <w:sz w:val="24"/>
          <w:szCs w:val="24"/>
          <w:lang w:val="zh-CN"/>
        </w:rPr>
        <w:t xml:space="preserve">, </w:t>
      </w:r>
      <w:proofErr w:type="spellStart"/>
      <w:r>
        <w:rPr>
          <w:rFonts w:ascii="Times New Roman" w:eastAsia="Calibri" w:hAnsi="Times New Roman" w:cs="Times New Roman"/>
          <w:color w:val="000000" w:themeColor="text1"/>
          <w:sz w:val="24"/>
          <w:szCs w:val="24"/>
        </w:rPr>
        <w:t>PdNi</w:t>
      </w:r>
      <w:proofErr w:type="spellEnd"/>
      <w:r>
        <w:rPr>
          <w:rFonts w:ascii="Times New Roman" w:eastAsia="Calibri" w:hAnsi="Times New Roman" w:cs="Times New Roman"/>
          <w:color w:val="000000" w:themeColor="text1"/>
          <w:sz w:val="24"/>
          <w:szCs w:val="24"/>
        </w:rPr>
        <w:t>,</w:t>
      </w:r>
      <w:r>
        <w:rPr>
          <w:rFonts w:ascii="Times New Roman" w:eastAsia="Calibri" w:hAnsi="Times New Roman" w:cs="Times New Roman"/>
          <w:color w:val="000000" w:themeColor="text1"/>
          <w:sz w:val="24"/>
          <w:szCs w:val="24"/>
          <w:lang w:val="zh-CN"/>
        </w:rPr>
        <w:t xml:space="preserve"> and Pd/C in </w:t>
      </w:r>
      <w:r>
        <w:rPr>
          <w:rFonts w:ascii="Times New Roman" w:eastAsia="Calibri" w:hAnsi="Times New Roman" w:cs="Times New Roman"/>
          <w:color w:val="000000" w:themeColor="text1"/>
          <w:sz w:val="24"/>
          <w:szCs w:val="24"/>
        </w:rPr>
        <w:t>0.5 M NaHCO</w:t>
      </w:r>
      <w:r>
        <w:rPr>
          <w:rFonts w:ascii="Times New Roman" w:eastAsia="Calibri" w:hAnsi="Times New Roman" w:cs="Times New Roman"/>
          <w:color w:val="000000" w:themeColor="text1"/>
          <w:sz w:val="24"/>
          <w:szCs w:val="24"/>
          <w:vertAlign w:val="subscript"/>
        </w:rPr>
        <w:t xml:space="preserve">3 </w:t>
      </w:r>
      <w:r>
        <w:rPr>
          <w:rFonts w:ascii="Times New Roman" w:eastAsia="Calibri" w:hAnsi="Times New Roman" w:cs="Times New Roman"/>
          <w:color w:val="000000" w:themeColor="text1"/>
          <w:sz w:val="24"/>
          <w:szCs w:val="24"/>
          <w:lang w:val="zh-CN"/>
        </w:rPr>
        <w:t>saturated</w:t>
      </w:r>
      <w:r>
        <w:rPr>
          <w:rFonts w:ascii="Times New Roman" w:eastAsia="Calibri" w:hAnsi="Times New Roman" w:cs="Times New Roman"/>
          <w:color w:val="000000" w:themeColor="text1"/>
          <w:sz w:val="24"/>
          <w:szCs w:val="24"/>
        </w:rPr>
        <w:t xml:space="preserve"> by CO</w:t>
      </w:r>
      <w:r>
        <w:rPr>
          <w:rFonts w:ascii="Times New Roman" w:eastAsia="Calibri" w:hAnsi="Times New Roman" w:cs="Times New Roman"/>
          <w:color w:val="000000" w:themeColor="text1"/>
          <w:sz w:val="24"/>
          <w:szCs w:val="24"/>
          <w:lang w:val="zh-CN"/>
        </w:rPr>
        <w:t>.</w:t>
      </w: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604"/>
        <w:gridCol w:w="1522"/>
        <w:gridCol w:w="1825"/>
        <w:gridCol w:w="1674"/>
        <w:gridCol w:w="804"/>
      </w:tblGrid>
      <w:tr w:rsidR="00FA2F1C">
        <w:tc>
          <w:tcPr>
            <w:tcW w:w="1604"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Catalysts </w:t>
            </w:r>
          </w:p>
        </w:tc>
        <w:tc>
          <w:tcPr>
            <w:tcW w:w="1522"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i/>
                <w:iCs/>
                <w:color w:val="000000" w:themeColor="text1"/>
                <w:sz w:val="24"/>
                <w:szCs w:val="24"/>
              </w:rPr>
              <w:t>R</w:t>
            </w:r>
            <w:r>
              <w:rPr>
                <w:rFonts w:ascii="Times New Roman" w:eastAsia="Calibri" w:hAnsi="Times New Roman" w:cs="Times New Roman"/>
                <w:color w:val="000000" w:themeColor="text1"/>
                <w:sz w:val="24"/>
                <w:szCs w:val="24"/>
                <w:vertAlign w:val="subscript"/>
              </w:rPr>
              <w:t>s</w:t>
            </w:r>
            <w:r>
              <w:rPr>
                <w:rFonts w:ascii="Times New Roman" w:eastAsia="Calibri" w:hAnsi="Times New Roman" w:cs="Times New Roman"/>
                <w:color w:val="000000" w:themeColor="text1"/>
                <w:sz w:val="24"/>
                <w:szCs w:val="24"/>
              </w:rPr>
              <w:t xml:space="preserve"> / Ω</w:t>
            </w:r>
          </w:p>
        </w:tc>
        <w:tc>
          <w:tcPr>
            <w:tcW w:w="1825"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i/>
                <w:iCs/>
                <w:color w:val="000000" w:themeColor="text1"/>
                <w:sz w:val="24"/>
                <w:szCs w:val="24"/>
              </w:rPr>
              <w:t>R</w:t>
            </w:r>
            <w:r>
              <w:rPr>
                <w:rFonts w:ascii="Times New Roman" w:eastAsia="Calibri" w:hAnsi="Times New Roman" w:cs="Times New Roman"/>
                <w:color w:val="000000" w:themeColor="text1"/>
                <w:sz w:val="24"/>
                <w:szCs w:val="24"/>
                <w:vertAlign w:val="subscript"/>
              </w:rPr>
              <w:t>ct</w:t>
            </w:r>
            <w:proofErr w:type="spellEnd"/>
            <w:r>
              <w:rPr>
                <w:rFonts w:ascii="Times New Roman" w:eastAsia="Calibri" w:hAnsi="Times New Roman" w:cs="Times New Roman"/>
                <w:color w:val="000000" w:themeColor="text1"/>
                <w:sz w:val="24"/>
                <w:szCs w:val="24"/>
              </w:rPr>
              <w:t xml:space="preserve"> / </w:t>
            </w:r>
            <w:proofErr w:type="spellStart"/>
            <w:r>
              <w:rPr>
                <w:rFonts w:ascii="Times New Roman" w:eastAsia="Calibri" w:hAnsi="Times New Roman" w:cs="Times New Roman"/>
                <w:color w:val="000000" w:themeColor="text1"/>
                <w:sz w:val="24"/>
                <w:szCs w:val="24"/>
              </w:rPr>
              <w:t>kΩ</w:t>
            </w:r>
            <w:proofErr w:type="spellEnd"/>
          </w:p>
        </w:tc>
        <w:tc>
          <w:tcPr>
            <w:tcW w:w="1674"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CPE / </w:t>
            </w:r>
            <w:proofErr w:type="spellStart"/>
            <w:r>
              <w:rPr>
                <w:rFonts w:ascii="Times New Roman" w:eastAsia="Calibri" w:hAnsi="Times New Roman" w:cs="Times New Roman"/>
                <w:color w:val="000000" w:themeColor="text1"/>
                <w:sz w:val="24"/>
                <w:szCs w:val="24"/>
              </w:rPr>
              <w:t>μ</w:t>
            </w:r>
            <w:proofErr w:type="gramStart"/>
            <w:r>
              <w:rPr>
                <w:rFonts w:ascii="Times New Roman" w:eastAsia="Calibri" w:hAnsi="Times New Roman" w:cs="Times New Roman"/>
                <w:color w:val="000000" w:themeColor="text1"/>
                <w:sz w:val="24"/>
                <w:szCs w:val="24"/>
              </w:rPr>
              <w:t>S.s</w:t>
            </w:r>
            <w:proofErr w:type="spellEnd"/>
            <w:proofErr w:type="gramEnd"/>
            <w:r>
              <w:rPr>
                <w:rFonts w:ascii="Times New Roman" w:eastAsia="Calibri" w:hAnsi="Times New Roman" w:cs="Times New Roman"/>
                <w:color w:val="000000" w:themeColor="text1"/>
                <w:sz w:val="24"/>
                <w:szCs w:val="24"/>
                <w:vertAlign w:val="superscript"/>
              </w:rPr>
              <w:t>(1-n)</w:t>
            </w:r>
            <w:r>
              <w:rPr>
                <w:rFonts w:ascii="Times New Roman" w:eastAsia="Calibri" w:hAnsi="Times New Roman" w:cs="Times New Roman"/>
                <w:color w:val="000000" w:themeColor="text1"/>
                <w:sz w:val="24"/>
                <w:szCs w:val="24"/>
              </w:rPr>
              <w:t xml:space="preserve"> </w:t>
            </w:r>
          </w:p>
        </w:tc>
        <w:tc>
          <w:tcPr>
            <w:tcW w:w="804" w:type="dxa"/>
            <w:tcBorders>
              <w:top w:val="single" w:sz="12" w:space="0" w:color="auto"/>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n</w:t>
            </w:r>
          </w:p>
        </w:tc>
      </w:tr>
      <w:tr w:rsidR="00FA2F1C">
        <w:trPr>
          <w:trHeight w:val="584"/>
        </w:trPr>
        <w:tc>
          <w:tcPr>
            <w:tcW w:w="1604"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w:t>
            </w:r>
            <w:r w:rsidR="00321D94">
              <w:rPr>
                <w:rFonts w:ascii="Times New Roman" w:eastAsia="Calibri" w:hAnsi="Times New Roman" w:cs="Times New Roman"/>
                <w:color w:val="000000" w:themeColor="text1"/>
                <w:sz w:val="24"/>
                <w:szCs w:val="24"/>
              </w:rPr>
              <w:t>Co</w:t>
            </w:r>
            <w:proofErr w:type="spellEnd"/>
          </w:p>
        </w:tc>
        <w:tc>
          <w:tcPr>
            <w:tcW w:w="1522"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82.98 ± 5.4</w:t>
            </w:r>
          </w:p>
        </w:tc>
        <w:tc>
          <w:tcPr>
            <w:tcW w:w="1825"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6.1 ± 0.5</w:t>
            </w:r>
          </w:p>
        </w:tc>
        <w:tc>
          <w:tcPr>
            <w:tcW w:w="1674"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88.07 ± 0.01</w:t>
            </w:r>
          </w:p>
        </w:tc>
        <w:tc>
          <w:tcPr>
            <w:tcW w:w="804" w:type="dxa"/>
            <w:tcBorders>
              <w:top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0.738</w:t>
            </w:r>
          </w:p>
        </w:tc>
      </w:tr>
      <w:tr w:rsidR="00FA2F1C">
        <w:trPr>
          <w:trHeight w:val="584"/>
        </w:trPr>
        <w:tc>
          <w:tcPr>
            <w:tcW w:w="1604"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w:t>
            </w:r>
            <w:r w:rsidR="00321D94">
              <w:rPr>
                <w:rFonts w:ascii="Times New Roman" w:eastAsia="Calibri" w:hAnsi="Times New Roman" w:cs="Times New Roman"/>
                <w:color w:val="000000" w:themeColor="text1"/>
                <w:sz w:val="24"/>
                <w:szCs w:val="24"/>
              </w:rPr>
              <w:t>Fe</w:t>
            </w:r>
            <w:bookmarkStart w:id="0" w:name="_GoBack"/>
            <w:bookmarkEnd w:id="0"/>
          </w:p>
        </w:tc>
        <w:tc>
          <w:tcPr>
            <w:tcW w:w="1522"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93.62 ± 2.8</w:t>
            </w:r>
          </w:p>
        </w:tc>
        <w:tc>
          <w:tcPr>
            <w:tcW w:w="1825"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12.46 ± 1.1</w:t>
            </w:r>
          </w:p>
        </w:tc>
        <w:tc>
          <w:tcPr>
            <w:tcW w:w="1674"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60.22 ± 1.7</w:t>
            </w:r>
          </w:p>
        </w:tc>
        <w:tc>
          <w:tcPr>
            <w:tcW w:w="804" w:type="dxa"/>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0.883</w:t>
            </w:r>
          </w:p>
        </w:tc>
      </w:tr>
      <w:tr w:rsidR="00363586" w:rsidTr="00363586">
        <w:trPr>
          <w:trHeight w:val="584"/>
        </w:trPr>
        <w:tc>
          <w:tcPr>
            <w:tcW w:w="1604" w:type="dxa"/>
            <w:tcBorders>
              <w:bottom w:val="nil"/>
            </w:tcBorders>
          </w:tcPr>
          <w:p w:rsidR="00363586" w:rsidRDefault="00363586" w:rsidP="00363586">
            <w:pPr>
              <w:spacing w:after="0" w:line="480" w:lineRule="auto"/>
              <w:jc w:val="both"/>
              <w:rPr>
                <w:rFonts w:ascii="Times New Roman" w:eastAsia="Calibri" w:hAnsi="Times New Roman" w:cs="Times New Roman"/>
                <w:color w:val="000000" w:themeColor="text1"/>
                <w:sz w:val="24"/>
                <w:szCs w:val="24"/>
              </w:rPr>
            </w:pPr>
            <w:proofErr w:type="spellStart"/>
            <w:r>
              <w:rPr>
                <w:rFonts w:ascii="Times New Roman" w:eastAsia="Calibri" w:hAnsi="Times New Roman" w:cs="Times New Roman"/>
                <w:color w:val="000000" w:themeColor="text1"/>
                <w:sz w:val="24"/>
                <w:szCs w:val="24"/>
              </w:rPr>
              <w:t>PdNi</w:t>
            </w:r>
            <w:proofErr w:type="spellEnd"/>
          </w:p>
        </w:tc>
        <w:tc>
          <w:tcPr>
            <w:tcW w:w="1522" w:type="dxa"/>
            <w:tcBorders>
              <w:bottom w:val="nil"/>
            </w:tcBorders>
          </w:tcPr>
          <w:p w:rsidR="00363586" w:rsidRDefault="00363586" w:rsidP="00363586">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95.00 ± 0.59</w:t>
            </w:r>
          </w:p>
        </w:tc>
        <w:tc>
          <w:tcPr>
            <w:tcW w:w="1825" w:type="dxa"/>
            <w:tcBorders>
              <w:bottom w:val="nil"/>
            </w:tcBorders>
          </w:tcPr>
          <w:p w:rsidR="00363586" w:rsidRDefault="00363586" w:rsidP="00363586">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24.43 ± 1.66</w:t>
            </w:r>
          </w:p>
        </w:tc>
        <w:tc>
          <w:tcPr>
            <w:tcW w:w="1674" w:type="dxa"/>
            <w:tcBorders>
              <w:bottom w:val="nil"/>
            </w:tcBorders>
          </w:tcPr>
          <w:p w:rsidR="00363586" w:rsidRDefault="00363586" w:rsidP="00363586">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25.74 ± 0.26</w:t>
            </w:r>
          </w:p>
        </w:tc>
        <w:tc>
          <w:tcPr>
            <w:tcW w:w="804" w:type="dxa"/>
            <w:tcBorders>
              <w:bottom w:val="nil"/>
            </w:tcBorders>
          </w:tcPr>
          <w:p w:rsidR="00363586" w:rsidRDefault="00363586" w:rsidP="00363586">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0.92</w:t>
            </w:r>
          </w:p>
        </w:tc>
      </w:tr>
      <w:tr w:rsidR="00FA2F1C" w:rsidTr="00363586">
        <w:trPr>
          <w:trHeight w:val="584"/>
        </w:trPr>
        <w:tc>
          <w:tcPr>
            <w:tcW w:w="1604"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Pd</w:t>
            </w:r>
            <w:r w:rsidR="00363586">
              <w:rPr>
                <w:rFonts w:ascii="Times New Roman" w:eastAsia="Calibri" w:hAnsi="Times New Roman" w:cs="Times New Roman"/>
                <w:color w:val="000000" w:themeColor="text1"/>
                <w:sz w:val="24"/>
                <w:szCs w:val="24"/>
              </w:rPr>
              <w:t>/C</w:t>
            </w:r>
          </w:p>
        </w:tc>
        <w:tc>
          <w:tcPr>
            <w:tcW w:w="1522"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94.02 ± 1.13</w:t>
            </w:r>
          </w:p>
        </w:tc>
        <w:tc>
          <w:tcPr>
            <w:tcW w:w="1825"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19.03 ± 0.72</w:t>
            </w:r>
          </w:p>
        </w:tc>
        <w:tc>
          <w:tcPr>
            <w:tcW w:w="1674"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32.1 ± 2.39</w:t>
            </w:r>
          </w:p>
        </w:tc>
        <w:tc>
          <w:tcPr>
            <w:tcW w:w="804" w:type="dxa"/>
            <w:tcBorders>
              <w:top w:val="nil"/>
              <w:bottom w:val="single" w:sz="12" w:space="0" w:color="auto"/>
            </w:tcBorders>
          </w:tcPr>
          <w:p w:rsidR="00FA2F1C" w:rsidRDefault="00466360">
            <w:pPr>
              <w:spacing w:after="0" w:line="480"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0.886</w:t>
            </w:r>
          </w:p>
        </w:tc>
      </w:tr>
    </w:tbl>
    <w:p w:rsidR="00FA2F1C" w:rsidRDefault="00FA2F1C">
      <w:pPr>
        <w:spacing w:line="480" w:lineRule="auto"/>
        <w:rPr>
          <w:rFonts w:ascii="Times New Roman" w:hAnsi="Times New Roman" w:cs="Times New Roman"/>
          <w:color w:val="000000" w:themeColor="text1"/>
          <w:sz w:val="24"/>
          <w:szCs w:val="24"/>
        </w:rPr>
      </w:pPr>
    </w:p>
    <w:p w:rsidR="00FA2F1C" w:rsidRDefault="00466360">
      <w:pPr>
        <w:spacing w:after="0" w:line="480" w:lineRule="auto"/>
        <w:jc w:val="both"/>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REFERENCES</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fldChar w:fldCharType="begin"/>
      </w:r>
      <w:r>
        <w:rPr>
          <w:rFonts w:asciiTheme="majorBidi" w:hAnsiTheme="majorBidi" w:cstheme="majorBidi"/>
          <w:b/>
          <w:bCs/>
          <w:color w:val="000000" w:themeColor="text1"/>
          <w:sz w:val="24"/>
          <w:szCs w:val="24"/>
        </w:rPr>
        <w:instrText xml:space="preserve"> ADDIN EN.REFLIST </w:instrText>
      </w:r>
      <w:r>
        <w:rPr>
          <w:rFonts w:asciiTheme="majorBidi" w:hAnsiTheme="majorBidi" w:cstheme="majorBidi"/>
          <w:b/>
          <w:bCs/>
          <w:color w:val="000000" w:themeColor="text1"/>
          <w:sz w:val="24"/>
          <w:szCs w:val="24"/>
        </w:rPr>
        <w:fldChar w:fldCharType="separate"/>
      </w:r>
      <w:r>
        <w:rPr>
          <w:rFonts w:asciiTheme="majorBidi" w:hAnsiTheme="majorBidi" w:cstheme="majorBidi"/>
          <w:color w:val="000000" w:themeColor="text1"/>
          <w:sz w:val="24"/>
          <w:szCs w:val="24"/>
        </w:rPr>
        <w:t>[1] Ueda A, Yamada Y, Ioroi T, Fujiwara N, Yasuda K, Miyazaki Y, et al. Electrochemical oxidation of CO in sulfuric acid solution over Pt and PtRu catalysts modified with TaO</w:t>
      </w:r>
      <w:r>
        <w:rPr>
          <w:rFonts w:asciiTheme="majorBidi" w:hAnsiTheme="majorBidi" w:cstheme="majorBidi"/>
          <w:color w:val="000000" w:themeColor="text1"/>
          <w:sz w:val="24"/>
          <w:szCs w:val="24"/>
          <w:vertAlign w:val="subscript"/>
        </w:rPr>
        <w:t>x</w:t>
      </w:r>
      <w:r>
        <w:rPr>
          <w:rFonts w:asciiTheme="majorBidi" w:hAnsiTheme="majorBidi" w:cstheme="majorBidi"/>
          <w:color w:val="000000" w:themeColor="text1"/>
          <w:sz w:val="24"/>
          <w:szCs w:val="24"/>
        </w:rPr>
        <w:t xml:space="preserve"> and NbO</w:t>
      </w:r>
      <w:r>
        <w:rPr>
          <w:rFonts w:asciiTheme="majorBidi" w:hAnsiTheme="majorBidi" w:cstheme="majorBidi"/>
          <w:color w:val="000000" w:themeColor="text1"/>
          <w:sz w:val="24"/>
          <w:szCs w:val="24"/>
          <w:vertAlign w:val="subscript"/>
        </w:rPr>
        <w:t>x</w:t>
      </w:r>
      <w:r>
        <w:rPr>
          <w:rFonts w:asciiTheme="majorBidi" w:hAnsiTheme="majorBidi" w:cstheme="majorBidi"/>
          <w:color w:val="000000" w:themeColor="text1"/>
          <w:sz w:val="24"/>
          <w:szCs w:val="24"/>
        </w:rPr>
        <w:t>. Catal. Today 2003;84:223-229.</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[2] Spendelow J, Goodpaster J, Kenis P, Wieckowski AJTJoPCB. Mechanism of CO oxidation on Pt (111) in alkaline media. J. Power Sources 2006;110:9545-9555.</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[3] Du B, Rabb SA, Zangmeister C, Tong Y. A volcano curve: optimizing methanol electro-oxidation on Pt-decorated Ru nanoparticles. Phys. Chem. Chem. Phys. 2009;11:8231-8239.</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[4] Matsui T, Fujiwara K, Okanishi T, Kikuchi R, Takeguchi T, Eguchi KJJops. Electrochemical oxidation of CO over tin oxide supported platinum catalysts. J. Power Sources 2006;155:152-156.</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[5] Ciapina EG, Santos SF, Gonzalez ERJJoEC. The electrooxidation of carbon monoxide on unsupported Pt agglomerates. J. Electroanal. Chem. 2010;644:132-143.</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[6] Weir MG, Myers VS, Frenkel AI, Crooks RMJC. In situ X‐ray absorption analysis of</w:t>
      </w:r>
      <w:r>
        <w:rPr>
          <w:rFonts w:ascii="Cambria Math" w:hAnsi="Cambria Math" w:cs="Cambria Math"/>
          <w:color w:val="000000" w:themeColor="text1"/>
          <w:sz w:val="24"/>
          <w:szCs w:val="24"/>
        </w:rPr>
        <w:t>∼</w:t>
      </w:r>
      <w:r>
        <w:rPr>
          <w:rFonts w:asciiTheme="majorBidi" w:hAnsiTheme="majorBidi" w:cstheme="majorBidi"/>
          <w:color w:val="000000" w:themeColor="text1"/>
          <w:sz w:val="24"/>
          <w:szCs w:val="24"/>
        </w:rPr>
        <w:t xml:space="preserve"> 1.8 nm dendrimer‐encapsulated Pt nanoparticles during electrochemical CO oxidation. ChemPhysChem 2010;11:2942-2950.</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[7] Fang L-l, Tao Q, Li M-f, Liao L-w, Chen D, Chen Y-x. Determination of the real surface area of palladium electrode. Chin. J. Phys. 2010;23:543-548.</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[8] Jurzinsky T, Cremers C, Pinkwart K, Tübke J. On the influence of Ag on Pd-based electrocatalyst for methanol oxidation in alkaline media: a comparative differential electrochemical mass spectrometry study. Electrochim. Acta 2016;199:270-279.</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[9] Eid K, Ahmad YH, Yu H, Li Y, Li X, AlQaradawi SY, et al. Rational one-step synthesis of porous PtPdRu nanodendrites for ethanol oxidation reaction with a superior tolerance for CO-poisoning. Nanoscale. 2017;9:18881-18889.</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[10] McPherson IJ, Ash PA, Jones L, Varambhia A, Jacobs RM, Vincent KAJTJoPCC. Electrochemical CO oxidation at platinum on carbon studied through analysis of anomalous in situ IR spectra. J. Phys. Chem. C 2017;121:17176-17187.</w:t>
      </w:r>
    </w:p>
    <w:p w:rsidR="00FA2F1C" w:rsidRDefault="00466360">
      <w:pPr>
        <w:pStyle w:val="EndNoteBibliography"/>
        <w:spacing w:after="0" w:line="480" w:lineRule="auto"/>
        <w:rPr>
          <w:rFonts w:asciiTheme="majorBidi" w:hAnsiTheme="majorBidi" w:cstheme="majorBidi"/>
          <w:color w:val="000000" w:themeColor="text1"/>
          <w:sz w:val="24"/>
          <w:szCs w:val="24"/>
          <w:lang w:val="de-DE"/>
        </w:rPr>
      </w:pPr>
      <w:r>
        <w:rPr>
          <w:rFonts w:asciiTheme="majorBidi" w:hAnsiTheme="majorBidi" w:cstheme="majorBidi"/>
          <w:color w:val="000000" w:themeColor="text1"/>
          <w:sz w:val="24"/>
          <w:szCs w:val="24"/>
        </w:rPr>
        <w:lastRenderedPageBreak/>
        <w:t xml:space="preserve">[11] Sun M, Lv Y, Song Y, Wu H, Wang G, Zhang H, et al. CO-tolerant PtRu@ h-BN/C core–shell electrocatalysts for proton exchange membrane fuel cells. </w:t>
      </w:r>
      <w:r>
        <w:rPr>
          <w:rFonts w:asciiTheme="majorBidi" w:hAnsiTheme="majorBidi" w:cstheme="majorBidi"/>
          <w:color w:val="000000" w:themeColor="text1"/>
          <w:sz w:val="24"/>
          <w:szCs w:val="24"/>
          <w:lang w:val="de-DE"/>
        </w:rPr>
        <w:t>Appl. Surf. Sci. 2018;450:244-250.</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lang w:val="de-DE"/>
        </w:rPr>
        <w:t xml:space="preserve">[12] Wu F, Eid K, Abdullah AM, Niu W, Wang C, Lan Y, et al. </w:t>
      </w:r>
      <w:r>
        <w:rPr>
          <w:rFonts w:asciiTheme="majorBidi" w:hAnsiTheme="majorBidi" w:cstheme="majorBidi"/>
          <w:color w:val="000000" w:themeColor="text1"/>
          <w:sz w:val="24"/>
          <w:szCs w:val="24"/>
        </w:rPr>
        <w:t>Unveiling one-pot template-free fabrication of exquisite multidimensional PtNi multicube nanoarchitectonics for the efficient electrochemical oxidation of ethanol and methanol with a great tolerance for CO. Appl. Mater. Interfaces 2020;12:31309-1318.</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[13] Shen D, Liu Y, Yang G, Yu H, Liu P-F, Peng F. Surface-structure sensitive chemical diffusivity and reactivity of CO adsorbates on noble metal electrocatalysts. Appl. Catal. B: Environ. 2021;281:119522.</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[14] Asmussen RM, Adams BD, Chen S, Shah B, Chen A. Synthesis and electrochemical study of PtPd nanodendrites. J. Electroanal. Chem. 2013;688:151-157.</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[15] Celorrio V, Sebastián D, Calvillo L, García A, Fermin DJ, Lázaro M. Influence of thermal treatments on the stability of Pd nanoparticles supported on graphitised ordered mesoporous carbons. Int. J. Hydrog. Energy 2016;41:19570-19578.</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[16] Wang Y, Nguyen TS, Liu X, Wang X. Novel palladium–lead (Pd–Pb/C) bimetallic catalysts for electrooxidation of ethanol in alkaline media. J. Power Sources 2010;195:2619-2622.</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[17] Salah B, Eid K, Abdelgwad AM, Ibrahim Y, Abdullah AM, Hassan MK, et al. Titanium Carbide (Ti</w:t>
      </w:r>
      <w:r>
        <w:rPr>
          <w:rFonts w:asciiTheme="majorBidi" w:hAnsiTheme="majorBidi" w:cstheme="majorBidi"/>
          <w:color w:val="000000" w:themeColor="text1"/>
          <w:sz w:val="24"/>
          <w:szCs w:val="24"/>
          <w:vertAlign w:val="subscript"/>
        </w:rPr>
        <w:t>3</w:t>
      </w:r>
      <w:r>
        <w:rPr>
          <w:rFonts w:asciiTheme="majorBidi" w:hAnsiTheme="majorBidi" w:cstheme="majorBidi"/>
          <w:color w:val="000000" w:themeColor="text1"/>
          <w:sz w:val="24"/>
          <w:szCs w:val="24"/>
        </w:rPr>
        <w:t>C</w:t>
      </w:r>
      <w:r>
        <w:rPr>
          <w:rFonts w:asciiTheme="majorBidi" w:hAnsiTheme="majorBidi" w:cstheme="majorBidi"/>
          <w:color w:val="000000" w:themeColor="text1"/>
          <w:sz w:val="24"/>
          <w:szCs w:val="24"/>
          <w:vertAlign w:val="subscript"/>
        </w:rPr>
        <w:t>2</w:t>
      </w:r>
      <w:r>
        <w:rPr>
          <w:rFonts w:asciiTheme="majorBidi" w:hAnsiTheme="majorBidi" w:cstheme="majorBidi"/>
          <w:color w:val="000000" w:themeColor="text1"/>
          <w:sz w:val="24"/>
          <w:szCs w:val="24"/>
        </w:rPr>
        <w:t>T</w:t>
      </w:r>
      <w:r>
        <w:rPr>
          <w:rFonts w:asciiTheme="majorBidi" w:hAnsiTheme="majorBidi" w:cstheme="majorBidi"/>
          <w:color w:val="000000" w:themeColor="text1"/>
          <w:sz w:val="24"/>
          <w:szCs w:val="24"/>
          <w:vertAlign w:val="subscript"/>
        </w:rPr>
        <w:t>x</w:t>
      </w:r>
      <w:r>
        <w:rPr>
          <w:rFonts w:asciiTheme="majorBidi" w:hAnsiTheme="majorBidi" w:cstheme="majorBidi"/>
          <w:color w:val="000000" w:themeColor="text1"/>
          <w:sz w:val="24"/>
          <w:szCs w:val="24"/>
        </w:rPr>
        <w:t>) MXene Ornamented with Palladium Nanoparticles for Electrochemical CO Oxidation. Electroanalysis. 2022;34:677-683.</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[18] Ipadeola AK, Eid K, Abdullah AM, Al-Hajri RS, Ozoemena KI. Pd/Ni-metal–organic framework-derived porous carbon nanosheets for efficient CO oxidation over a wide pH range. Nanoscale Adv. 2022;4:5044-5055.</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[19] Ipadeola AK, Eid K, Abdullah AM, Ozoemena KI. Pd-Nanoparticles Embedded Metal–Organic Framework-Derived Hierarchical Porous Carbon Nanosheets as Efficient Electrocatalysts for Carbon Monoxide Oxidation in Different Electrolytes. Langmuir. 2022;38:11109-11120.</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[20] Ulas B, Kivrak A, Aktas N, Kivrak H. Carbon monoxide and formic acid electrooxidation study on Au decorated Pd catalysts prepared via microwave assisted polyol method. Fuller. Nanotub. Carbon Nanostructures 2019;27:545-552.</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[21] Ipadeola AK, Haruna AB, Abdullah AM, Al-Hajri R, Viter R, Ozoemena KI, et al. Ternary PdNiO Nanocrystals Ornamented Porous CeO</w:t>
      </w:r>
      <w:r>
        <w:rPr>
          <w:rFonts w:asciiTheme="majorBidi" w:hAnsiTheme="majorBidi" w:cstheme="majorBidi"/>
          <w:color w:val="000000" w:themeColor="text1"/>
          <w:sz w:val="24"/>
          <w:szCs w:val="24"/>
          <w:vertAlign w:val="subscript"/>
        </w:rPr>
        <w:t>2</w:t>
      </w:r>
      <w:r>
        <w:rPr>
          <w:rFonts w:asciiTheme="majorBidi" w:hAnsiTheme="majorBidi" w:cstheme="majorBidi"/>
          <w:color w:val="000000" w:themeColor="text1"/>
          <w:sz w:val="24"/>
          <w:szCs w:val="24"/>
        </w:rPr>
        <w:t>/Onion-like Carbon for Electrooxidation of Carbon Monoxide: Unveiling the Effect of Supports and Electrolytes. Catal. Sci. Technol.  2023;13: 3035-3046.</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[22] Ipadeola AK, Haruna AB, Abdullah AM, Shibl MF, Ahmadaliev D, Ozoemena KI, et al. Electrocatalytic CO oxidation on porous ternary PdNiO-CeO</w:t>
      </w:r>
      <w:r>
        <w:rPr>
          <w:rFonts w:asciiTheme="majorBidi" w:hAnsiTheme="majorBidi" w:cstheme="majorBidi"/>
          <w:color w:val="000000" w:themeColor="text1"/>
          <w:sz w:val="24"/>
          <w:szCs w:val="24"/>
          <w:vertAlign w:val="subscript"/>
        </w:rPr>
        <w:t>2</w:t>
      </w:r>
      <w:r>
        <w:rPr>
          <w:rFonts w:asciiTheme="majorBidi" w:hAnsiTheme="majorBidi" w:cstheme="majorBidi"/>
          <w:color w:val="000000" w:themeColor="text1"/>
          <w:sz w:val="24"/>
          <w:szCs w:val="24"/>
        </w:rPr>
        <w:t>/carbon black nanocatalysts: Effect of supports and electrolytes. Catal. Today. 2023;421:114178.</w:t>
      </w:r>
    </w:p>
    <w:p w:rsidR="00FA2F1C" w:rsidRDefault="00466360">
      <w:pPr>
        <w:pStyle w:val="EndNoteBibliography"/>
        <w:spacing w:after="0"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[23] Salah B, Ipadeola AK, Abdullah AM, Ghanem A, Eid K. Self-Standing Pd-Based Nanostructures for Electrocatalytic CO Oxidation: Do Nanocatalyst Shape and Electrolyte pH Matter? Int. J. Mol. Sci. 2023;24:11832.</w:t>
      </w:r>
    </w:p>
    <w:p w:rsidR="00FA2F1C" w:rsidRDefault="00466360">
      <w:pPr>
        <w:pStyle w:val="EndNoteBibliography"/>
        <w:spacing w:line="48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[24] Salah B, Ipadeola AK, Abdullah AM, Eid K. Unravelling the Alloy Effect of Porous Binary Pd-Based Nanostructures on Electrocatalytic Oxidation of Carbon Monoxide in Different Electrolytes. ACS Appl. Energy Mater. 2023;1:2196-2206.</w:t>
      </w:r>
    </w:p>
    <w:p w:rsidR="00FA2F1C" w:rsidRDefault="00466360">
      <w:pPr>
        <w:spacing w:after="0" w:line="48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fldChar w:fldCharType="end"/>
      </w:r>
    </w:p>
    <w:p w:rsidR="00FA2F1C" w:rsidRDefault="00FA2F1C">
      <w:pPr>
        <w:pStyle w:val="EndNoteBibliography"/>
        <w:spacing w:line="480" w:lineRule="auto"/>
        <w:jc w:val="center"/>
        <w:rPr>
          <w:rFonts w:asciiTheme="majorBidi" w:hAnsiTheme="majorBidi" w:cstheme="majorBidi"/>
          <w:color w:val="000000" w:themeColor="text1"/>
          <w:sz w:val="24"/>
          <w:szCs w:val="24"/>
        </w:rPr>
      </w:pPr>
    </w:p>
    <w:p w:rsidR="00FA2F1C" w:rsidRDefault="00FA2F1C">
      <w:pPr>
        <w:pStyle w:val="EndNoteBibliography"/>
        <w:spacing w:line="480" w:lineRule="auto"/>
        <w:jc w:val="center"/>
        <w:rPr>
          <w:rFonts w:asciiTheme="majorBidi" w:hAnsiTheme="majorBidi" w:cstheme="majorBidi"/>
          <w:color w:val="000000" w:themeColor="text1"/>
          <w:sz w:val="24"/>
          <w:szCs w:val="24"/>
        </w:rPr>
      </w:pPr>
    </w:p>
    <w:sectPr w:rsidR="00FA2F1C">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73D1A" w:rsidRDefault="00573D1A">
      <w:pPr>
        <w:spacing w:line="240" w:lineRule="auto"/>
      </w:pPr>
      <w:r>
        <w:separator/>
      </w:r>
    </w:p>
  </w:endnote>
  <w:endnote w:type="continuationSeparator" w:id="0">
    <w:p w:rsidR="00573D1A" w:rsidRDefault="00573D1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Gill Sans MT">
    <w:panose1 w:val="020B0502020104020203"/>
    <w:charset w:val="00"/>
    <w:family w:val="swiss"/>
    <w:pitch w:val="variable"/>
    <w:sig w:usb0="00000007" w:usb1="00000000" w:usb2="00000000" w:usb3="00000000" w:csb0="00000003" w:csb1="00000000"/>
  </w:font>
  <w:font w:name="STXinwei">
    <w:charset w:val="86"/>
    <w:family w:val="auto"/>
    <w:pitch w:val="variable"/>
    <w:sig w:usb0="00000001" w:usb1="080F0000" w:usb2="00000010" w:usb3="00000000" w:csb0="00040000" w:csb1="00000000"/>
  </w:font>
  <w:font w:name="Palatino Linotype">
    <w:panose1 w:val="02040502050505030304"/>
    <w:charset w:val="00"/>
    <w:family w:val="roman"/>
    <w:pitch w:val="variable"/>
    <w:sig w:usb0="E0000287" w:usb1="4000001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05443775"/>
      <w:docPartObj>
        <w:docPartGallery w:val="AutoText"/>
      </w:docPartObj>
    </w:sdtPr>
    <w:sdtEndPr/>
    <w:sdtContent>
      <w:p w:rsidR="00FA2F1C" w:rsidRDefault="00466360">
        <w:pPr>
          <w:pStyle w:val="Footer"/>
          <w:jc w:val="right"/>
        </w:pPr>
        <w:r>
          <w:fldChar w:fldCharType="begin"/>
        </w:r>
        <w:r>
          <w:instrText xml:space="preserve"> PAGE   \* MERGEFORMAT </w:instrText>
        </w:r>
        <w:r>
          <w:fldChar w:fldCharType="separate"/>
        </w:r>
        <w:r>
          <w:t>1</w:t>
        </w:r>
        <w:r>
          <w:fldChar w:fldCharType="end"/>
        </w:r>
      </w:p>
    </w:sdtContent>
  </w:sdt>
  <w:p w:rsidR="00FA2F1C" w:rsidRDefault="00FA2F1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73D1A" w:rsidRDefault="00573D1A">
      <w:pPr>
        <w:spacing w:after="0"/>
      </w:pPr>
      <w:r>
        <w:separator/>
      </w:r>
    </w:p>
  </w:footnote>
  <w:footnote w:type="continuationSeparator" w:id="0">
    <w:p w:rsidR="00573D1A" w:rsidRDefault="00573D1A">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CA00704"/>
    <w:multiLevelType w:val="multilevel"/>
    <w:tmpl w:val="6CA00704"/>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De2NLEwM7OwMDE3srRQ0lEKTi0uzszPAykwtKwFACH4lDwtAAAA"/>
    <w:docVar w:name="EN.InstantFormat" w:val="&lt;ENInstantFormat&gt;&lt;Enabled&gt;0&lt;/Enabled&gt;&lt;ScanUnformatted&gt;1&lt;/ScanUnformatted&gt;&lt;ScanChanges&gt;1&lt;/ScanChanges&gt;&lt;Suspended&gt;0&lt;/Suspended&gt;&lt;/ENInstantFormat&gt;"/>
    <w:docVar w:name="EN.Layout" w:val="&lt;ENLayout&gt;&lt;Style&gt;Intl J Hydrogen Energy &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9zwv09zj0xfzze22z3v5vensefefratepfz&quot;&gt;My EndNote Library&lt;record-ids&gt;&lt;item&gt;58&lt;/item&gt;&lt;item&gt;59&lt;/item&gt;&lt;item&gt;60&lt;/item&gt;&lt;item&gt;61&lt;/item&gt;&lt;/record-ids&gt;&lt;/item&gt;&lt;/Libraries&gt;"/>
    <w:docVar w:name="EN.ReferenceGroups" w:val="&lt;reference-groups&gt;&lt;reference-group&gt;&lt;kind&gt;1&lt;/kind&gt;&lt;heading&gt;Primary Sources&lt;/heading&gt;&lt;alignment&gt;-1&lt;/alignment&gt;&lt;records&gt;&lt;/records&gt;&lt;/reference-group&gt;&lt;reference-group&gt;&lt;kind&gt;1&lt;/kind&gt;&lt;heading&gt;Secondary Sources&lt;/heading&gt;&lt;alignment&gt;-1&lt;/alignment&gt;&lt;records&gt;&lt;/records&gt;&lt;/reference-group&gt;&lt;/reference-groups&gt;"/>
  </w:docVars>
  <w:rsids>
    <w:rsidRoot w:val="000B668F"/>
    <w:rsid w:val="000024FE"/>
    <w:rsid w:val="00002CCC"/>
    <w:rsid w:val="00002E61"/>
    <w:rsid w:val="000037D1"/>
    <w:rsid w:val="00007493"/>
    <w:rsid w:val="00007D1B"/>
    <w:rsid w:val="00010B29"/>
    <w:rsid w:val="0002089F"/>
    <w:rsid w:val="000208F9"/>
    <w:rsid w:val="000209F0"/>
    <w:rsid w:val="0002189D"/>
    <w:rsid w:val="0002302E"/>
    <w:rsid w:val="0002480A"/>
    <w:rsid w:val="000250A1"/>
    <w:rsid w:val="00030473"/>
    <w:rsid w:val="00030B07"/>
    <w:rsid w:val="00032908"/>
    <w:rsid w:val="000338ED"/>
    <w:rsid w:val="000357AF"/>
    <w:rsid w:val="000401E7"/>
    <w:rsid w:val="00042154"/>
    <w:rsid w:val="00046F0A"/>
    <w:rsid w:val="000500DF"/>
    <w:rsid w:val="00050718"/>
    <w:rsid w:val="00050A17"/>
    <w:rsid w:val="00051DB8"/>
    <w:rsid w:val="00052DAC"/>
    <w:rsid w:val="00054D3A"/>
    <w:rsid w:val="00057F36"/>
    <w:rsid w:val="00060ABD"/>
    <w:rsid w:val="00061CBC"/>
    <w:rsid w:val="00061EE5"/>
    <w:rsid w:val="00061F54"/>
    <w:rsid w:val="00062AEF"/>
    <w:rsid w:val="00064FB4"/>
    <w:rsid w:val="0006521D"/>
    <w:rsid w:val="000664DC"/>
    <w:rsid w:val="00066D5C"/>
    <w:rsid w:val="0007062F"/>
    <w:rsid w:val="00070DE7"/>
    <w:rsid w:val="0007192A"/>
    <w:rsid w:val="00074DD7"/>
    <w:rsid w:val="000754EA"/>
    <w:rsid w:val="0007579E"/>
    <w:rsid w:val="00077BB0"/>
    <w:rsid w:val="00080529"/>
    <w:rsid w:val="00080B30"/>
    <w:rsid w:val="0008295B"/>
    <w:rsid w:val="00082ADB"/>
    <w:rsid w:val="00083D83"/>
    <w:rsid w:val="00084556"/>
    <w:rsid w:val="0008666E"/>
    <w:rsid w:val="0009061B"/>
    <w:rsid w:val="00091304"/>
    <w:rsid w:val="000922C4"/>
    <w:rsid w:val="00092644"/>
    <w:rsid w:val="000929EA"/>
    <w:rsid w:val="000958BD"/>
    <w:rsid w:val="000967A8"/>
    <w:rsid w:val="00096B38"/>
    <w:rsid w:val="000A0AC7"/>
    <w:rsid w:val="000A2242"/>
    <w:rsid w:val="000A25B6"/>
    <w:rsid w:val="000A25CA"/>
    <w:rsid w:val="000A5A6F"/>
    <w:rsid w:val="000A6086"/>
    <w:rsid w:val="000A62DF"/>
    <w:rsid w:val="000A6DC9"/>
    <w:rsid w:val="000A7BFE"/>
    <w:rsid w:val="000B0194"/>
    <w:rsid w:val="000B071C"/>
    <w:rsid w:val="000B0790"/>
    <w:rsid w:val="000B487E"/>
    <w:rsid w:val="000B49EE"/>
    <w:rsid w:val="000B668F"/>
    <w:rsid w:val="000C12CF"/>
    <w:rsid w:val="000C1AB6"/>
    <w:rsid w:val="000C1D3D"/>
    <w:rsid w:val="000C3FA9"/>
    <w:rsid w:val="000C70F0"/>
    <w:rsid w:val="000D0AE5"/>
    <w:rsid w:val="000D335B"/>
    <w:rsid w:val="000D3F92"/>
    <w:rsid w:val="000D4D11"/>
    <w:rsid w:val="000D64CE"/>
    <w:rsid w:val="000E05B1"/>
    <w:rsid w:val="000E20E8"/>
    <w:rsid w:val="000E3EAF"/>
    <w:rsid w:val="000E473D"/>
    <w:rsid w:val="000E587D"/>
    <w:rsid w:val="000F15C0"/>
    <w:rsid w:val="000F3CCE"/>
    <w:rsid w:val="000F4F6C"/>
    <w:rsid w:val="000F72E5"/>
    <w:rsid w:val="00101C9B"/>
    <w:rsid w:val="00105607"/>
    <w:rsid w:val="0010614D"/>
    <w:rsid w:val="00106C29"/>
    <w:rsid w:val="0011076F"/>
    <w:rsid w:val="001126B4"/>
    <w:rsid w:val="00112718"/>
    <w:rsid w:val="00113C6C"/>
    <w:rsid w:val="00114318"/>
    <w:rsid w:val="00115D36"/>
    <w:rsid w:val="001177E2"/>
    <w:rsid w:val="001210B0"/>
    <w:rsid w:val="00121162"/>
    <w:rsid w:val="0012165F"/>
    <w:rsid w:val="00122E25"/>
    <w:rsid w:val="0013010D"/>
    <w:rsid w:val="00130665"/>
    <w:rsid w:val="00130BAE"/>
    <w:rsid w:val="00132385"/>
    <w:rsid w:val="00133959"/>
    <w:rsid w:val="00133F61"/>
    <w:rsid w:val="00134801"/>
    <w:rsid w:val="0013505A"/>
    <w:rsid w:val="001366D5"/>
    <w:rsid w:val="00137071"/>
    <w:rsid w:val="00137D3F"/>
    <w:rsid w:val="00144706"/>
    <w:rsid w:val="001477C9"/>
    <w:rsid w:val="00151F08"/>
    <w:rsid w:val="00153E9A"/>
    <w:rsid w:val="0015413A"/>
    <w:rsid w:val="001555A8"/>
    <w:rsid w:val="00156F99"/>
    <w:rsid w:val="001605F0"/>
    <w:rsid w:val="00160827"/>
    <w:rsid w:val="00160BFA"/>
    <w:rsid w:val="0016211F"/>
    <w:rsid w:val="001648F8"/>
    <w:rsid w:val="00165512"/>
    <w:rsid w:val="0016714D"/>
    <w:rsid w:val="0016794B"/>
    <w:rsid w:val="00170F24"/>
    <w:rsid w:val="001712BE"/>
    <w:rsid w:val="00172F87"/>
    <w:rsid w:val="00174D58"/>
    <w:rsid w:val="00176E27"/>
    <w:rsid w:val="001813D5"/>
    <w:rsid w:val="00182176"/>
    <w:rsid w:val="00184BB3"/>
    <w:rsid w:val="00184D9C"/>
    <w:rsid w:val="00187E18"/>
    <w:rsid w:val="00190BD4"/>
    <w:rsid w:val="001918F7"/>
    <w:rsid w:val="00191D61"/>
    <w:rsid w:val="00192647"/>
    <w:rsid w:val="00192906"/>
    <w:rsid w:val="00194EC6"/>
    <w:rsid w:val="00195385"/>
    <w:rsid w:val="001957BB"/>
    <w:rsid w:val="00195C4F"/>
    <w:rsid w:val="00195F4E"/>
    <w:rsid w:val="00196974"/>
    <w:rsid w:val="0019745E"/>
    <w:rsid w:val="001A03C5"/>
    <w:rsid w:val="001A24C5"/>
    <w:rsid w:val="001A3F83"/>
    <w:rsid w:val="001B11BF"/>
    <w:rsid w:val="001B175D"/>
    <w:rsid w:val="001B2CAF"/>
    <w:rsid w:val="001B36B9"/>
    <w:rsid w:val="001B50D8"/>
    <w:rsid w:val="001B6015"/>
    <w:rsid w:val="001B6C0E"/>
    <w:rsid w:val="001C08D3"/>
    <w:rsid w:val="001C0E37"/>
    <w:rsid w:val="001C384E"/>
    <w:rsid w:val="001C4F59"/>
    <w:rsid w:val="001C5149"/>
    <w:rsid w:val="001C5E02"/>
    <w:rsid w:val="001D2F5E"/>
    <w:rsid w:val="001D30FF"/>
    <w:rsid w:val="001D40B8"/>
    <w:rsid w:val="001D73BF"/>
    <w:rsid w:val="001D7DFE"/>
    <w:rsid w:val="001E07BE"/>
    <w:rsid w:val="001E0E1E"/>
    <w:rsid w:val="001E1E0C"/>
    <w:rsid w:val="001E27A4"/>
    <w:rsid w:val="001E2E94"/>
    <w:rsid w:val="001E3372"/>
    <w:rsid w:val="001E3E55"/>
    <w:rsid w:val="001E4785"/>
    <w:rsid w:val="001E6433"/>
    <w:rsid w:val="001E6959"/>
    <w:rsid w:val="001E6AC8"/>
    <w:rsid w:val="001F0015"/>
    <w:rsid w:val="001F2351"/>
    <w:rsid w:val="001F36DD"/>
    <w:rsid w:val="001F3965"/>
    <w:rsid w:val="001F5350"/>
    <w:rsid w:val="001F5981"/>
    <w:rsid w:val="001F5C0D"/>
    <w:rsid w:val="002019AC"/>
    <w:rsid w:val="00205064"/>
    <w:rsid w:val="00205DF2"/>
    <w:rsid w:val="002066B4"/>
    <w:rsid w:val="002072CA"/>
    <w:rsid w:val="00210421"/>
    <w:rsid w:val="002114D1"/>
    <w:rsid w:val="00211FCE"/>
    <w:rsid w:val="00213D95"/>
    <w:rsid w:val="00214E6E"/>
    <w:rsid w:val="00217C2E"/>
    <w:rsid w:val="0022011B"/>
    <w:rsid w:val="0022400F"/>
    <w:rsid w:val="0022473A"/>
    <w:rsid w:val="00227324"/>
    <w:rsid w:val="0023051E"/>
    <w:rsid w:val="00231596"/>
    <w:rsid w:val="002338EC"/>
    <w:rsid w:val="00233C1D"/>
    <w:rsid w:val="00234A19"/>
    <w:rsid w:val="00235891"/>
    <w:rsid w:val="00236811"/>
    <w:rsid w:val="0023744E"/>
    <w:rsid w:val="002417BC"/>
    <w:rsid w:val="00244FAC"/>
    <w:rsid w:val="00246786"/>
    <w:rsid w:val="0024786E"/>
    <w:rsid w:val="00247B80"/>
    <w:rsid w:val="00247D60"/>
    <w:rsid w:val="00253D56"/>
    <w:rsid w:val="002555AA"/>
    <w:rsid w:val="00261187"/>
    <w:rsid w:val="00261883"/>
    <w:rsid w:val="00264EFC"/>
    <w:rsid w:val="00267959"/>
    <w:rsid w:val="00267EA4"/>
    <w:rsid w:val="00272141"/>
    <w:rsid w:val="00273BB6"/>
    <w:rsid w:val="002755EA"/>
    <w:rsid w:val="002876EC"/>
    <w:rsid w:val="00290F1C"/>
    <w:rsid w:val="0029145F"/>
    <w:rsid w:val="0029586D"/>
    <w:rsid w:val="00296A09"/>
    <w:rsid w:val="00296EBD"/>
    <w:rsid w:val="00297795"/>
    <w:rsid w:val="002A0640"/>
    <w:rsid w:val="002A3C13"/>
    <w:rsid w:val="002A45F1"/>
    <w:rsid w:val="002A4A05"/>
    <w:rsid w:val="002A7031"/>
    <w:rsid w:val="002B0CAA"/>
    <w:rsid w:val="002B20CE"/>
    <w:rsid w:val="002B4F9B"/>
    <w:rsid w:val="002B5150"/>
    <w:rsid w:val="002B5AD2"/>
    <w:rsid w:val="002B7132"/>
    <w:rsid w:val="002B7579"/>
    <w:rsid w:val="002C108B"/>
    <w:rsid w:val="002C5EB3"/>
    <w:rsid w:val="002C6C77"/>
    <w:rsid w:val="002C6F5E"/>
    <w:rsid w:val="002C7DE8"/>
    <w:rsid w:val="002D10DD"/>
    <w:rsid w:val="002D18B4"/>
    <w:rsid w:val="002D22D0"/>
    <w:rsid w:val="002D389A"/>
    <w:rsid w:val="002D5DED"/>
    <w:rsid w:val="002D69EC"/>
    <w:rsid w:val="002E1D61"/>
    <w:rsid w:val="002E1EEE"/>
    <w:rsid w:val="002E2101"/>
    <w:rsid w:val="002E352A"/>
    <w:rsid w:val="002E5B6B"/>
    <w:rsid w:val="002F2C72"/>
    <w:rsid w:val="002F50D5"/>
    <w:rsid w:val="002F57DB"/>
    <w:rsid w:val="002F6E59"/>
    <w:rsid w:val="00302341"/>
    <w:rsid w:val="003023F5"/>
    <w:rsid w:val="00302687"/>
    <w:rsid w:val="00305144"/>
    <w:rsid w:val="00306080"/>
    <w:rsid w:val="003136E4"/>
    <w:rsid w:val="00314141"/>
    <w:rsid w:val="00314A54"/>
    <w:rsid w:val="00314F12"/>
    <w:rsid w:val="00315D30"/>
    <w:rsid w:val="003176F6"/>
    <w:rsid w:val="00317758"/>
    <w:rsid w:val="003179BB"/>
    <w:rsid w:val="00320BE8"/>
    <w:rsid w:val="003216C7"/>
    <w:rsid w:val="00321D94"/>
    <w:rsid w:val="00322CD8"/>
    <w:rsid w:val="0032524E"/>
    <w:rsid w:val="00326223"/>
    <w:rsid w:val="00326925"/>
    <w:rsid w:val="00331CB3"/>
    <w:rsid w:val="003337F0"/>
    <w:rsid w:val="00333BDA"/>
    <w:rsid w:val="00333D15"/>
    <w:rsid w:val="003367AE"/>
    <w:rsid w:val="00342DC2"/>
    <w:rsid w:val="003433A2"/>
    <w:rsid w:val="00345540"/>
    <w:rsid w:val="00346CA0"/>
    <w:rsid w:val="00346DB6"/>
    <w:rsid w:val="003502C6"/>
    <w:rsid w:val="00351DAC"/>
    <w:rsid w:val="003565F6"/>
    <w:rsid w:val="003571DF"/>
    <w:rsid w:val="00363586"/>
    <w:rsid w:val="00363A28"/>
    <w:rsid w:val="003649A8"/>
    <w:rsid w:val="0036526B"/>
    <w:rsid w:val="0036563E"/>
    <w:rsid w:val="0036634A"/>
    <w:rsid w:val="00366512"/>
    <w:rsid w:val="00370815"/>
    <w:rsid w:val="00372C4D"/>
    <w:rsid w:val="00373CD5"/>
    <w:rsid w:val="00374230"/>
    <w:rsid w:val="00375C06"/>
    <w:rsid w:val="00375D52"/>
    <w:rsid w:val="0037782A"/>
    <w:rsid w:val="00380961"/>
    <w:rsid w:val="003809C5"/>
    <w:rsid w:val="00380A16"/>
    <w:rsid w:val="00381A76"/>
    <w:rsid w:val="00384EEB"/>
    <w:rsid w:val="00387B9E"/>
    <w:rsid w:val="00390379"/>
    <w:rsid w:val="00390F62"/>
    <w:rsid w:val="0039225B"/>
    <w:rsid w:val="0039468D"/>
    <w:rsid w:val="00394741"/>
    <w:rsid w:val="003958BF"/>
    <w:rsid w:val="00395BEA"/>
    <w:rsid w:val="0039610A"/>
    <w:rsid w:val="003A0370"/>
    <w:rsid w:val="003A03F4"/>
    <w:rsid w:val="003A09D6"/>
    <w:rsid w:val="003A60FA"/>
    <w:rsid w:val="003A789C"/>
    <w:rsid w:val="003A7C35"/>
    <w:rsid w:val="003A7E23"/>
    <w:rsid w:val="003B276A"/>
    <w:rsid w:val="003B3542"/>
    <w:rsid w:val="003B4FDE"/>
    <w:rsid w:val="003B5744"/>
    <w:rsid w:val="003B5CD0"/>
    <w:rsid w:val="003C22E2"/>
    <w:rsid w:val="003C2A5A"/>
    <w:rsid w:val="003C443C"/>
    <w:rsid w:val="003D0B3F"/>
    <w:rsid w:val="003D2F02"/>
    <w:rsid w:val="003D616F"/>
    <w:rsid w:val="003E06A3"/>
    <w:rsid w:val="003E266C"/>
    <w:rsid w:val="003E36C2"/>
    <w:rsid w:val="003E3C96"/>
    <w:rsid w:val="003E4F4E"/>
    <w:rsid w:val="003E538C"/>
    <w:rsid w:val="003E6CAE"/>
    <w:rsid w:val="003E78E8"/>
    <w:rsid w:val="003E7B7D"/>
    <w:rsid w:val="003F02C9"/>
    <w:rsid w:val="003F1587"/>
    <w:rsid w:val="003F70E0"/>
    <w:rsid w:val="003F7B75"/>
    <w:rsid w:val="00401459"/>
    <w:rsid w:val="00402687"/>
    <w:rsid w:val="004073FC"/>
    <w:rsid w:val="00407BEE"/>
    <w:rsid w:val="004128FD"/>
    <w:rsid w:val="00413056"/>
    <w:rsid w:val="0041385D"/>
    <w:rsid w:val="00414377"/>
    <w:rsid w:val="00415FC0"/>
    <w:rsid w:val="00416E76"/>
    <w:rsid w:val="00422133"/>
    <w:rsid w:val="00422C89"/>
    <w:rsid w:val="00423C5B"/>
    <w:rsid w:val="00424552"/>
    <w:rsid w:val="0042670A"/>
    <w:rsid w:val="004308F6"/>
    <w:rsid w:val="00431E45"/>
    <w:rsid w:val="0044033B"/>
    <w:rsid w:val="00441892"/>
    <w:rsid w:val="0044424E"/>
    <w:rsid w:val="00445239"/>
    <w:rsid w:val="00445431"/>
    <w:rsid w:val="00445628"/>
    <w:rsid w:val="0044563A"/>
    <w:rsid w:val="004469A5"/>
    <w:rsid w:val="0044703C"/>
    <w:rsid w:val="00450248"/>
    <w:rsid w:val="0045029D"/>
    <w:rsid w:val="00451392"/>
    <w:rsid w:val="004513E8"/>
    <w:rsid w:val="004560EF"/>
    <w:rsid w:val="00456592"/>
    <w:rsid w:val="0046088A"/>
    <w:rsid w:val="00460E61"/>
    <w:rsid w:val="0046213B"/>
    <w:rsid w:val="00462DD3"/>
    <w:rsid w:val="004636DB"/>
    <w:rsid w:val="004640A2"/>
    <w:rsid w:val="0046474B"/>
    <w:rsid w:val="00466360"/>
    <w:rsid w:val="0046684A"/>
    <w:rsid w:val="0046746B"/>
    <w:rsid w:val="004714FB"/>
    <w:rsid w:val="00472F21"/>
    <w:rsid w:val="004737B2"/>
    <w:rsid w:val="004744D4"/>
    <w:rsid w:val="00474B76"/>
    <w:rsid w:val="00476AA0"/>
    <w:rsid w:val="00480208"/>
    <w:rsid w:val="00480362"/>
    <w:rsid w:val="00480CAB"/>
    <w:rsid w:val="004812C1"/>
    <w:rsid w:val="00484EC8"/>
    <w:rsid w:val="00485ACA"/>
    <w:rsid w:val="004865D5"/>
    <w:rsid w:val="00490A8B"/>
    <w:rsid w:val="004943ED"/>
    <w:rsid w:val="004960E7"/>
    <w:rsid w:val="004968B1"/>
    <w:rsid w:val="004971B3"/>
    <w:rsid w:val="004A19A8"/>
    <w:rsid w:val="004A6FE7"/>
    <w:rsid w:val="004B0805"/>
    <w:rsid w:val="004B1646"/>
    <w:rsid w:val="004B28E7"/>
    <w:rsid w:val="004B3E90"/>
    <w:rsid w:val="004C028C"/>
    <w:rsid w:val="004C19A2"/>
    <w:rsid w:val="004C2350"/>
    <w:rsid w:val="004C2A68"/>
    <w:rsid w:val="004C2DF9"/>
    <w:rsid w:val="004C3014"/>
    <w:rsid w:val="004E0D70"/>
    <w:rsid w:val="004E5406"/>
    <w:rsid w:val="004E574A"/>
    <w:rsid w:val="004E7327"/>
    <w:rsid w:val="004F0862"/>
    <w:rsid w:val="004F0ABA"/>
    <w:rsid w:val="004F0EA1"/>
    <w:rsid w:val="004F28AB"/>
    <w:rsid w:val="004F4AF4"/>
    <w:rsid w:val="004F6550"/>
    <w:rsid w:val="005108C2"/>
    <w:rsid w:val="00512B17"/>
    <w:rsid w:val="00512F26"/>
    <w:rsid w:val="0052114C"/>
    <w:rsid w:val="005232F4"/>
    <w:rsid w:val="00523D38"/>
    <w:rsid w:val="00526C53"/>
    <w:rsid w:val="005271D0"/>
    <w:rsid w:val="00527524"/>
    <w:rsid w:val="00532619"/>
    <w:rsid w:val="00537AEE"/>
    <w:rsid w:val="00541525"/>
    <w:rsid w:val="00541883"/>
    <w:rsid w:val="00541CB1"/>
    <w:rsid w:val="00542F33"/>
    <w:rsid w:val="00543DE7"/>
    <w:rsid w:val="00545832"/>
    <w:rsid w:val="00545DFD"/>
    <w:rsid w:val="005462C4"/>
    <w:rsid w:val="00546FF8"/>
    <w:rsid w:val="005470EF"/>
    <w:rsid w:val="00554435"/>
    <w:rsid w:val="00555BDE"/>
    <w:rsid w:val="0055655A"/>
    <w:rsid w:val="00557C87"/>
    <w:rsid w:val="00560B30"/>
    <w:rsid w:val="0056118C"/>
    <w:rsid w:val="00561DDC"/>
    <w:rsid w:val="00562154"/>
    <w:rsid w:val="00566C61"/>
    <w:rsid w:val="00566DA1"/>
    <w:rsid w:val="00567211"/>
    <w:rsid w:val="005714EF"/>
    <w:rsid w:val="00572F34"/>
    <w:rsid w:val="00573D1A"/>
    <w:rsid w:val="00573F1D"/>
    <w:rsid w:val="00573F62"/>
    <w:rsid w:val="005818A5"/>
    <w:rsid w:val="00581B33"/>
    <w:rsid w:val="00582E0A"/>
    <w:rsid w:val="00585657"/>
    <w:rsid w:val="00586851"/>
    <w:rsid w:val="00586C07"/>
    <w:rsid w:val="00587543"/>
    <w:rsid w:val="00587912"/>
    <w:rsid w:val="00587AF4"/>
    <w:rsid w:val="00592654"/>
    <w:rsid w:val="0059311E"/>
    <w:rsid w:val="00593F2C"/>
    <w:rsid w:val="00593FD1"/>
    <w:rsid w:val="00595653"/>
    <w:rsid w:val="005A0167"/>
    <w:rsid w:val="005A1A2B"/>
    <w:rsid w:val="005A4A56"/>
    <w:rsid w:val="005A4C01"/>
    <w:rsid w:val="005A5026"/>
    <w:rsid w:val="005A7DF2"/>
    <w:rsid w:val="005B0EFD"/>
    <w:rsid w:val="005B2D13"/>
    <w:rsid w:val="005B2E1A"/>
    <w:rsid w:val="005B5B4A"/>
    <w:rsid w:val="005B6036"/>
    <w:rsid w:val="005B67DE"/>
    <w:rsid w:val="005B7EEC"/>
    <w:rsid w:val="005C0E5A"/>
    <w:rsid w:val="005C1A88"/>
    <w:rsid w:val="005C2764"/>
    <w:rsid w:val="005C547E"/>
    <w:rsid w:val="005C60CA"/>
    <w:rsid w:val="005C612F"/>
    <w:rsid w:val="005C7B58"/>
    <w:rsid w:val="005D3C8E"/>
    <w:rsid w:val="005D60AD"/>
    <w:rsid w:val="005E2F02"/>
    <w:rsid w:val="005E35CB"/>
    <w:rsid w:val="005E6A8F"/>
    <w:rsid w:val="005E6CD5"/>
    <w:rsid w:val="005F011F"/>
    <w:rsid w:val="005F09F3"/>
    <w:rsid w:val="005F108A"/>
    <w:rsid w:val="005F1D56"/>
    <w:rsid w:val="00605B7C"/>
    <w:rsid w:val="00607715"/>
    <w:rsid w:val="00607F0B"/>
    <w:rsid w:val="006106AB"/>
    <w:rsid w:val="00610920"/>
    <w:rsid w:val="00610F79"/>
    <w:rsid w:val="006118CB"/>
    <w:rsid w:val="00612C49"/>
    <w:rsid w:val="006137CD"/>
    <w:rsid w:val="00613CC6"/>
    <w:rsid w:val="006161C6"/>
    <w:rsid w:val="00622539"/>
    <w:rsid w:val="00622859"/>
    <w:rsid w:val="006324BB"/>
    <w:rsid w:val="00633D64"/>
    <w:rsid w:val="00635D1B"/>
    <w:rsid w:val="00636729"/>
    <w:rsid w:val="00641993"/>
    <w:rsid w:val="00642A40"/>
    <w:rsid w:val="0064373B"/>
    <w:rsid w:val="0064508F"/>
    <w:rsid w:val="00646C55"/>
    <w:rsid w:val="00655F15"/>
    <w:rsid w:val="006613AD"/>
    <w:rsid w:val="0066273E"/>
    <w:rsid w:val="00666E51"/>
    <w:rsid w:val="0067262C"/>
    <w:rsid w:val="00675E6C"/>
    <w:rsid w:val="00676282"/>
    <w:rsid w:val="00676786"/>
    <w:rsid w:val="00676B82"/>
    <w:rsid w:val="0067711A"/>
    <w:rsid w:val="00677D74"/>
    <w:rsid w:val="00677F1A"/>
    <w:rsid w:val="00680514"/>
    <w:rsid w:val="00681F08"/>
    <w:rsid w:val="00682B8C"/>
    <w:rsid w:val="00683AFC"/>
    <w:rsid w:val="006849AD"/>
    <w:rsid w:val="00686175"/>
    <w:rsid w:val="00692E59"/>
    <w:rsid w:val="0069511D"/>
    <w:rsid w:val="0069652E"/>
    <w:rsid w:val="006A08AA"/>
    <w:rsid w:val="006A14B0"/>
    <w:rsid w:val="006A54EE"/>
    <w:rsid w:val="006A6518"/>
    <w:rsid w:val="006A7A7D"/>
    <w:rsid w:val="006B2576"/>
    <w:rsid w:val="006B3ED1"/>
    <w:rsid w:val="006C0004"/>
    <w:rsid w:val="006C03DC"/>
    <w:rsid w:val="006C4A0C"/>
    <w:rsid w:val="006C5FDA"/>
    <w:rsid w:val="006C6428"/>
    <w:rsid w:val="006D0E4D"/>
    <w:rsid w:val="006D2749"/>
    <w:rsid w:val="006D357D"/>
    <w:rsid w:val="006D4120"/>
    <w:rsid w:val="006D4C25"/>
    <w:rsid w:val="006D4FEE"/>
    <w:rsid w:val="006D594B"/>
    <w:rsid w:val="006D6CA3"/>
    <w:rsid w:val="006E0538"/>
    <w:rsid w:val="006E13DA"/>
    <w:rsid w:val="006E1A70"/>
    <w:rsid w:val="006E288D"/>
    <w:rsid w:val="006E6084"/>
    <w:rsid w:val="006E6686"/>
    <w:rsid w:val="006F04DD"/>
    <w:rsid w:val="006F3D2D"/>
    <w:rsid w:val="006F5604"/>
    <w:rsid w:val="006F5D5D"/>
    <w:rsid w:val="0070233E"/>
    <w:rsid w:val="00702A0F"/>
    <w:rsid w:val="00702B53"/>
    <w:rsid w:val="00705D8C"/>
    <w:rsid w:val="00707D5D"/>
    <w:rsid w:val="007129F7"/>
    <w:rsid w:val="00712B54"/>
    <w:rsid w:val="0071347E"/>
    <w:rsid w:val="0071555E"/>
    <w:rsid w:val="00715BD8"/>
    <w:rsid w:val="007164AE"/>
    <w:rsid w:val="0072121C"/>
    <w:rsid w:val="007214D4"/>
    <w:rsid w:val="00723D7C"/>
    <w:rsid w:val="00724D49"/>
    <w:rsid w:val="007302CC"/>
    <w:rsid w:val="00730D69"/>
    <w:rsid w:val="00734BB9"/>
    <w:rsid w:val="007351A8"/>
    <w:rsid w:val="0073555F"/>
    <w:rsid w:val="0073574C"/>
    <w:rsid w:val="007362D7"/>
    <w:rsid w:val="0074160C"/>
    <w:rsid w:val="00741AA2"/>
    <w:rsid w:val="00742F1B"/>
    <w:rsid w:val="00744F92"/>
    <w:rsid w:val="00745DC8"/>
    <w:rsid w:val="007464FA"/>
    <w:rsid w:val="00747CA5"/>
    <w:rsid w:val="0075293E"/>
    <w:rsid w:val="00753172"/>
    <w:rsid w:val="00754333"/>
    <w:rsid w:val="00754C87"/>
    <w:rsid w:val="00755463"/>
    <w:rsid w:val="0075739D"/>
    <w:rsid w:val="00757FC8"/>
    <w:rsid w:val="00760E84"/>
    <w:rsid w:val="00761254"/>
    <w:rsid w:val="007615A6"/>
    <w:rsid w:val="007703EA"/>
    <w:rsid w:val="00770BD6"/>
    <w:rsid w:val="0077187A"/>
    <w:rsid w:val="00775B1B"/>
    <w:rsid w:val="00777BC3"/>
    <w:rsid w:val="00781AB1"/>
    <w:rsid w:val="00782796"/>
    <w:rsid w:val="007827C9"/>
    <w:rsid w:val="00782B16"/>
    <w:rsid w:val="007835E4"/>
    <w:rsid w:val="007847D3"/>
    <w:rsid w:val="00786B0B"/>
    <w:rsid w:val="00787014"/>
    <w:rsid w:val="00787C11"/>
    <w:rsid w:val="00787F80"/>
    <w:rsid w:val="007933B3"/>
    <w:rsid w:val="00794781"/>
    <w:rsid w:val="007954B1"/>
    <w:rsid w:val="007963B7"/>
    <w:rsid w:val="007A0DF2"/>
    <w:rsid w:val="007A2546"/>
    <w:rsid w:val="007A2B21"/>
    <w:rsid w:val="007A484A"/>
    <w:rsid w:val="007A52E3"/>
    <w:rsid w:val="007A6B28"/>
    <w:rsid w:val="007A73D5"/>
    <w:rsid w:val="007A7791"/>
    <w:rsid w:val="007B0DED"/>
    <w:rsid w:val="007B156D"/>
    <w:rsid w:val="007B295F"/>
    <w:rsid w:val="007B4454"/>
    <w:rsid w:val="007C2A7B"/>
    <w:rsid w:val="007C752F"/>
    <w:rsid w:val="007C79E8"/>
    <w:rsid w:val="007D0A0E"/>
    <w:rsid w:val="007D1460"/>
    <w:rsid w:val="007D4A1E"/>
    <w:rsid w:val="007D4AE3"/>
    <w:rsid w:val="007D5A2A"/>
    <w:rsid w:val="007D5C18"/>
    <w:rsid w:val="007E09C9"/>
    <w:rsid w:val="007E09E3"/>
    <w:rsid w:val="007E11A3"/>
    <w:rsid w:val="007E4890"/>
    <w:rsid w:val="007E5689"/>
    <w:rsid w:val="007E5728"/>
    <w:rsid w:val="007E5FF2"/>
    <w:rsid w:val="007E6F0A"/>
    <w:rsid w:val="007F0473"/>
    <w:rsid w:val="007F5507"/>
    <w:rsid w:val="008026A2"/>
    <w:rsid w:val="00802E7F"/>
    <w:rsid w:val="00805B77"/>
    <w:rsid w:val="008076A9"/>
    <w:rsid w:val="00807EDD"/>
    <w:rsid w:val="00810454"/>
    <w:rsid w:val="0081163A"/>
    <w:rsid w:val="00814528"/>
    <w:rsid w:val="008154C6"/>
    <w:rsid w:val="00815E4F"/>
    <w:rsid w:val="00817126"/>
    <w:rsid w:val="00817659"/>
    <w:rsid w:val="00817E32"/>
    <w:rsid w:val="00820D76"/>
    <w:rsid w:val="008272BB"/>
    <w:rsid w:val="00830C3A"/>
    <w:rsid w:val="00831FA7"/>
    <w:rsid w:val="00832076"/>
    <w:rsid w:val="00832174"/>
    <w:rsid w:val="00832861"/>
    <w:rsid w:val="00832F0B"/>
    <w:rsid w:val="008333DF"/>
    <w:rsid w:val="008335F4"/>
    <w:rsid w:val="00833B4E"/>
    <w:rsid w:val="00833EB9"/>
    <w:rsid w:val="008365B9"/>
    <w:rsid w:val="008376CB"/>
    <w:rsid w:val="008447B8"/>
    <w:rsid w:val="00845EEF"/>
    <w:rsid w:val="00846808"/>
    <w:rsid w:val="008530A1"/>
    <w:rsid w:val="00853BAD"/>
    <w:rsid w:val="00854590"/>
    <w:rsid w:val="00855995"/>
    <w:rsid w:val="00855F12"/>
    <w:rsid w:val="00856544"/>
    <w:rsid w:val="00860881"/>
    <w:rsid w:val="00860E4A"/>
    <w:rsid w:val="00861405"/>
    <w:rsid w:val="0086205A"/>
    <w:rsid w:val="00862C7E"/>
    <w:rsid w:val="00862D3D"/>
    <w:rsid w:val="00864987"/>
    <w:rsid w:val="00865D45"/>
    <w:rsid w:val="008675EE"/>
    <w:rsid w:val="00870BFD"/>
    <w:rsid w:val="008710F7"/>
    <w:rsid w:val="008730F1"/>
    <w:rsid w:val="0087343B"/>
    <w:rsid w:val="0087369E"/>
    <w:rsid w:val="00874770"/>
    <w:rsid w:val="008756A4"/>
    <w:rsid w:val="00875BE7"/>
    <w:rsid w:val="0087641F"/>
    <w:rsid w:val="008846A1"/>
    <w:rsid w:val="00884E3B"/>
    <w:rsid w:val="00885787"/>
    <w:rsid w:val="00885CD1"/>
    <w:rsid w:val="00886060"/>
    <w:rsid w:val="008902D0"/>
    <w:rsid w:val="00890464"/>
    <w:rsid w:val="00890C07"/>
    <w:rsid w:val="00891B9C"/>
    <w:rsid w:val="0089641E"/>
    <w:rsid w:val="00896BC7"/>
    <w:rsid w:val="008A12AF"/>
    <w:rsid w:val="008A223D"/>
    <w:rsid w:val="008A4144"/>
    <w:rsid w:val="008A625E"/>
    <w:rsid w:val="008A661A"/>
    <w:rsid w:val="008A705C"/>
    <w:rsid w:val="008A7663"/>
    <w:rsid w:val="008A76CA"/>
    <w:rsid w:val="008B12F8"/>
    <w:rsid w:val="008B62F8"/>
    <w:rsid w:val="008B718A"/>
    <w:rsid w:val="008C14A6"/>
    <w:rsid w:val="008C1AD9"/>
    <w:rsid w:val="008C451F"/>
    <w:rsid w:val="008C4EE5"/>
    <w:rsid w:val="008C53C1"/>
    <w:rsid w:val="008C5C5B"/>
    <w:rsid w:val="008C5D8D"/>
    <w:rsid w:val="008C5E6A"/>
    <w:rsid w:val="008C7340"/>
    <w:rsid w:val="008D0563"/>
    <w:rsid w:val="008D6557"/>
    <w:rsid w:val="008D6B83"/>
    <w:rsid w:val="008D6E11"/>
    <w:rsid w:val="008E282C"/>
    <w:rsid w:val="008E657C"/>
    <w:rsid w:val="008F057D"/>
    <w:rsid w:val="008F1D51"/>
    <w:rsid w:val="008F4A7D"/>
    <w:rsid w:val="008F4BC6"/>
    <w:rsid w:val="008F4C94"/>
    <w:rsid w:val="008F5C36"/>
    <w:rsid w:val="008F64BD"/>
    <w:rsid w:val="009003CD"/>
    <w:rsid w:val="0090282E"/>
    <w:rsid w:val="00903E9C"/>
    <w:rsid w:val="0090713B"/>
    <w:rsid w:val="0090729A"/>
    <w:rsid w:val="009131E4"/>
    <w:rsid w:val="009140D8"/>
    <w:rsid w:val="00916190"/>
    <w:rsid w:val="00916BB3"/>
    <w:rsid w:val="00917325"/>
    <w:rsid w:val="009209D9"/>
    <w:rsid w:val="00921935"/>
    <w:rsid w:val="00923664"/>
    <w:rsid w:val="0092374B"/>
    <w:rsid w:val="00927ABA"/>
    <w:rsid w:val="00931310"/>
    <w:rsid w:val="00932D44"/>
    <w:rsid w:val="009332AE"/>
    <w:rsid w:val="00934D44"/>
    <w:rsid w:val="00937D44"/>
    <w:rsid w:val="0094236E"/>
    <w:rsid w:val="0094781D"/>
    <w:rsid w:val="00951E0A"/>
    <w:rsid w:val="009530EB"/>
    <w:rsid w:val="00953E96"/>
    <w:rsid w:val="00955EC6"/>
    <w:rsid w:val="009567B1"/>
    <w:rsid w:val="0095796E"/>
    <w:rsid w:val="00960661"/>
    <w:rsid w:val="009630D7"/>
    <w:rsid w:val="00966551"/>
    <w:rsid w:val="009675F2"/>
    <w:rsid w:val="00967F8C"/>
    <w:rsid w:val="00972A7C"/>
    <w:rsid w:val="0097396F"/>
    <w:rsid w:val="0097456E"/>
    <w:rsid w:val="0098495A"/>
    <w:rsid w:val="00985B91"/>
    <w:rsid w:val="00986F76"/>
    <w:rsid w:val="00990580"/>
    <w:rsid w:val="009916A2"/>
    <w:rsid w:val="0099414F"/>
    <w:rsid w:val="009964A8"/>
    <w:rsid w:val="009A00D0"/>
    <w:rsid w:val="009A2A31"/>
    <w:rsid w:val="009A3810"/>
    <w:rsid w:val="009A46E5"/>
    <w:rsid w:val="009A5B6E"/>
    <w:rsid w:val="009A795A"/>
    <w:rsid w:val="009B2088"/>
    <w:rsid w:val="009B3131"/>
    <w:rsid w:val="009B39B8"/>
    <w:rsid w:val="009B39F0"/>
    <w:rsid w:val="009B44BD"/>
    <w:rsid w:val="009B7849"/>
    <w:rsid w:val="009B7DAA"/>
    <w:rsid w:val="009B7DFC"/>
    <w:rsid w:val="009C0672"/>
    <w:rsid w:val="009C125A"/>
    <w:rsid w:val="009C31C9"/>
    <w:rsid w:val="009C6B3A"/>
    <w:rsid w:val="009C7A8C"/>
    <w:rsid w:val="009D1579"/>
    <w:rsid w:val="009D15FB"/>
    <w:rsid w:val="009D6B2A"/>
    <w:rsid w:val="009D7039"/>
    <w:rsid w:val="009D795D"/>
    <w:rsid w:val="009E5A9B"/>
    <w:rsid w:val="009F575F"/>
    <w:rsid w:val="00A02876"/>
    <w:rsid w:val="00A0320E"/>
    <w:rsid w:val="00A03969"/>
    <w:rsid w:val="00A07E79"/>
    <w:rsid w:val="00A1226D"/>
    <w:rsid w:val="00A1343B"/>
    <w:rsid w:val="00A15FC4"/>
    <w:rsid w:val="00A16527"/>
    <w:rsid w:val="00A216C9"/>
    <w:rsid w:val="00A22512"/>
    <w:rsid w:val="00A23E63"/>
    <w:rsid w:val="00A24AFB"/>
    <w:rsid w:val="00A31408"/>
    <w:rsid w:val="00A34709"/>
    <w:rsid w:val="00A359C8"/>
    <w:rsid w:val="00A36E0F"/>
    <w:rsid w:val="00A374A2"/>
    <w:rsid w:val="00A376B7"/>
    <w:rsid w:val="00A41353"/>
    <w:rsid w:val="00A42417"/>
    <w:rsid w:val="00A437F7"/>
    <w:rsid w:val="00A43D21"/>
    <w:rsid w:val="00A44888"/>
    <w:rsid w:val="00A449BE"/>
    <w:rsid w:val="00A471AC"/>
    <w:rsid w:val="00A50F15"/>
    <w:rsid w:val="00A52F28"/>
    <w:rsid w:val="00A62F01"/>
    <w:rsid w:val="00A71F7F"/>
    <w:rsid w:val="00A72937"/>
    <w:rsid w:val="00A73CEF"/>
    <w:rsid w:val="00A7503A"/>
    <w:rsid w:val="00A76CF2"/>
    <w:rsid w:val="00A76F2E"/>
    <w:rsid w:val="00A77D49"/>
    <w:rsid w:val="00A810D2"/>
    <w:rsid w:val="00A82353"/>
    <w:rsid w:val="00A86126"/>
    <w:rsid w:val="00A91244"/>
    <w:rsid w:val="00A9436A"/>
    <w:rsid w:val="00A97C43"/>
    <w:rsid w:val="00AA0831"/>
    <w:rsid w:val="00AA0A3C"/>
    <w:rsid w:val="00AA0AF1"/>
    <w:rsid w:val="00AA1517"/>
    <w:rsid w:val="00AA20D1"/>
    <w:rsid w:val="00AA5B3B"/>
    <w:rsid w:val="00AB0517"/>
    <w:rsid w:val="00AB3E0D"/>
    <w:rsid w:val="00AB60E8"/>
    <w:rsid w:val="00AB6519"/>
    <w:rsid w:val="00AB6753"/>
    <w:rsid w:val="00AC0449"/>
    <w:rsid w:val="00AC0EA4"/>
    <w:rsid w:val="00AC1CDF"/>
    <w:rsid w:val="00AC327D"/>
    <w:rsid w:val="00AC3D76"/>
    <w:rsid w:val="00AC3FF9"/>
    <w:rsid w:val="00AC4572"/>
    <w:rsid w:val="00AC7F45"/>
    <w:rsid w:val="00AD0727"/>
    <w:rsid w:val="00AD191A"/>
    <w:rsid w:val="00AD41C6"/>
    <w:rsid w:val="00AD43E3"/>
    <w:rsid w:val="00AD5376"/>
    <w:rsid w:val="00AD778F"/>
    <w:rsid w:val="00AE0BCF"/>
    <w:rsid w:val="00AE0F77"/>
    <w:rsid w:val="00AE22F6"/>
    <w:rsid w:val="00AE2702"/>
    <w:rsid w:val="00AE290F"/>
    <w:rsid w:val="00AE310F"/>
    <w:rsid w:val="00AE4B56"/>
    <w:rsid w:val="00AE4EE0"/>
    <w:rsid w:val="00AF2792"/>
    <w:rsid w:val="00AF4E41"/>
    <w:rsid w:val="00AF6220"/>
    <w:rsid w:val="00AF7298"/>
    <w:rsid w:val="00B02DA3"/>
    <w:rsid w:val="00B04CC0"/>
    <w:rsid w:val="00B05109"/>
    <w:rsid w:val="00B06E77"/>
    <w:rsid w:val="00B074E4"/>
    <w:rsid w:val="00B100D3"/>
    <w:rsid w:val="00B105DD"/>
    <w:rsid w:val="00B11FC2"/>
    <w:rsid w:val="00B14FAA"/>
    <w:rsid w:val="00B22E3E"/>
    <w:rsid w:val="00B27B16"/>
    <w:rsid w:val="00B30139"/>
    <w:rsid w:val="00B31205"/>
    <w:rsid w:val="00B337B7"/>
    <w:rsid w:val="00B339EA"/>
    <w:rsid w:val="00B417E9"/>
    <w:rsid w:val="00B46A8D"/>
    <w:rsid w:val="00B46E19"/>
    <w:rsid w:val="00B511EF"/>
    <w:rsid w:val="00B5162E"/>
    <w:rsid w:val="00B54457"/>
    <w:rsid w:val="00B62746"/>
    <w:rsid w:val="00B64271"/>
    <w:rsid w:val="00B6680C"/>
    <w:rsid w:val="00B7094B"/>
    <w:rsid w:val="00B718D5"/>
    <w:rsid w:val="00B71C7E"/>
    <w:rsid w:val="00B72E23"/>
    <w:rsid w:val="00B7648A"/>
    <w:rsid w:val="00B766E8"/>
    <w:rsid w:val="00B81A53"/>
    <w:rsid w:val="00B826AD"/>
    <w:rsid w:val="00B82B75"/>
    <w:rsid w:val="00B83A85"/>
    <w:rsid w:val="00B8659A"/>
    <w:rsid w:val="00B921D8"/>
    <w:rsid w:val="00BA311A"/>
    <w:rsid w:val="00BA693F"/>
    <w:rsid w:val="00BB0D8C"/>
    <w:rsid w:val="00BB12E1"/>
    <w:rsid w:val="00BB5C57"/>
    <w:rsid w:val="00BB6D05"/>
    <w:rsid w:val="00BB7C2A"/>
    <w:rsid w:val="00BC00A5"/>
    <w:rsid w:val="00BC1593"/>
    <w:rsid w:val="00BC1623"/>
    <w:rsid w:val="00BC1885"/>
    <w:rsid w:val="00BC463B"/>
    <w:rsid w:val="00BC4978"/>
    <w:rsid w:val="00BC4F62"/>
    <w:rsid w:val="00BC698B"/>
    <w:rsid w:val="00BD2FBC"/>
    <w:rsid w:val="00BE1546"/>
    <w:rsid w:val="00BE1F1F"/>
    <w:rsid w:val="00BE2429"/>
    <w:rsid w:val="00BE2681"/>
    <w:rsid w:val="00BE28D0"/>
    <w:rsid w:val="00BE362E"/>
    <w:rsid w:val="00BE506B"/>
    <w:rsid w:val="00BE62BF"/>
    <w:rsid w:val="00BE7155"/>
    <w:rsid w:val="00BF0CD1"/>
    <w:rsid w:val="00BF48C0"/>
    <w:rsid w:val="00BF605B"/>
    <w:rsid w:val="00C019AC"/>
    <w:rsid w:val="00C01CFE"/>
    <w:rsid w:val="00C05249"/>
    <w:rsid w:val="00C0605B"/>
    <w:rsid w:val="00C062FA"/>
    <w:rsid w:val="00C06B08"/>
    <w:rsid w:val="00C07DA7"/>
    <w:rsid w:val="00C11EF5"/>
    <w:rsid w:val="00C135A9"/>
    <w:rsid w:val="00C17459"/>
    <w:rsid w:val="00C2295A"/>
    <w:rsid w:val="00C27306"/>
    <w:rsid w:val="00C27896"/>
    <w:rsid w:val="00C30BAD"/>
    <w:rsid w:val="00C32CEF"/>
    <w:rsid w:val="00C41A5B"/>
    <w:rsid w:val="00C42179"/>
    <w:rsid w:val="00C44FBB"/>
    <w:rsid w:val="00C464B4"/>
    <w:rsid w:val="00C50948"/>
    <w:rsid w:val="00C50FA4"/>
    <w:rsid w:val="00C52309"/>
    <w:rsid w:val="00C52341"/>
    <w:rsid w:val="00C52A19"/>
    <w:rsid w:val="00C536CB"/>
    <w:rsid w:val="00C537F4"/>
    <w:rsid w:val="00C6044C"/>
    <w:rsid w:val="00C60FE6"/>
    <w:rsid w:val="00C63B97"/>
    <w:rsid w:val="00C643F2"/>
    <w:rsid w:val="00C65E72"/>
    <w:rsid w:val="00C70166"/>
    <w:rsid w:val="00C70599"/>
    <w:rsid w:val="00C72ACD"/>
    <w:rsid w:val="00C7381A"/>
    <w:rsid w:val="00C74A1A"/>
    <w:rsid w:val="00C754B8"/>
    <w:rsid w:val="00C76658"/>
    <w:rsid w:val="00C76DE5"/>
    <w:rsid w:val="00C7735B"/>
    <w:rsid w:val="00C81F26"/>
    <w:rsid w:val="00C82096"/>
    <w:rsid w:val="00C83782"/>
    <w:rsid w:val="00C83947"/>
    <w:rsid w:val="00C84742"/>
    <w:rsid w:val="00C86499"/>
    <w:rsid w:val="00C864E2"/>
    <w:rsid w:val="00C87338"/>
    <w:rsid w:val="00C91560"/>
    <w:rsid w:val="00C919ED"/>
    <w:rsid w:val="00C92647"/>
    <w:rsid w:val="00C9417F"/>
    <w:rsid w:val="00CA1670"/>
    <w:rsid w:val="00CA3557"/>
    <w:rsid w:val="00CA3A3B"/>
    <w:rsid w:val="00CA4337"/>
    <w:rsid w:val="00CA5759"/>
    <w:rsid w:val="00CA7D1D"/>
    <w:rsid w:val="00CB105C"/>
    <w:rsid w:val="00CB4384"/>
    <w:rsid w:val="00CB4DD0"/>
    <w:rsid w:val="00CB5C58"/>
    <w:rsid w:val="00CB7CBD"/>
    <w:rsid w:val="00CC21F3"/>
    <w:rsid w:val="00CC2541"/>
    <w:rsid w:val="00CC4C98"/>
    <w:rsid w:val="00CC737A"/>
    <w:rsid w:val="00CD05B7"/>
    <w:rsid w:val="00CD1A16"/>
    <w:rsid w:val="00CD1FBD"/>
    <w:rsid w:val="00CD3117"/>
    <w:rsid w:val="00CD39F0"/>
    <w:rsid w:val="00CD63D5"/>
    <w:rsid w:val="00CD6F0A"/>
    <w:rsid w:val="00CE0F36"/>
    <w:rsid w:val="00CE10A3"/>
    <w:rsid w:val="00CE428E"/>
    <w:rsid w:val="00CE50B7"/>
    <w:rsid w:val="00CE5402"/>
    <w:rsid w:val="00CE5AFE"/>
    <w:rsid w:val="00CE7684"/>
    <w:rsid w:val="00CE79F6"/>
    <w:rsid w:val="00CF14EF"/>
    <w:rsid w:val="00CF3F4D"/>
    <w:rsid w:val="00CF7660"/>
    <w:rsid w:val="00CF7C20"/>
    <w:rsid w:val="00D0044C"/>
    <w:rsid w:val="00D0296C"/>
    <w:rsid w:val="00D031AA"/>
    <w:rsid w:val="00D04482"/>
    <w:rsid w:val="00D04C31"/>
    <w:rsid w:val="00D0648E"/>
    <w:rsid w:val="00D101E9"/>
    <w:rsid w:val="00D13E22"/>
    <w:rsid w:val="00D160AD"/>
    <w:rsid w:val="00D16F2F"/>
    <w:rsid w:val="00D20EA8"/>
    <w:rsid w:val="00D21E05"/>
    <w:rsid w:val="00D22B03"/>
    <w:rsid w:val="00D24A22"/>
    <w:rsid w:val="00D250D0"/>
    <w:rsid w:val="00D2799F"/>
    <w:rsid w:val="00D31E6A"/>
    <w:rsid w:val="00D330D5"/>
    <w:rsid w:val="00D33A36"/>
    <w:rsid w:val="00D3401B"/>
    <w:rsid w:val="00D3479A"/>
    <w:rsid w:val="00D352FF"/>
    <w:rsid w:val="00D360D7"/>
    <w:rsid w:val="00D4049F"/>
    <w:rsid w:val="00D42A27"/>
    <w:rsid w:val="00D43B71"/>
    <w:rsid w:val="00D440B0"/>
    <w:rsid w:val="00D44C2B"/>
    <w:rsid w:val="00D52038"/>
    <w:rsid w:val="00D53EEA"/>
    <w:rsid w:val="00D550E0"/>
    <w:rsid w:val="00D55771"/>
    <w:rsid w:val="00D56363"/>
    <w:rsid w:val="00D57128"/>
    <w:rsid w:val="00D604B3"/>
    <w:rsid w:val="00D607F3"/>
    <w:rsid w:val="00D61EE4"/>
    <w:rsid w:val="00D62623"/>
    <w:rsid w:val="00D64DBC"/>
    <w:rsid w:val="00D66028"/>
    <w:rsid w:val="00D6622C"/>
    <w:rsid w:val="00D71EEA"/>
    <w:rsid w:val="00D73CEF"/>
    <w:rsid w:val="00D73FBF"/>
    <w:rsid w:val="00D77FDE"/>
    <w:rsid w:val="00D801EF"/>
    <w:rsid w:val="00D808EA"/>
    <w:rsid w:val="00D840F8"/>
    <w:rsid w:val="00D86DFF"/>
    <w:rsid w:val="00D91EC3"/>
    <w:rsid w:val="00D922FD"/>
    <w:rsid w:val="00D940CA"/>
    <w:rsid w:val="00D952DD"/>
    <w:rsid w:val="00D97E12"/>
    <w:rsid w:val="00D97FC3"/>
    <w:rsid w:val="00DA4674"/>
    <w:rsid w:val="00DA494E"/>
    <w:rsid w:val="00DA66FD"/>
    <w:rsid w:val="00DA6FF2"/>
    <w:rsid w:val="00DB4A3F"/>
    <w:rsid w:val="00DB5315"/>
    <w:rsid w:val="00DB543B"/>
    <w:rsid w:val="00DB5B01"/>
    <w:rsid w:val="00DB7667"/>
    <w:rsid w:val="00DB783D"/>
    <w:rsid w:val="00DC00EB"/>
    <w:rsid w:val="00DC4A21"/>
    <w:rsid w:val="00DC606C"/>
    <w:rsid w:val="00DC74AD"/>
    <w:rsid w:val="00DD143C"/>
    <w:rsid w:val="00DD1A90"/>
    <w:rsid w:val="00DD353A"/>
    <w:rsid w:val="00DD7E52"/>
    <w:rsid w:val="00DE0105"/>
    <w:rsid w:val="00DE0625"/>
    <w:rsid w:val="00DE4B5B"/>
    <w:rsid w:val="00DE4D42"/>
    <w:rsid w:val="00DE51BB"/>
    <w:rsid w:val="00DE5213"/>
    <w:rsid w:val="00DE65F2"/>
    <w:rsid w:val="00DE684A"/>
    <w:rsid w:val="00DE6DE4"/>
    <w:rsid w:val="00DF0EA3"/>
    <w:rsid w:val="00DF0F57"/>
    <w:rsid w:val="00DF212B"/>
    <w:rsid w:val="00DF2B44"/>
    <w:rsid w:val="00DF36DD"/>
    <w:rsid w:val="00DF511D"/>
    <w:rsid w:val="00DF6F67"/>
    <w:rsid w:val="00E015BD"/>
    <w:rsid w:val="00E0288E"/>
    <w:rsid w:val="00E0315A"/>
    <w:rsid w:val="00E03832"/>
    <w:rsid w:val="00E03B76"/>
    <w:rsid w:val="00E064B1"/>
    <w:rsid w:val="00E129F4"/>
    <w:rsid w:val="00E144A0"/>
    <w:rsid w:val="00E14A18"/>
    <w:rsid w:val="00E15EF3"/>
    <w:rsid w:val="00E16154"/>
    <w:rsid w:val="00E207BA"/>
    <w:rsid w:val="00E21819"/>
    <w:rsid w:val="00E23CB5"/>
    <w:rsid w:val="00E23E92"/>
    <w:rsid w:val="00E2430C"/>
    <w:rsid w:val="00E263FF"/>
    <w:rsid w:val="00E30103"/>
    <w:rsid w:val="00E3407F"/>
    <w:rsid w:val="00E34C47"/>
    <w:rsid w:val="00E34D99"/>
    <w:rsid w:val="00E35551"/>
    <w:rsid w:val="00E37768"/>
    <w:rsid w:val="00E37AE4"/>
    <w:rsid w:val="00E41136"/>
    <w:rsid w:val="00E4158A"/>
    <w:rsid w:val="00E47049"/>
    <w:rsid w:val="00E522A6"/>
    <w:rsid w:val="00E5418C"/>
    <w:rsid w:val="00E54E43"/>
    <w:rsid w:val="00E55AA8"/>
    <w:rsid w:val="00E57704"/>
    <w:rsid w:val="00E62E36"/>
    <w:rsid w:val="00E64580"/>
    <w:rsid w:val="00E6514A"/>
    <w:rsid w:val="00E65C70"/>
    <w:rsid w:val="00E702FD"/>
    <w:rsid w:val="00E73648"/>
    <w:rsid w:val="00E73847"/>
    <w:rsid w:val="00E7507C"/>
    <w:rsid w:val="00E75628"/>
    <w:rsid w:val="00E76DFE"/>
    <w:rsid w:val="00E77F85"/>
    <w:rsid w:val="00E815D9"/>
    <w:rsid w:val="00E83464"/>
    <w:rsid w:val="00E85831"/>
    <w:rsid w:val="00E864FC"/>
    <w:rsid w:val="00E87FA8"/>
    <w:rsid w:val="00E9033E"/>
    <w:rsid w:val="00E9175C"/>
    <w:rsid w:val="00E936E7"/>
    <w:rsid w:val="00E93A98"/>
    <w:rsid w:val="00E951DB"/>
    <w:rsid w:val="00E97270"/>
    <w:rsid w:val="00E97836"/>
    <w:rsid w:val="00EA0861"/>
    <w:rsid w:val="00EA267B"/>
    <w:rsid w:val="00EA4114"/>
    <w:rsid w:val="00EA5BB9"/>
    <w:rsid w:val="00EA79E5"/>
    <w:rsid w:val="00EB0973"/>
    <w:rsid w:val="00EB2D03"/>
    <w:rsid w:val="00EB7001"/>
    <w:rsid w:val="00EC0CB4"/>
    <w:rsid w:val="00EC0FDC"/>
    <w:rsid w:val="00EC346E"/>
    <w:rsid w:val="00EC5157"/>
    <w:rsid w:val="00EC541F"/>
    <w:rsid w:val="00EC5A03"/>
    <w:rsid w:val="00EC61C9"/>
    <w:rsid w:val="00ED2140"/>
    <w:rsid w:val="00ED23F7"/>
    <w:rsid w:val="00ED34FD"/>
    <w:rsid w:val="00ED6A71"/>
    <w:rsid w:val="00EE0100"/>
    <w:rsid w:val="00EE05C9"/>
    <w:rsid w:val="00EE0820"/>
    <w:rsid w:val="00EE2F5C"/>
    <w:rsid w:val="00EE34B3"/>
    <w:rsid w:val="00EE550C"/>
    <w:rsid w:val="00EE6A70"/>
    <w:rsid w:val="00EE6C6B"/>
    <w:rsid w:val="00EF11AF"/>
    <w:rsid w:val="00EF33B6"/>
    <w:rsid w:val="00EF3E30"/>
    <w:rsid w:val="00EF5938"/>
    <w:rsid w:val="00EF6A25"/>
    <w:rsid w:val="00EF7042"/>
    <w:rsid w:val="00EF7B09"/>
    <w:rsid w:val="00F01309"/>
    <w:rsid w:val="00F0191F"/>
    <w:rsid w:val="00F032DB"/>
    <w:rsid w:val="00F05C0B"/>
    <w:rsid w:val="00F076DB"/>
    <w:rsid w:val="00F1233B"/>
    <w:rsid w:val="00F16A94"/>
    <w:rsid w:val="00F17FBA"/>
    <w:rsid w:val="00F201CD"/>
    <w:rsid w:val="00F21E82"/>
    <w:rsid w:val="00F23034"/>
    <w:rsid w:val="00F234B9"/>
    <w:rsid w:val="00F23924"/>
    <w:rsid w:val="00F257D3"/>
    <w:rsid w:val="00F25BC7"/>
    <w:rsid w:val="00F30B48"/>
    <w:rsid w:val="00F31A1F"/>
    <w:rsid w:val="00F3222E"/>
    <w:rsid w:val="00F3465B"/>
    <w:rsid w:val="00F35D8E"/>
    <w:rsid w:val="00F3779E"/>
    <w:rsid w:val="00F3797F"/>
    <w:rsid w:val="00F37AD2"/>
    <w:rsid w:val="00F41976"/>
    <w:rsid w:val="00F41E5B"/>
    <w:rsid w:val="00F42516"/>
    <w:rsid w:val="00F446D6"/>
    <w:rsid w:val="00F44D16"/>
    <w:rsid w:val="00F51746"/>
    <w:rsid w:val="00F5210B"/>
    <w:rsid w:val="00F52ED5"/>
    <w:rsid w:val="00F54E21"/>
    <w:rsid w:val="00F54F6D"/>
    <w:rsid w:val="00F55582"/>
    <w:rsid w:val="00F57DFB"/>
    <w:rsid w:val="00F62043"/>
    <w:rsid w:val="00F62A2E"/>
    <w:rsid w:val="00F632BE"/>
    <w:rsid w:val="00F6371F"/>
    <w:rsid w:val="00F64233"/>
    <w:rsid w:val="00F64C9F"/>
    <w:rsid w:val="00F67A57"/>
    <w:rsid w:val="00F71231"/>
    <w:rsid w:val="00F71913"/>
    <w:rsid w:val="00F71B97"/>
    <w:rsid w:val="00F76AE8"/>
    <w:rsid w:val="00F81938"/>
    <w:rsid w:val="00F84393"/>
    <w:rsid w:val="00F858B2"/>
    <w:rsid w:val="00F85F1E"/>
    <w:rsid w:val="00F8623E"/>
    <w:rsid w:val="00F8747A"/>
    <w:rsid w:val="00F87F42"/>
    <w:rsid w:val="00F909E7"/>
    <w:rsid w:val="00F90B7B"/>
    <w:rsid w:val="00F92235"/>
    <w:rsid w:val="00F93A39"/>
    <w:rsid w:val="00F954B0"/>
    <w:rsid w:val="00F95DBD"/>
    <w:rsid w:val="00F95FA6"/>
    <w:rsid w:val="00F96165"/>
    <w:rsid w:val="00F965C7"/>
    <w:rsid w:val="00FA158E"/>
    <w:rsid w:val="00FA17C7"/>
    <w:rsid w:val="00FA2F1C"/>
    <w:rsid w:val="00FB001A"/>
    <w:rsid w:val="00FB29E5"/>
    <w:rsid w:val="00FB411D"/>
    <w:rsid w:val="00FB530D"/>
    <w:rsid w:val="00FB53FA"/>
    <w:rsid w:val="00FB6B8F"/>
    <w:rsid w:val="00FB7317"/>
    <w:rsid w:val="00FC01ED"/>
    <w:rsid w:val="00FC3D3C"/>
    <w:rsid w:val="00FC405A"/>
    <w:rsid w:val="00FC40D6"/>
    <w:rsid w:val="00FC439B"/>
    <w:rsid w:val="00FC4A33"/>
    <w:rsid w:val="00FC670C"/>
    <w:rsid w:val="00FC70CD"/>
    <w:rsid w:val="00FD2008"/>
    <w:rsid w:val="00FD25A9"/>
    <w:rsid w:val="00FD40B0"/>
    <w:rsid w:val="00FD69F2"/>
    <w:rsid w:val="00FD7455"/>
    <w:rsid w:val="00FD761C"/>
    <w:rsid w:val="00FE1C26"/>
    <w:rsid w:val="00FE263D"/>
    <w:rsid w:val="00FE32CC"/>
    <w:rsid w:val="00FE51AC"/>
    <w:rsid w:val="00FE59D4"/>
    <w:rsid w:val="00FE5EAC"/>
    <w:rsid w:val="00FE6836"/>
    <w:rsid w:val="00FE7628"/>
    <w:rsid w:val="00FF21A2"/>
    <w:rsid w:val="00FF3612"/>
    <w:rsid w:val="00FF4920"/>
    <w:rsid w:val="00FF66E5"/>
    <w:rsid w:val="00FF6B50"/>
    <w:rsid w:val="00FF6EAA"/>
    <w:rsid w:val="00FF795D"/>
    <w:rsid w:val="5F912B01"/>
    <w:rsid w:val="6E7E5A3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DCB22F"/>
  <w15:docId w15:val="{D0A2B2FB-0937-41B9-AA1F-EB35349B42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160" w:line="259" w:lineRule="auto"/>
    </w:pPr>
    <w:rPr>
      <w:sz w:val="22"/>
      <w:szCs w:val="22"/>
    </w:rPr>
  </w:style>
  <w:style w:type="paragraph" w:styleId="Heading3">
    <w:name w:val="heading 3"/>
    <w:basedOn w:val="Normal"/>
    <w:link w:val="Heading3Char"/>
    <w:uiPriority w:val="9"/>
    <w:qFormat/>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qFormat/>
    <w:pPr>
      <w:spacing w:after="0" w:line="240" w:lineRule="auto"/>
    </w:pPr>
    <w:rPr>
      <w:rFonts w:ascii="Segoe UI" w:hAnsi="Segoe UI" w:cs="Segoe UI"/>
      <w:sz w:val="18"/>
      <w:szCs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styleId="FollowedHyperlink">
    <w:name w:val="FollowedHyperlink"/>
    <w:basedOn w:val="DefaultParagraphFont"/>
    <w:uiPriority w:val="99"/>
    <w:semiHidden/>
    <w:unhideWhenUsed/>
    <w:qFormat/>
    <w:rPr>
      <w:color w:val="954F72" w:themeColor="followedHyperlink"/>
      <w:u w:val="single"/>
    </w:rPr>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styleId="Hyperlink">
    <w:name w:val="Hyperlink"/>
    <w:basedOn w:val="DefaultParagraphFont"/>
    <w:uiPriority w:val="99"/>
    <w:unhideWhenUsed/>
    <w:rPr>
      <w:color w:val="0563C1" w:themeColor="hyperlink"/>
      <w:u w:val="single"/>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qFormat/>
  </w:style>
  <w:style w:type="character" w:customStyle="1" w:styleId="FooterChar">
    <w:name w:val="Footer Char"/>
    <w:basedOn w:val="DefaultParagraphFont"/>
    <w:link w:val="Footer"/>
    <w:uiPriority w:val="99"/>
    <w:qFormat/>
  </w:style>
  <w:style w:type="paragraph" w:customStyle="1" w:styleId="EndNoteBibliographyTitle">
    <w:name w:val="EndNote Bibliography Title"/>
    <w:basedOn w:val="Normal"/>
    <w:link w:val="EndNoteBibliographyTitleChar"/>
    <w:qFormat/>
    <w:pPr>
      <w:spacing w:after="0"/>
      <w:jc w:val="center"/>
    </w:pPr>
    <w:rPr>
      <w:rFonts w:ascii="Calibri" w:hAnsi="Calibri" w:cs="Calibri"/>
    </w:rPr>
  </w:style>
  <w:style w:type="character" w:customStyle="1" w:styleId="EndNoteBibliographyTitleChar">
    <w:name w:val="EndNote Bibliography Title Char"/>
    <w:basedOn w:val="DefaultParagraphFont"/>
    <w:link w:val="EndNoteBibliographyTitle"/>
    <w:qFormat/>
    <w:rPr>
      <w:rFonts w:ascii="Calibri" w:hAnsi="Calibri" w:cs="Calibri"/>
    </w:rPr>
  </w:style>
  <w:style w:type="paragraph" w:customStyle="1" w:styleId="EndNoteBibliography">
    <w:name w:val="EndNote Bibliography"/>
    <w:basedOn w:val="Normal"/>
    <w:link w:val="EndNoteBibliographyChar"/>
    <w:qFormat/>
    <w:pPr>
      <w:spacing w:line="240" w:lineRule="auto"/>
      <w:jc w:val="both"/>
    </w:pPr>
    <w:rPr>
      <w:rFonts w:ascii="Calibri" w:hAnsi="Calibri" w:cs="Calibri"/>
    </w:rPr>
  </w:style>
  <w:style w:type="character" w:customStyle="1" w:styleId="EndNoteBibliographyChar">
    <w:name w:val="EndNote Bibliography Char"/>
    <w:basedOn w:val="DefaultParagraphFont"/>
    <w:link w:val="EndNoteBibliography"/>
    <w:rPr>
      <w:rFonts w:ascii="Calibri" w:hAnsi="Calibri" w:cs="Calibri"/>
    </w:rPr>
  </w:style>
  <w:style w:type="character" w:customStyle="1" w:styleId="UnresolvedMention1">
    <w:name w:val="Unresolved Mention1"/>
    <w:basedOn w:val="DefaultParagraphFont"/>
    <w:uiPriority w:val="99"/>
    <w:semiHidden/>
    <w:unhideWhenUsed/>
    <w:rPr>
      <w:color w:val="605E5C"/>
      <w:shd w:val="clear" w:color="auto" w:fill="E1DFDD"/>
    </w:rPr>
  </w:style>
  <w:style w:type="paragraph" w:customStyle="1" w:styleId="EndNoteCategoryHeading">
    <w:name w:val="EndNote Category Heading"/>
    <w:basedOn w:val="Normal"/>
    <w:link w:val="EndNoteCategoryHeadingChar"/>
    <w:qFormat/>
    <w:pPr>
      <w:spacing w:before="120" w:after="120"/>
    </w:pPr>
    <w:rPr>
      <w:b/>
    </w:rPr>
  </w:style>
  <w:style w:type="character" w:customStyle="1" w:styleId="EndNoteCategoryHeadingChar">
    <w:name w:val="EndNote Category Heading Char"/>
    <w:basedOn w:val="DefaultParagraphFont"/>
    <w:link w:val="EndNoteCategoryHeading"/>
    <w:rPr>
      <w:b/>
    </w:rPr>
  </w:style>
  <w:style w:type="paragraph" w:styleId="ListParagraph">
    <w:name w:val="List Paragraph"/>
    <w:basedOn w:val="Normal"/>
    <w:uiPriority w:val="34"/>
    <w:qFormat/>
    <w:pPr>
      <w:ind w:left="720"/>
      <w:contextualSpacing/>
    </w:pPr>
    <w:rPr>
      <w:lang w:val="en-ZA"/>
    </w:rPr>
  </w:style>
  <w:style w:type="character" w:customStyle="1" w:styleId="CommentTextChar">
    <w:name w:val="Comment Text Char"/>
    <w:basedOn w:val="DefaultParagraphFont"/>
    <w:link w:val="CommentText"/>
    <w:uiPriority w:val="99"/>
    <w:semiHidden/>
    <w:rPr>
      <w:sz w:val="20"/>
      <w:szCs w:val="20"/>
    </w:rPr>
  </w:style>
  <w:style w:type="character" w:customStyle="1" w:styleId="CommentSubjectChar">
    <w:name w:val="Comment Subject Char"/>
    <w:basedOn w:val="CommentTextChar"/>
    <w:link w:val="CommentSubject"/>
    <w:uiPriority w:val="99"/>
    <w:semiHidden/>
    <w:rPr>
      <w:b/>
      <w:bCs/>
      <w:sz w:val="20"/>
      <w:szCs w:val="20"/>
    </w:rPr>
  </w:style>
  <w:style w:type="character" w:customStyle="1" w:styleId="BalloonTextChar">
    <w:name w:val="Balloon Text Char"/>
    <w:basedOn w:val="DefaultParagraphFont"/>
    <w:link w:val="BalloonText"/>
    <w:uiPriority w:val="99"/>
    <w:semiHidden/>
    <w:qFormat/>
    <w:rPr>
      <w:rFonts w:ascii="Segoe UI" w:hAnsi="Segoe UI" w:cs="Segoe UI"/>
      <w:sz w:val="18"/>
      <w:szCs w:val="18"/>
    </w:rPr>
  </w:style>
  <w:style w:type="character" w:customStyle="1" w:styleId="srctitle-date-fields">
    <w:name w:val="srctitle-date-fields"/>
    <w:basedOn w:val="DefaultParagraphFont"/>
    <w:qFormat/>
  </w:style>
  <w:style w:type="character" w:customStyle="1" w:styleId="anchor-text">
    <w:name w:val="anchor-text"/>
    <w:basedOn w:val="DefaultParagraphFont"/>
  </w:style>
  <w:style w:type="character" w:customStyle="1" w:styleId="Heading3Char">
    <w:name w:val="Heading 3 Char"/>
    <w:basedOn w:val="DefaultParagraphFont"/>
    <w:link w:val="Heading3"/>
    <w:uiPriority w:val="9"/>
    <w:rPr>
      <w:rFonts w:ascii="Times New Roman" w:eastAsia="Times New Roman" w:hAnsi="Times New Roman" w:cs="Times New Roman"/>
      <w:b/>
      <w:bCs/>
      <w:sz w:val="27"/>
      <w:szCs w:val="27"/>
    </w:rPr>
  </w:style>
  <w:style w:type="paragraph" w:customStyle="1" w:styleId="Addresses">
    <w:name w:val="Addresses"/>
    <w:basedOn w:val="Normal"/>
    <w:pPr>
      <w:spacing w:after="0" w:line="240" w:lineRule="auto"/>
    </w:pPr>
    <w:rPr>
      <w:rFonts w:ascii="Times New Roman" w:eastAsia="MS Mincho" w:hAnsi="Times New Roman" w:cs="Times New Roman"/>
      <w:sz w:val="24"/>
      <w:szCs w:val="24"/>
      <w:lang w:eastAsia="ja-JP"/>
    </w:rPr>
  </w:style>
  <w:style w:type="paragraph" w:styleId="NoSpacing">
    <w:name w:val="No Spacing"/>
    <w:basedOn w:val="Normal"/>
    <w:uiPriority w:val="1"/>
    <w:qFormat/>
    <w:pPr>
      <w:spacing w:after="0" w:line="240" w:lineRule="auto"/>
    </w:pPr>
    <w:rPr>
      <w:rFonts w:ascii="Gill Sans MT" w:eastAsia="STXinwei" w:hAnsi="Gill Sans MT" w:cs="Times New Roman"/>
      <w:color w:val="000000"/>
      <w:sz w:val="20"/>
      <w:szCs w:val="20"/>
      <w:lang w:eastAsia="zh-CN"/>
    </w:rPr>
  </w:style>
  <w:style w:type="character" w:customStyle="1" w:styleId="UnresolvedMention2">
    <w:name w:val="Unresolved Mention2"/>
    <w:basedOn w:val="DefaultParagraphFont"/>
    <w:uiPriority w:val="99"/>
    <w:semiHidden/>
    <w:unhideWhenUsed/>
    <w:rPr>
      <w:color w:val="605E5C"/>
      <w:shd w:val="clear" w:color="auto" w:fill="E1DFDD"/>
    </w:rPr>
  </w:style>
  <w:style w:type="table" w:customStyle="1" w:styleId="TableGrid1">
    <w:name w:val="Table Grid1"/>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mailto:kamel.eid@qu.edu.qa" TargetMode="External"/><Relationship Id="rId12" Type="http://schemas.openxmlformats.org/officeDocument/2006/relationships/image" Target="media/image5.tif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1390</TotalTime>
  <Pages>11</Pages>
  <Words>5090</Words>
  <Characters>29015</Characters>
  <Application>Microsoft Office Word</Application>
  <DocSecurity>0</DocSecurity>
  <Lines>241</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Ipadeola Adewale Kabir</dc:creator>
  <cp:lastModifiedBy>Adewale Kabir Ipadeola</cp:lastModifiedBy>
  <cp:revision>526</cp:revision>
  <dcterms:created xsi:type="dcterms:W3CDTF">2022-09-06T09:54:00Z</dcterms:created>
  <dcterms:modified xsi:type="dcterms:W3CDTF">2023-09-13T09:28:00Z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867312e0d86972cef7118c0977ce9fe0df1b39dd6194e1f643e63a2d74e58f3d</vt:lpwstr>
  </property>
  <property fmtid="{D5CDD505-2E9C-101B-9397-08002B2CF9AE}" pid="3" name="KSOProductBuildVer">
    <vt:lpwstr>1033-12.2.0.13201</vt:lpwstr>
  </property>
  <property fmtid="{D5CDD505-2E9C-101B-9397-08002B2CF9AE}" pid="4" name="ICV">
    <vt:lpwstr>D0978A576912416BA44CA628E775B578_13</vt:lpwstr>
  </property>
</Properties>
</file>