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C6BF03" w14:textId="4B8C90F0" w:rsidR="00A3660F" w:rsidRPr="00A3660F" w:rsidRDefault="00A3660F" w:rsidP="00A3660F">
      <w:pPr>
        <w:spacing w:line="360" w:lineRule="auto"/>
        <w:rPr>
          <w:rFonts w:asciiTheme="majorBidi" w:hAnsiTheme="majorBidi" w:cstheme="majorBidi"/>
          <w:b/>
          <w:bCs/>
          <w:sz w:val="28"/>
          <w:szCs w:val="28"/>
        </w:rPr>
      </w:pPr>
      <w:r w:rsidRPr="00A3660F">
        <w:rPr>
          <w:rFonts w:asciiTheme="majorBidi" w:hAnsiTheme="majorBidi" w:cstheme="majorBidi"/>
          <w:b/>
          <w:bCs/>
          <w:sz w:val="28"/>
          <w:szCs w:val="28"/>
        </w:rPr>
        <w:t xml:space="preserve">Supporting </w:t>
      </w:r>
      <w:r w:rsidR="00C57604">
        <w:rPr>
          <w:rFonts w:asciiTheme="majorBidi" w:hAnsiTheme="majorBidi" w:cstheme="majorBidi"/>
          <w:b/>
          <w:bCs/>
          <w:sz w:val="28"/>
          <w:szCs w:val="28"/>
        </w:rPr>
        <w:t>Information</w:t>
      </w:r>
      <w:r w:rsidRPr="00A3660F">
        <w:rPr>
          <w:rFonts w:asciiTheme="majorBidi" w:hAnsiTheme="majorBidi" w:cstheme="majorBidi"/>
          <w:b/>
          <w:bCs/>
          <w:sz w:val="28"/>
          <w:szCs w:val="28"/>
        </w:rPr>
        <w:t xml:space="preserve"> SI</w:t>
      </w:r>
    </w:p>
    <w:p w14:paraId="4C8F2E8F" w14:textId="3C0DE2E8" w:rsidR="00A3660F" w:rsidRDefault="00A3660F" w:rsidP="00A3660F">
      <w:pPr>
        <w:pStyle w:val="Articletitle"/>
        <w:jc w:val="both"/>
      </w:pPr>
      <w:r>
        <w:t xml:space="preserve">Effectiveness of </w:t>
      </w:r>
      <w:r w:rsidRPr="003D6B58">
        <w:t xml:space="preserve">Non-Conventional </w:t>
      </w:r>
      <w:r>
        <w:t xml:space="preserve">Urban </w:t>
      </w:r>
      <w:r w:rsidRPr="003D6B58">
        <w:t xml:space="preserve">Water </w:t>
      </w:r>
      <w:r>
        <w:t xml:space="preserve">Planning </w:t>
      </w:r>
      <w:r w:rsidRPr="003D6B58">
        <w:t>in GCC</w:t>
      </w:r>
      <w:r>
        <w:t xml:space="preserve"> Countries</w:t>
      </w:r>
      <w:r w:rsidRPr="003D6B58">
        <w:t>: The Case of Qatar</w:t>
      </w:r>
    </w:p>
    <w:p w14:paraId="2BF9F8B2" w14:textId="77777777" w:rsidR="00A3660F" w:rsidRPr="00564102" w:rsidRDefault="00A3660F" w:rsidP="00A3660F">
      <w:pPr>
        <w:pStyle w:val="Authornames"/>
        <w:spacing w:before="0" w:line="240" w:lineRule="auto"/>
        <w:rPr>
          <w:sz w:val="24"/>
        </w:rPr>
      </w:pPr>
      <w:r w:rsidRPr="00564102">
        <w:rPr>
          <w:sz w:val="24"/>
        </w:rPr>
        <w:t xml:space="preserve">Ibrahim </w:t>
      </w:r>
      <w:r>
        <w:rPr>
          <w:sz w:val="24"/>
        </w:rPr>
        <w:t>A</w:t>
      </w:r>
      <w:r w:rsidRPr="00564102">
        <w:rPr>
          <w:sz w:val="24"/>
        </w:rPr>
        <w:t xml:space="preserve">l </w:t>
      </w:r>
      <w:proofErr w:type="spellStart"/>
      <w:r w:rsidRPr="00564102">
        <w:rPr>
          <w:sz w:val="24"/>
        </w:rPr>
        <w:t>Khoury</w:t>
      </w:r>
      <w:r w:rsidRPr="00564102">
        <w:rPr>
          <w:sz w:val="24"/>
          <w:vertAlign w:val="superscript"/>
        </w:rPr>
        <w:t>a</w:t>
      </w:r>
      <w:proofErr w:type="spellEnd"/>
      <w:r w:rsidRPr="00564102">
        <w:rPr>
          <w:sz w:val="24"/>
        </w:rPr>
        <w:t>, Sophia Ghanimeh</w:t>
      </w:r>
      <w:r>
        <w:rPr>
          <w:sz w:val="24"/>
          <w:vertAlign w:val="superscript"/>
        </w:rPr>
        <w:t xml:space="preserve"> </w:t>
      </w:r>
      <w:r w:rsidRPr="00564102">
        <w:rPr>
          <w:sz w:val="24"/>
          <w:vertAlign w:val="superscript"/>
        </w:rPr>
        <w:t>b</w:t>
      </w:r>
      <w:r w:rsidRPr="00564102">
        <w:rPr>
          <w:sz w:val="24"/>
        </w:rPr>
        <w:t xml:space="preserve">*, Dima </w:t>
      </w:r>
      <w:proofErr w:type="spellStart"/>
      <w:r w:rsidRPr="00564102">
        <w:rPr>
          <w:sz w:val="24"/>
        </w:rPr>
        <w:t>Jawad</w:t>
      </w:r>
      <w:r w:rsidRPr="00564102">
        <w:rPr>
          <w:sz w:val="24"/>
          <w:vertAlign w:val="superscript"/>
        </w:rPr>
        <w:t>c</w:t>
      </w:r>
      <w:proofErr w:type="spellEnd"/>
      <w:r w:rsidRPr="00564102">
        <w:rPr>
          <w:sz w:val="24"/>
        </w:rPr>
        <w:t xml:space="preserve">, Maya </w:t>
      </w:r>
      <w:proofErr w:type="spellStart"/>
      <w:r w:rsidRPr="00564102">
        <w:rPr>
          <w:sz w:val="24"/>
        </w:rPr>
        <w:t>Atieh</w:t>
      </w:r>
      <w:r w:rsidRPr="00564102">
        <w:rPr>
          <w:sz w:val="24"/>
          <w:vertAlign w:val="superscript"/>
        </w:rPr>
        <w:t>a</w:t>
      </w:r>
      <w:proofErr w:type="spellEnd"/>
    </w:p>
    <w:p w14:paraId="2FC688DA" w14:textId="77777777" w:rsidR="00A3660F" w:rsidRPr="00564102" w:rsidRDefault="00A3660F" w:rsidP="00A3660F">
      <w:pPr>
        <w:pStyle w:val="Affiliation"/>
        <w:spacing w:before="0" w:line="240" w:lineRule="auto"/>
        <w:rPr>
          <w:sz w:val="20"/>
          <w:szCs w:val="20"/>
        </w:rPr>
      </w:pPr>
      <w:r w:rsidRPr="00564102">
        <w:rPr>
          <w:sz w:val="20"/>
          <w:szCs w:val="20"/>
          <w:vertAlign w:val="superscript"/>
        </w:rPr>
        <w:t xml:space="preserve">a </w:t>
      </w:r>
      <w:r w:rsidRPr="00564102">
        <w:rPr>
          <w:sz w:val="20"/>
          <w:szCs w:val="20"/>
        </w:rPr>
        <w:t xml:space="preserve">Department of Civil and Environmental Engineering, Notre Dame University – </w:t>
      </w:r>
      <w:proofErr w:type="spellStart"/>
      <w:r w:rsidRPr="00564102">
        <w:rPr>
          <w:sz w:val="20"/>
          <w:szCs w:val="20"/>
        </w:rPr>
        <w:t>Louaize</w:t>
      </w:r>
      <w:proofErr w:type="spellEnd"/>
      <w:r w:rsidRPr="00564102">
        <w:rPr>
          <w:sz w:val="20"/>
          <w:szCs w:val="20"/>
        </w:rPr>
        <w:t>, Lebanon</w:t>
      </w:r>
    </w:p>
    <w:p w14:paraId="6E7CD1E8" w14:textId="77777777" w:rsidR="00A3660F" w:rsidRPr="00564102" w:rsidRDefault="00A3660F" w:rsidP="00A3660F">
      <w:pPr>
        <w:pStyle w:val="Affiliation"/>
        <w:spacing w:before="0" w:line="240" w:lineRule="auto"/>
        <w:rPr>
          <w:sz w:val="20"/>
          <w:szCs w:val="20"/>
        </w:rPr>
      </w:pPr>
      <w:r w:rsidRPr="00564102">
        <w:rPr>
          <w:sz w:val="20"/>
          <w:szCs w:val="20"/>
          <w:vertAlign w:val="superscript"/>
        </w:rPr>
        <w:t xml:space="preserve">b </w:t>
      </w:r>
      <w:r w:rsidRPr="00564102">
        <w:rPr>
          <w:sz w:val="20"/>
          <w:szCs w:val="20"/>
        </w:rPr>
        <w:t>Environmental Research Center, Qatar University, Qatar</w:t>
      </w:r>
    </w:p>
    <w:p w14:paraId="458DB2C2" w14:textId="77777777" w:rsidR="00A3660F" w:rsidRPr="00564102" w:rsidRDefault="00A3660F" w:rsidP="00A3660F">
      <w:pPr>
        <w:pStyle w:val="Affiliation"/>
        <w:spacing w:before="0" w:line="240" w:lineRule="auto"/>
        <w:rPr>
          <w:sz w:val="20"/>
          <w:szCs w:val="20"/>
        </w:rPr>
      </w:pPr>
      <w:r w:rsidRPr="00564102">
        <w:rPr>
          <w:sz w:val="20"/>
          <w:szCs w:val="20"/>
          <w:vertAlign w:val="superscript"/>
        </w:rPr>
        <w:t xml:space="preserve">c </w:t>
      </w:r>
      <w:r w:rsidRPr="00564102">
        <w:rPr>
          <w:sz w:val="20"/>
          <w:szCs w:val="20"/>
        </w:rPr>
        <w:t>Department of Automotive and Mechatronics Engineering, Ontario Tech University, Canada</w:t>
      </w:r>
    </w:p>
    <w:p w14:paraId="680F9185" w14:textId="4FAE00BB" w:rsidR="00A3660F" w:rsidRPr="00564102" w:rsidRDefault="00A3660F" w:rsidP="00A3660F">
      <w:pPr>
        <w:pStyle w:val="Correspondencedetails"/>
        <w:spacing w:before="0" w:line="240" w:lineRule="auto"/>
        <w:rPr>
          <w:sz w:val="20"/>
          <w:szCs w:val="20"/>
        </w:rPr>
      </w:pPr>
      <w:r w:rsidRPr="00564102">
        <w:rPr>
          <w:sz w:val="20"/>
          <w:szCs w:val="20"/>
        </w:rPr>
        <w:t>*</w:t>
      </w:r>
      <w:r w:rsidR="00F03A6E">
        <w:rPr>
          <w:sz w:val="20"/>
          <w:szCs w:val="20"/>
        </w:rPr>
        <w:t>C</w:t>
      </w:r>
      <w:r w:rsidR="00F03A6E" w:rsidRPr="00564102">
        <w:rPr>
          <w:sz w:val="20"/>
          <w:szCs w:val="20"/>
        </w:rPr>
        <w:t xml:space="preserve">orresponding </w:t>
      </w:r>
      <w:r w:rsidRPr="00564102">
        <w:rPr>
          <w:sz w:val="20"/>
          <w:szCs w:val="20"/>
        </w:rPr>
        <w:t>Author; email</w:t>
      </w:r>
      <w:r w:rsidR="00F03A6E">
        <w:rPr>
          <w:sz w:val="20"/>
          <w:szCs w:val="20"/>
        </w:rPr>
        <w:t xml:space="preserve">: </w:t>
      </w:r>
      <w:hyperlink r:id="rId6" w:history="1">
        <w:r w:rsidR="00F03A6E" w:rsidRPr="00F03A6E">
          <w:rPr>
            <w:rStyle w:val="Hyperlink"/>
            <w:sz w:val="20"/>
            <w:szCs w:val="20"/>
          </w:rPr>
          <w:t>s.ghanimeh@qu.edu.qa</w:t>
        </w:r>
      </w:hyperlink>
      <w:r w:rsidRPr="00564102">
        <w:rPr>
          <w:sz w:val="20"/>
          <w:szCs w:val="20"/>
        </w:rPr>
        <w:t>; ORCID: 0000-0001-5296-</w:t>
      </w:r>
      <w:r w:rsidR="00F03A6E" w:rsidRPr="00564102">
        <w:rPr>
          <w:sz w:val="20"/>
          <w:szCs w:val="20"/>
        </w:rPr>
        <w:t>201</w:t>
      </w:r>
      <w:r w:rsidR="00F03A6E">
        <w:rPr>
          <w:sz w:val="20"/>
          <w:szCs w:val="20"/>
        </w:rPr>
        <w:t>5</w:t>
      </w:r>
    </w:p>
    <w:p w14:paraId="6B1D9B61" w14:textId="185B00A9" w:rsidR="00A3660F" w:rsidRDefault="00A3660F" w:rsidP="00305A5D">
      <w:pPr>
        <w:spacing w:line="360" w:lineRule="auto"/>
        <w:rPr>
          <w:rFonts w:asciiTheme="majorBidi" w:hAnsiTheme="majorBidi" w:cstheme="majorBidi"/>
          <w:b/>
          <w:bCs/>
          <w:sz w:val="24"/>
          <w:szCs w:val="24"/>
          <w:highlight w:val="yellow"/>
          <w:lang w:val="en-GB"/>
        </w:rPr>
      </w:pPr>
    </w:p>
    <w:p w14:paraId="76350FDC" w14:textId="4A56B156" w:rsidR="00A3660F" w:rsidRPr="00A3660F" w:rsidRDefault="00A3660F" w:rsidP="00A3660F">
      <w:pPr>
        <w:spacing w:line="360" w:lineRule="auto"/>
        <w:jc w:val="both"/>
        <w:rPr>
          <w:rFonts w:asciiTheme="majorBidi" w:hAnsiTheme="majorBidi" w:cstheme="majorBidi"/>
          <w:sz w:val="24"/>
          <w:szCs w:val="24"/>
          <w:lang w:val="en-GB"/>
        </w:rPr>
      </w:pPr>
      <w:r w:rsidRPr="00083656">
        <w:rPr>
          <w:rFonts w:asciiTheme="majorBidi" w:hAnsiTheme="majorBidi" w:cstheme="majorBidi"/>
          <w:sz w:val="24"/>
          <w:szCs w:val="24"/>
          <w:lang w:val="en-GB"/>
        </w:rPr>
        <w:t>Manuscript submitted to:</w:t>
      </w:r>
      <w:r w:rsidRPr="00A3660F">
        <w:rPr>
          <w:rFonts w:asciiTheme="majorBidi" w:hAnsiTheme="majorBidi" w:cstheme="majorBidi"/>
          <w:sz w:val="24"/>
          <w:szCs w:val="24"/>
          <w:lang w:val="en-GB"/>
        </w:rPr>
        <w:t xml:space="preserve"> Water Resources Management - European Water Resources Association (EWRA)</w:t>
      </w:r>
    </w:p>
    <w:p w14:paraId="656D9F90" w14:textId="3C2A44EC" w:rsidR="0012079C" w:rsidRPr="0012079C" w:rsidRDefault="0012079C" w:rsidP="0012079C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Theme="majorBidi" w:hAnsiTheme="majorBidi" w:cstheme="majorBidi"/>
          <w:b/>
          <w:bCs/>
          <w:i/>
          <w:iCs/>
          <w:sz w:val="24"/>
          <w:szCs w:val="24"/>
          <w:lang w:val="en-GB"/>
        </w:rPr>
      </w:pPr>
      <w:r w:rsidRPr="0012079C">
        <w:rPr>
          <w:rFonts w:asciiTheme="majorBidi" w:hAnsiTheme="majorBidi" w:cstheme="majorBidi"/>
          <w:b/>
          <w:bCs/>
          <w:i/>
          <w:iCs/>
          <w:sz w:val="24"/>
          <w:szCs w:val="24"/>
          <w:lang w:val="en-GB"/>
        </w:rPr>
        <w:t>Research rationale</w:t>
      </w:r>
    </w:p>
    <w:p w14:paraId="1E55F994" w14:textId="77777777" w:rsidR="0012079C" w:rsidRDefault="0012079C" w:rsidP="0012079C">
      <w:pPr>
        <w:pStyle w:val="Newparagraph"/>
        <w:jc w:val="center"/>
      </w:pPr>
      <w:r>
        <w:rPr>
          <w:noProof/>
          <w:lang w:val="en-US" w:eastAsia="en-US"/>
        </w:rPr>
        <w:drawing>
          <wp:anchor distT="0" distB="0" distL="114300" distR="114300" simplePos="0" relativeHeight="251659264" behindDoc="0" locked="0" layoutInCell="1" allowOverlap="1" wp14:anchorId="0EAC5150" wp14:editId="2CA97CA2">
            <wp:simplePos x="0" y="0"/>
            <wp:positionH relativeFrom="column">
              <wp:posOffset>1797050</wp:posOffset>
            </wp:positionH>
            <wp:positionV relativeFrom="paragraph">
              <wp:posOffset>3810</wp:posOffset>
            </wp:positionV>
            <wp:extent cx="2540000" cy="1219200"/>
            <wp:effectExtent l="0" t="0" r="0" b="0"/>
            <wp:wrapNone/>
            <wp:docPr id="3" name="Diagram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5470D7" w14:textId="77777777" w:rsidR="0012079C" w:rsidRDefault="0012079C" w:rsidP="0012079C">
      <w:pPr>
        <w:pStyle w:val="Newparagraph"/>
        <w:jc w:val="center"/>
      </w:pPr>
    </w:p>
    <w:p w14:paraId="3979CC49" w14:textId="77777777" w:rsidR="0012079C" w:rsidRPr="00694A94" w:rsidRDefault="0012079C" w:rsidP="0012079C">
      <w:pPr>
        <w:pStyle w:val="Newparagraph"/>
        <w:jc w:val="center"/>
      </w:pPr>
    </w:p>
    <w:p w14:paraId="109EE0BE" w14:textId="77777777" w:rsidR="0012079C" w:rsidRDefault="0012079C" w:rsidP="0012079C">
      <w:pPr>
        <w:pStyle w:val="Paragraph"/>
        <w:ind w:firstLine="360"/>
        <w:jc w:val="center"/>
      </w:pPr>
      <w:r>
        <w:rPr>
          <w:noProof/>
          <w:lang w:val="en-US" w:eastAsia="en-US"/>
        </w:rPr>
        <w:drawing>
          <wp:inline distT="0" distB="0" distL="0" distR="0" wp14:anchorId="491E4B22" wp14:editId="2A352E32">
            <wp:extent cx="4298950" cy="1765300"/>
            <wp:effectExtent l="0" t="25400" r="0" b="12700"/>
            <wp:docPr id="4" name="Diagra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</wp:inline>
        </w:drawing>
      </w:r>
    </w:p>
    <w:p w14:paraId="3A2092CB" w14:textId="050B4466" w:rsidR="0012079C" w:rsidRDefault="0012079C" w:rsidP="0012079C">
      <w:pPr>
        <w:pStyle w:val="Newparagraph"/>
        <w:spacing w:before="240"/>
        <w:ind w:firstLine="0"/>
        <w:jc w:val="center"/>
      </w:pPr>
      <w:r w:rsidRPr="00EC04D5">
        <w:rPr>
          <w:b/>
          <w:bCs/>
        </w:rPr>
        <w:t xml:space="preserve">Fig. </w:t>
      </w:r>
      <w:r>
        <w:rPr>
          <w:b/>
          <w:bCs/>
        </w:rPr>
        <w:t>S1</w:t>
      </w:r>
      <w:r w:rsidRPr="00EC04D5">
        <w:t xml:space="preserve"> </w:t>
      </w:r>
      <w:r>
        <w:t xml:space="preserve">Research </w:t>
      </w:r>
      <w:r w:rsidR="00BF0DF7">
        <w:t>structure</w:t>
      </w:r>
    </w:p>
    <w:p w14:paraId="3CA2DE89" w14:textId="77777777" w:rsidR="0012079C" w:rsidRPr="0012079C" w:rsidRDefault="0012079C" w:rsidP="0012079C">
      <w:pPr>
        <w:spacing w:line="360" w:lineRule="auto"/>
        <w:jc w:val="both"/>
        <w:rPr>
          <w:rFonts w:asciiTheme="majorBidi" w:hAnsiTheme="majorBidi" w:cstheme="majorBidi"/>
          <w:b/>
          <w:bCs/>
          <w:i/>
          <w:iCs/>
          <w:sz w:val="24"/>
          <w:szCs w:val="24"/>
          <w:lang w:val="en-GB"/>
        </w:rPr>
      </w:pPr>
    </w:p>
    <w:p w14:paraId="71FF4868" w14:textId="77777777" w:rsidR="0012079C" w:rsidRDefault="0012079C">
      <w:pPr>
        <w:rPr>
          <w:rFonts w:asciiTheme="majorBidi" w:hAnsiTheme="majorBidi" w:cstheme="majorBidi"/>
          <w:b/>
          <w:bCs/>
          <w:i/>
          <w:iCs/>
          <w:sz w:val="24"/>
          <w:szCs w:val="24"/>
          <w:highlight w:val="lightGray"/>
          <w:lang w:val="en-GB"/>
        </w:rPr>
      </w:pPr>
      <w:r>
        <w:rPr>
          <w:rFonts w:asciiTheme="majorBidi" w:hAnsiTheme="majorBidi" w:cstheme="majorBidi"/>
          <w:b/>
          <w:bCs/>
          <w:i/>
          <w:iCs/>
          <w:sz w:val="24"/>
          <w:szCs w:val="24"/>
          <w:highlight w:val="lightGray"/>
          <w:lang w:val="en-GB"/>
        </w:rPr>
        <w:br w:type="page"/>
      </w:r>
    </w:p>
    <w:p w14:paraId="3489F116" w14:textId="09AAA16B" w:rsidR="00E25ED4" w:rsidRPr="0012079C" w:rsidRDefault="00CF2992" w:rsidP="0012079C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Theme="majorBidi" w:hAnsiTheme="majorBidi" w:cstheme="majorBidi"/>
          <w:b/>
          <w:bCs/>
          <w:i/>
          <w:iCs/>
          <w:sz w:val="24"/>
          <w:szCs w:val="24"/>
          <w:lang w:val="en-GB"/>
        </w:rPr>
      </w:pPr>
      <w:r w:rsidRPr="0012079C">
        <w:rPr>
          <w:rFonts w:asciiTheme="majorBidi" w:hAnsiTheme="majorBidi" w:cstheme="majorBidi"/>
          <w:b/>
          <w:bCs/>
          <w:i/>
          <w:iCs/>
          <w:sz w:val="24"/>
          <w:szCs w:val="24"/>
          <w:lang w:val="en-GB"/>
        </w:rPr>
        <w:lastRenderedPageBreak/>
        <w:t xml:space="preserve">Regression </w:t>
      </w:r>
      <w:r w:rsidR="005A2479" w:rsidRPr="0012079C">
        <w:rPr>
          <w:rFonts w:asciiTheme="majorBidi" w:hAnsiTheme="majorBidi" w:cstheme="majorBidi"/>
          <w:b/>
          <w:bCs/>
          <w:i/>
          <w:iCs/>
          <w:sz w:val="24"/>
          <w:szCs w:val="24"/>
          <w:lang w:val="en-GB"/>
        </w:rPr>
        <w:t>model</w:t>
      </w:r>
      <w:r w:rsidR="000E7471" w:rsidRPr="0012079C">
        <w:rPr>
          <w:rFonts w:asciiTheme="majorBidi" w:hAnsiTheme="majorBidi" w:cstheme="majorBidi"/>
          <w:b/>
          <w:bCs/>
          <w:i/>
          <w:iCs/>
          <w:sz w:val="24"/>
          <w:szCs w:val="24"/>
          <w:lang w:val="en-GB"/>
        </w:rPr>
        <w:t>s</w:t>
      </w:r>
      <w:r w:rsidR="005A2479" w:rsidRPr="0012079C">
        <w:rPr>
          <w:rFonts w:asciiTheme="majorBidi" w:hAnsiTheme="majorBidi" w:cstheme="majorBidi"/>
          <w:b/>
          <w:bCs/>
          <w:i/>
          <w:iCs/>
          <w:sz w:val="24"/>
          <w:szCs w:val="24"/>
          <w:lang w:val="en-GB"/>
        </w:rPr>
        <w:t xml:space="preserve"> validation </w:t>
      </w:r>
    </w:p>
    <w:p w14:paraId="3B513A26" w14:textId="1407118C" w:rsidR="00E013B7" w:rsidRDefault="00201D3F" w:rsidP="00201D3F">
      <w:pPr>
        <w:spacing w:line="360" w:lineRule="auto"/>
        <w:jc w:val="both"/>
        <w:rPr>
          <w:rFonts w:asciiTheme="majorBidi" w:hAnsiTheme="majorBidi" w:cstheme="majorBidi"/>
          <w:sz w:val="24"/>
          <w:szCs w:val="24"/>
          <w:lang w:val="en-GB"/>
        </w:rPr>
      </w:pPr>
      <w:r>
        <w:rPr>
          <w:rFonts w:asciiTheme="majorBidi" w:hAnsiTheme="majorBidi" w:cstheme="majorBidi"/>
          <w:sz w:val="24"/>
          <w:szCs w:val="24"/>
          <w:lang w:val="en-GB"/>
        </w:rPr>
        <w:t xml:space="preserve">This supplementary document provides the data set of the variables used to derive the regression models in this study, and the outcome of each model. </w:t>
      </w:r>
      <w:r w:rsidR="00E013B7" w:rsidRPr="00E013B7">
        <w:rPr>
          <w:rFonts w:asciiTheme="majorBidi" w:hAnsiTheme="majorBidi" w:cstheme="majorBidi"/>
          <w:sz w:val="24"/>
          <w:szCs w:val="24"/>
          <w:lang w:val="en-GB"/>
        </w:rPr>
        <w:t>The accuracy of the regression models was assessed using the adjusted coefficient of determination (R</w:t>
      </w:r>
      <w:r w:rsidR="00E013B7" w:rsidRPr="00E013B7">
        <w:rPr>
          <w:rFonts w:asciiTheme="majorBidi" w:hAnsiTheme="majorBidi" w:cstheme="majorBidi"/>
          <w:sz w:val="24"/>
          <w:szCs w:val="24"/>
          <w:vertAlign w:val="superscript"/>
          <w:lang w:val="en-GB"/>
        </w:rPr>
        <w:t>2</w:t>
      </w:r>
      <w:r w:rsidR="00E013B7" w:rsidRPr="00E013B7">
        <w:rPr>
          <w:rFonts w:asciiTheme="majorBidi" w:hAnsiTheme="majorBidi" w:cstheme="majorBidi"/>
          <w:sz w:val="24"/>
          <w:szCs w:val="24"/>
          <w:lang w:val="en-GB"/>
        </w:rPr>
        <w:t xml:space="preserve">) (Miles 2014), </w:t>
      </w:r>
      <w:r w:rsidR="00C8505C">
        <w:rPr>
          <w:rFonts w:asciiTheme="majorBidi" w:hAnsiTheme="majorBidi" w:cstheme="majorBidi"/>
          <w:sz w:val="24"/>
          <w:szCs w:val="24"/>
          <w:lang w:val="en-GB"/>
        </w:rPr>
        <w:t>r</w:t>
      </w:r>
      <w:r w:rsidR="00C8505C" w:rsidRPr="00E013B7">
        <w:rPr>
          <w:rFonts w:asciiTheme="majorBidi" w:hAnsiTheme="majorBidi" w:cstheme="majorBidi"/>
          <w:sz w:val="24"/>
          <w:szCs w:val="24"/>
          <w:lang w:val="en-GB"/>
        </w:rPr>
        <w:t xml:space="preserve">oot </w:t>
      </w:r>
      <w:r w:rsidR="00E013B7" w:rsidRPr="00E013B7">
        <w:rPr>
          <w:rFonts w:asciiTheme="majorBidi" w:hAnsiTheme="majorBidi" w:cstheme="majorBidi"/>
          <w:sz w:val="24"/>
          <w:szCs w:val="24"/>
          <w:lang w:val="en-GB"/>
        </w:rPr>
        <w:t xml:space="preserve">mean squared error (RMSE), </w:t>
      </w:r>
      <w:r w:rsidR="00C8505C">
        <w:rPr>
          <w:rFonts w:asciiTheme="majorBidi" w:hAnsiTheme="majorBidi" w:cstheme="majorBidi"/>
          <w:sz w:val="24"/>
          <w:szCs w:val="24"/>
          <w:lang w:val="en-GB"/>
        </w:rPr>
        <w:t>m</w:t>
      </w:r>
      <w:r w:rsidR="00C8505C" w:rsidRPr="00E013B7">
        <w:rPr>
          <w:rFonts w:asciiTheme="majorBidi" w:hAnsiTheme="majorBidi" w:cstheme="majorBidi"/>
          <w:sz w:val="24"/>
          <w:szCs w:val="24"/>
          <w:lang w:val="en-GB"/>
        </w:rPr>
        <w:t xml:space="preserve">ean </w:t>
      </w:r>
      <w:r w:rsidR="00E013B7" w:rsidRPr="00E013B7">
        <w:rPr>
          <w:rFonts w:asciiTheme="majorBidi" w:hAnsiTheme="majorBidi" w:cstheme="majorBidi"/>
          <w:sz w:val="24"/>
          <w:szCs w:val="24"/>
          <w:lang w:val="en-GB"/>
        </w:rPr>
        <w:t xml:space="preserve">absolute error (MAE), and </w:t>
      </w:r>
      <w:r w:rsidR="00C8505C" w:rsidRPr="00E013B7">
        <w:rPr>
          <w:rFonts w:asciiTheme="majorBidi" w:hAnsiTheme="majorBidi" w:cstheme="majorBidi"/>
          <w:sz w:val="24"/>
          <w:szCs w:val="24"/>
          <w:lang w:val="en-GB"/>
        </w:rPr>
        <w:t>mean</w:t>
      </w:r>
      <w:r w:rsidR="00E013B7" w:rsidRPr="00E013B7">
        <w:rPr>
          <w:rFonts w:asciiTheme="majorBidi" w:hAnsiTheme="majorBidi" w:cstheme="majorBidi"/>
          <w:sz w:val="24"/>
          <w:szCs w:val="24"/>
          <w:lang w:val="en-GB"/>
        </w:rPr>
        <w:t xml:space="preserve"> absolute percentage error (MAPE) metrics </w:t>
      </w:r>
      <w:r w:rsidR="00E013B7" w:rsidRPr="00E013B7">
        <w:rPr>
          <w:rFonts w:asciiTheme="majorBidi" w:eastAsiaTheme="minorEastAsia" w:hAnsiTheme="majorBidi" w:cstheme="majorBidi"/>
          <w:color w:val="000000"/>
          <w:sz w:val="24"/>
          <w:szCs w:val="24"/>
          <w:shd w:val="clear" w:color="auto" w:fill="FFFFFF"/>
        </w:rPr>
        <w:t>(Ostertagova and Ostertag 2012)</w:t>
      </w:r>
      <w:r w:rsidR="00E013B7" w:rsidRPr="00E013B7">
        <w:rPr>
          <w:rFonts w:asciiTheme="majorBidi" w:hAnsiTheme="majorBidi" w:cstheme="majorBidi"/>
          <w:sz w:val="24"/>
          <w:szCs w:val="24"/>
          <w:lang w:val="en-GB"/>
        </w:rPr>
        <w:t xml:space="preserve">, </w:t>
      </w:r>
      <w:r w:rsidR="00C8505C">
        <w:rPr>
          <w:rFonts w:asciiTheme="majorBidi" w:hAnsiTheme="majorBidi" w:cstheme="majorBidi"/>
          <w:sz w:val="24"/>
          <w:szCs w:val="24"/>
          <w:lang w:val="en-GB"/>
        </w:rPr>
        <w:t>e</w:t>
      </w:r>
      <w:r w:rsidR="00C8505C" w:rsidRPr="00E013B7">
        <w:rPr>
          <w:rFonts w:asciiTheme="majorBidi" w:hAnsiTheme="majorBidi" w:cstheme="majorBidi"/>
          <w:sz w:val="24"/>
          <w:szCs w:val="24"/>
          <w:lang w:val="en-GB"/>
        </w:rPr>
        <w:t xml:space="preserve">xpressed </w:t>
      </w:r>
      <w:r w:rsidR="00E013B7" w:rsidRPr="00E013B7">
        <w:rPr>
          <w:rFonts w:asciiTheme="majorBidi" w:hAnsiTheme="majorBidi" w:cstheme="majorBidi"/>
          <w:sz w:val="24"/>
          <w:szCs w:val="24"/>
          <w:lang w:val="en-GB"/>
        </w:rPr>
        <w:t xml:space="preserve">by the following </w:t>
      </w:r>
      <w:r w:rsidR="00F03A6E" w:rsidRPr="00E013B7">
        <w:rPr>
          <w:rFonts w:asciiTheme="majorBidi" w:hAnsiTheme="majorBidi" w:cstheme="majorBidi"/>
          <w:sz w:val="24"/>
          <w:szCs w:val="24"/>
          <w:lang w:val="en-GB"/>
        </w:rPr>
        <w:t>equation</w:t>
      </w:r>
      <w:r w:rsidR="00F03A6E">
        <w:rPr>
          <w:rFonts w:asciiTheme="majorBidi" w:hAnsiTheme="majorBidi" w:cstheme="majorBidi"/>
          <w:sz w:val="24"/>
          <w:szCs w:val="24"/>
          <w:lang w:val="en-GB"/>
        </w:rPr>
        <w:t>s</w:t>
      </w:r>
      <w:r w:rsidR="00E013B7" w:rsidRPr="00E013B7">
        <w:rPr>
          <w:rFonts w:asciiTheme="majorBidi" w:hAnsiTheme="majorBidi" w:cstheme="majorBidi"/>
          <w:sz w:val="24"/>
          <w:szCs w:val="24"/>
          <w:lang w:val="en-GB"/>
        </w:rPr>
        <w:t>:</w:t>
      </w:r>
      <w:r w:rsidR="00E013B7">
        <w:rPr>
          <w:rFonts w:asciiTheme="majorBidi" w:hAnsiTheme="majorBidi" w:cstheme="majorBidi"/>
          <w:sz w:val="24"/>
          <w:szCs w:val="24"/>
          <w:lang w:val="en-GB"/>
        </w:rPr>
        <w:t xml:space="preserve">  </w:t>
      </w:r>
    </w:p>
    <w:p w14:paraId="6DAC8D57" w14:textId="77777777" w:rsidR="00E013B7" w:rsidRDefault="00000000" w:rsidP="00E013B7">
      <w:pPr>
        <w:pStyle w:val="NoSpacing"/>
        <w:rPr>
          <w:rFonts w:ascii="Times" w:eastAsiaTheme="minorEastAsia" w:hAnsi="Times"/>
          <w:shd w:val="clear" w:color="auto" w:fill="FFFFFF"/>
        </w:rPr>
      </w:pPr>
      <m:oMathPara>
        <m:oMath>
          <m:sSup>
            <m:sSupPr>
              <m:ctrlPr>
                <w:rPr>
                  <w:rFonts w:ascii="Cambria Math" w:eastAsiaTheme="minorEastAsia" w:hAnsi="Cambria Math"/>
                  <w:i/>
                  <w:shd w:val="clear" w:color="auto" w:fill="FFFFFF"/>
                </w:rPr>
              </m:ctrlPr>
            </m:sSupPr>
            <m:e>
              <m:r>
                <w:rPr>
                  <w:rFonts w:ascii="Cambria Math" w:eastAsiaTheme="minorEastAsia" w:hAnsi="Cambria Math"/>
                  <w:shd w:val="clear" w:color="auto" w:fill="FFFFFF"/>
                </w:rPr>
                <m:t>Adjusted R</m:t>
              </m:r>
            </m:e>
            <m:sup>
              <m:r>
                <w:rPr>
                  <w:rFonts w:ascii="Cambria Math" w:eastAsiaTheme="minorEastAsia" w:hAnsi="Cambria Math"/>
                  <w:shd w:val="clear" w:color="auto" w:fill="FFFFFF"/>
                </w:rPr>
                <m:t>2</m:t>
              </m:r>
            </m:sup>
          </m:sSup>
          <m:r>
            <w:rPr>
              <w:rFonts w:ascii="Cambria Math" w:eastAsiaTheme="minorEastAsia" w:hAnsi="Cambria Math"/>
              <w:shd w:val="clear" w:color="auto" w:fill="FFFFFF"/>
            </w:rPr>
            <m:t>=1-1</m:t>
          </m:r>
          <m:d>
            <m:dPr>
              <m:ctrlPr>
                <w:rPr>
                  <w:rFonts w:ascii="Cambria Math" w:eastAsiaTheme="minorEastAsia" w:hAnsi="Cambria Math"/>
                  <w:i/>
                  <w:shd w:val="clear" w:color="auto" w:fill="FFFFFF"/>
                </w:rPr>
              </m:ctrlPr>
            </m:dPr>
            <m:e>
              <m:r>
                <w:rPr>
                  <w:rFonts w:ascii="Cambria Math" w:eastAsiaTheme="minorEastAsia" w:hAnsi="Cambria Math"/>
                  <w:shd w:val="clear" w:color="auto" w:fill="FFFFFF"/>
                </w:rPr>
                <m:t>1-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shd w:val="clear" w:color="auto" w:fill="FFFFFF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hd w:val="clear" w:color="auto" w:fill="FFFFFF"/>
                    </w:rPr>
                    <m:t>R</m:t>
                  </m:r>
                </m:e>
                <m:sup>
                  <m:r>
                    <w:rPr>
                      <w:rFonts w:ascii="Cambria Math" w:eastAsiaTheme="minorEastAsia" w:hAnsi="Cambria Math"/>
                      <w:shd w:val="clear" w:color="auto" w:fill="FFFFFF"/>
                    </w:rPr>
                    <m:t>2</m:t>
                  </m:r>
                </m:sup>
              </m:sSup>
            </m:e>
          </m:d>
          <m:f>
            <m:fPr>
              <m:ctrlPr>
                <w:rPr>
                  <w:rFonts w:ascii="Cambria Math" w:eastAsiaTheme="minorEastAsia" w:hAnsi="Cambria Math"/>
                  <w:i/>
                  <w:shd w:val="clear" w:color="auto" w:fill="FFFFFF"/>
                </w:rPr>
              </m:ctrlPr>
            </m:fPr>
            <m:num>
              <m:r>
                <w:rPr>
                  <w:rFonts w:ascii="Cambria Math" w:eastAsiaTheme="minorEastAsia" w:hAnsi="Cambria Math"/>
                  <w:shd w:val="clear" w:color="auto" w:fill="FFFFFF"/>
                </w:rPr>
                <m:t>N-1</m:t>
              </m:r>
            </m:num>
            <m:den>
              <m:r>
                <w:rPr>
                  <w:rFonts w:ascii="Cambria Math" w:eastAsiaTheme="minorEastAsia" w:hAnsi="Cambria Math"/>
                  <w:shd w:val="clear" w:color="auto" w:fill="FFFFFF"/>
                </w:rPr>
                <m:t>N-k-1</m:t>
              </m:r>
            </m:den>
          </m:f>
        </m:oMath>
      </m:oMathPara>
    </w:p>
    <w:p w14:paraId="4AE16FF7" w14:textId="77777777" w:rsidR="00E013B7" w:rsidRPr="00E013B7" w:rsidRDefault="00E013B7" w:rsidP="00E013B7">
      <w:pPr>
        <w:pStyle w:val="NoSpacing"/>
        <w:rPr>
          <w:rFonts w:asciiTheme="majorBidi" w:eastAsiaTheme="minorEastAsia" w:hAnsiTheme="majorBidi" w:cstheme="majorBidi"/>
          <w:sz w:val="24"/>
          <w:szCs w:val="24"/>
          <w:shd w:val="clear" w:color="auto" w:fill="FFFFFF"/>
        </w:rPr>
      </w:pPr>
    </w:p>
    <w:p w14:paraId="3630A8CF" w14:textId="195E5AFD" w:rsidR="00E013B7" w:rsidRPr="00ED4822" w:rsidRDefault="00E013B7" w:rsidP="00E013B7">
      <w:pPr>
        <w:pStyle w:val="NoSpacing"/>
        <w:spacing w:line="480" w:lineRule="auto"/>
        <w:rPr>
          <w:rFonts w:ascii="Times" w:eastAsiaTheme="minorEastAsia" w:hAnsi="Times"/>
          <w:shd w:val="clear" w:color="auto" w:fill="FFFFFF"/>
        </w:rPr>
      </w:pPr>
      <m:oMathPara>
        <m:oMath>
          <m:r>
            <w:rPr>
              <w:rFonts w:ascii="Cambria Math" w:hAnsi="Cambria Math"/>
              <w:shd w:val="clear" w:color="auto" w:fill="FFFFFF"/>
            </w:rPr>
            <m:t>RMSE</m:t>
          </m:r>
          <m:r>
            <m:rPr>
              <m:sty m:val="p"/>
            </m:rPr>
            <w:rPr>
              <w:rFonts w:ascii="Cambria Math" w:hAnsi="Cambria Math"/>
              <w:shd w:val="clear" w:color="auto" w:fill="FFFFFF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shd w:val="clear" w:color="auto" w:fill="FFFFFF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  <w:shd w:val="clear" w:color="auto" w:fill="FFFFFF"/>
                    </w:rPr>
                  </m:ctrlPr>
                </m:fPr>
                <m:num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i/>
                          <w:shd w:val="clear" w:color="auto" w:fill="FFFFFF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hd w:val="clear" w:color="auto" w:fill="FFFFFF"/>
                        </w:rPr>
                        <m:t>i=1</m:t>
                      </m:r>
                    </m:sub>
                    <m:sup>
                      <m:r>
                        <w:rPr>
                          <w:rFonts w:ascii="Cambria Math" w:hAnsi="Cambria Math"/>
                          <w:shd w:val="clear" w:color="auto" w:fill="FFFFFF"/>
                        </w:rPr>
                        <m:t>N</m:t>
                      </m:r>
                    </m:sup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hd w:val="clear" w:color="auto" w:fill="FFFFFF"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shd w:val="clear" w:color="auto" w:fill="FFFFFF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hd w:val="clear" w:color="auto" w:fill="FFFFFF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hd w:val="clear" w:color="auto" w:fill="FFFFFF"/>
                                    </w:rPr>
                                    <m:t>Obs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hd w:val="clear" w:color="auto" w:fill="FFFFFF"/>
                                    </w:rPr>
                                    <m:t>i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hd w:val="clear" w:color="auto" w:fill="FFFFFF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hd w:val="clear" w:color="auto" w:fill="FFFFFF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hd w:val="clear" w:color="auto" w:fill="FFFFFF"/>
                                    </w:rPr>
                                    <m:t>Sim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hd w:val="clear" w:color="auto" w:fill="FFFFFF"/>
                                    </w:rPr>
                                    <m:t>i</m:t>
                                  </m:r>
                                </m:sub>
                              </m:sSub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/>
                              <w:shd w:val="clear" w:color="auto" w:fill="FFFFFF"/>
                            </w:rPr>
                            <m:t>2</m:t>
                          </m:r>
                        </m:sup>
                      </m:sSup>
                    </m:e>
                  </m:nary>
                </m:num>
                <m:den>
                  <m:r>
                    <w:rPr>
                      <w:rFonts w:ascii="Cambria Math" w:hAnsi="Cambria Math"/>
                      <w:shd w:val="clear" w:color="auto" w:fill="FFFFFF"/>
                    </w:rPr>
                    <m:t>N</m:t>
                  </m:r>
                </m:den>
              </m:f>
            </m:e>
          </m:rad>
        </m:oMath>
      </m:oMathPara>
    </w:p>
    <w:p w14:paraId="03C8E159" w14:textId="62782A57" w:rsidR="00E013B7" w:rsidRPr="00ED4822" w:rsidRDefault="00E013B7" w:rsidP="00E013B7">
      <w:pPr>
        <w:pStyle w:val="NoSpacing"/>
        <w:spacing w:line="480" w:lineRule="auto"/>
        <w:rPr>
          <w:rFonts w:ascii="Times" w:eastAsiaTheme="minorEastAsia" w:hAnsi="Times"/>
          <w:shd w:val="clear" w:color="auto" w:fill="FFFFFF"/>
        </w:rPr>
      </w:pPr>
      <m:oMathPara>
        <m:oMath>
          <m:r>
            <w:rPr>
              <w:rFonts w:ascii="Cambria Math" w:hAnsi="Cambria Math"/>
              <w:shd w:val="clear" w:color="auto" w:fill="FFFFFF"/>
            </w:rPr>
            <m:t>MAE</m:t>
          </m:r>
          <m:r>
            <m:rPr>
              <m:sty m:val="p"/>
            </m:rPr>
            <w:rPr>
              <w:rFonts w:ascii="Cambria Math" w:hAnsi="Cambria Math"/>
              <w:shd w:val="clear" w:color="auto" w:fill="FFFFFF"/>
            </w:rPr>
            <m:t>=</m:t>
          </m:r>
          <m:f>
            <m:fPr>
              <m:ctrlPr>
                <w:rPr>
                  <w:rFonts w:ascii="Cambria Math" w:hAnsi="Cambria Math"/>
                  <w:shd w:val="clear" w:color="auto" w:fill="FFFFFF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hd w:val="clear" w:color="auto" w:fill="FFFFFF"/>
                </w:rPr>
                <m:t>1</m:t>
              </m:r>
            </m:num>
            <m:den>
              <m:r>
                <w:rPr>
                  <w:rFonts w:ascii="Cambria Math" w:hAnsi="Cambria Math"/>
                  <w:shd w:val="clear" w:color="auto" w:fill="FFFFFF"/>
                </w:rPr>
                <m:t>N</m:t>
              </m:r>
            </m:den>
          </m:f>
          <m:r>
            <m:rPr>
              <m:sty m:val="p"/>
            </m:rPr>
            <w:rPr>
              <w:rFonts w:ascii="Cambria Math" w:hAnsi="Cambria Math"/>
              <w:shd w:val="clear" w:color="auto" w:fill="FFFFFF"/>
            </w:rPr>
            <m:t>×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hd w:val="clear" w:color="auto" w:fill="FFFFFF"/>
                </w:rPr>
              </m:ctrlPr>
            </m:naryPr>
            <m:sub>
              <m:r>
                <w:rPr>
                  <w:rFonts w:ascii="Cambria Math" w:hAnsi="Cambria Math"/>
                  <w:shd w:val="clear" w:color="auto" w:fill="FFFFFF"/>
                </w:rPr>
                <m:t>i</m:t>
              </m:r>
              <m:r>
                <m:rPr>
                  <m:sty m:val="p"/>
                </m:rPr>
                <w:rPr>
                  <w:rFonts w:ascii="Cambria Math" w:hAnsi="Cambria Math"/>
                  <w:shd w:val="clear" w:color="auto" w:fill="FFFFFF"/>
                </w:rPr>
                <m:t>=1</m:t>
              </m:r>
            </m:sub>
            <m:sup>
              <m:r>
                <w:rPr>
                  <w:rFonts w:ascii="Cambria Math" w:hAnsi="Cambria Math"/>
                  <w:shd w:val="clear" w:color="auto" w:fill="FFFFFF"/>
                </w:rPr>
                <m:t>N</m:t>
              </m:r>
            </m:sup>
            <m:e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shd w:val="clear" w:color="auto" w:fill="FFFFFF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shd w:val="clear" w:color="auto" w:fill="FFFFFF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hd w:val="clear" w:color="auto" w:fill="FFFFFF"/>
                        </w:rPr>
                        <m:t>Obs</m:t>
                      </m:r>
                    </m:e>
                    <m:sub>
                      <m:r>
                        <w:rPr>
                          <w:rFonts w:ascii="Cambria Math" w:hAnsi="Cambria Math"/>
                          <w:shd w:val="clear" w:color="auto" w:fill="FFFFFF"/>
                        </w:rPr>
                        <m:t>i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/>
                      <w:shd w:val="clear" w:color="auto" w:fill="FFFFFF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shd w:val="clear" w:color="auto" w:fill="FFFFFF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hd w:val="clear" w:color="auto" w:fill="FFFFFF"/>
                        </w:rPr>
                        <m:t>Sim</m:t>
                      </m:r>
                    </m:e>
                    <m:sub>
                      <m:r>
                        <w:rPr>
                          <w:rFonts w:ascii="Cambria Math" w:hAnsi="Cambria Math"/>
                          <w:shd w:val="clear" w:color="auto" w:fill="FFFFFF"/>
                        </w:rPr>
                        <m:t>i</m:t>
                      </m:r>
                    </m:sub>
                  </m:sSub>
                </m:e>
              </m:d>
            </m:e>
          </m:nary>
        </m:oMath>
      </m:oMathPara>
    </w:p>
    <w:p w14:paraId="4C79C622" w14:textId="54B91D89" w:rsidR="00E013B7" w:rsidRPr="00041B22" w:rsidRDefault="00E013B7" w:rsidP="00E013B7">
      <w:pPr>
        <w:pStyle w:val="NoSpacing"/>
        <w:rPr>
          <w:rFonts w:ascii="Times" w:eastAsiaTheme="minorEastAsia" w:hAnsi="Times"/>
          <w:shd w:val="clear" w:color="auto" w:fill="FFFFFF"/>
        </w:rPr>
      </w:pPr>
      <m:oMathPara>
        <m:oMath>
          <m:r>
            <w:rPr>
              <w:rFonts w:ascii="Cambria Math" w:hAnsi="Cambria Math"/>
              <w:shd w:val="clear" w:color="auto" w:fill="FFFFFF"/>
            </w:rPr>
            <m:t>MAPE</m:t>
          </m:r>
          <m:r>
            <m:rPr>
              <m:sty m:val="p"/>
            </m:rPr>
            <w:rPr>
              <w:rFonts w:ascii="Cambria Math" w:hAnsi="Cambria Math"/>
              <w:shd w:val="clear" w:color="auto" w:fill="FFFFFF"/>
            </w:rPr>
            <m:t>=100×</m:t>
          </m:r>
          <m:f>
            <m:fPr>
              <m:ctrlPr>
                <w:rPr>
                  <w:rFonts w:ascii="Cambria Math" w:hAnsi="Cambria Math"/>
                  <w:shd w:val="clear" w:color="auto" w:fill="FFFFFF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hd w:val="clear" w:color="auto" w:fill="FFFFFF"/>
                </w:rPr>
                <m:t>1</m:t>
              </m:r>
            </m:num>
            <m:den>
              <m:r>
                <w:rPr>
                  <w:rFonts w:ascii="Cambria Math" w:hAnsi="Cambria Math"/>
                  <w:shd w:val="clear" w:color="auto" w:fill="FFFFFF"/>
                </w:rPr>
                <m:t>N</m:t>
              </m:r>
            </m:den>
          </m:f>
          <m:r>
            <m:rPr>
              <m:sty m:val="p"/>
            </m:rPr>
            <w:rPr>
              <w:rFonts w:ascii="Cambria Math" w:hAnsi="Cambria Math"/>
              <w:shd w:val="clear" w:color="auto" w:fill="FFFFFF"/>
            </w:rPr>
            <m:t>×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hd w:val="clear" w:color="auto" w:fill="FFFFFF"/>
                </w:rPr>
              </m:ctrlPr>
            </m:naryPr>
            <m:sub>
              <m:r>
                <w:rPr>
                  <w:rFonts w:ascii="Cambria Math" w:hAnsi="Cambria Math"/>
                  <w:shd w:val="clear" w:color="auto" w:fill="FFFFFF"/>
                </w:rPr>
                <m:t>i</m:t>
              </m:r>
              <m:r>
                <m:rPr>
                  <m:sty m:val="p"/>
                </m:rPr>
                <w:rPr>
                  <w:rFonts w:ascii="Cambria Math" w:hAnsi="Cambria Math"/>
                  <w:shd w:val="clear" w:color="auto" w:fill="FFFFFF"/>
                </w:rPr>
                <m:t>=1</m:t>
              </m:r>
            </m:sub>
            <m:sup>
              <m:r>
                <w:rPr>
                  <w:rFonts w:ascii="Cambria Math" w:hAnsi="Cambria Math"/>
                  <w:shd w:val="clear" w:color="auto" w:fill="FFFFFF"/>
                </w:rPr>
                <m:t>N</m:t>
              </m:r>
            </m:sup>
            <m:e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shd w:val="clear" w:color="auto" w:fill="FFFFFF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shd w:val="clear" w:color="auto" w:fill="FFFFFF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shd w:val="clear" w:color="auto" w:fill="FFFFFF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hd w:val="clear" w:color="auto" w:fill="FFFFFF"/>
                            </w:rPr>
                            <m:t>Obs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hd w:val="clear" w:color="auto" w:fill="FFFFFF"/>
                            </w:rPr>
                            <m:t>i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hd w:val="clear" w:color="auto" w:fill="FFFFFF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hd w:val="clear" w:color="auto" w:fill="FFFFFF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hd w:val="clear" w:color="auto" w:fill="FFFFFF"/>
                            </w:rPr>
                            <m:t>Sim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hd w:val="clear" w:color="auto" w:fill="FFFFFF"/>
                            </w:rPr>
                            <m:t>i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shd w:val="clear" w:color="auto" w:fill="FFFFFF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hd w:val="clear" w:color="auto" w:fill="FFFFFF"/>
                            </w:rPr>
                            <m:t>Obs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hd w:val="clear" w:color="auto" w:fill="FFFFFF"/>
                            </w:rPr>
                            <m:t>i</m:t>
                          </m:r>
                        </m:sub>
                      </m:sSub>
                    </m:den>
                  </m:f>
                </m:e>
              </m:d>
            </m:e>
          </m:nary>
        </m:oMath>
      </m:oMathPara>
    </w:p>
    <w:p w14:paraId="76B2E608" w14:textId="77777777" w:rsidR="00E013B7" w:rsidRPr="00041B22" w:rsidRDefault="00E013B7" w:rsidP="00E013B7">
      <w:pPr>
        <w:pStyle w:val="NoSpacing"/>
        <w:rPr>
          <w:rFonts w:ascii="Times" w:eastAsiaTheme="minorEastAsia" w:hAnsi="Times"/>
          <w:shd w:val="clear" w:color="auto" w:fill="FFFFFF"/>
        </w:rPr>
      </w:pPr>
    </w:p>
    <w:p w14:paraId="482FBF63" w14:textId="6BC5C8ED" w:rsidR="00E013B7" w:rsidRDefault="00E013B7" w:rsidP="00E013B7">
      <w:pPr>
        <w:spacing w:line="360" w:lineRule="auto"/>
        <w:jc w:val="both"/>
        <w:rPr>
          <w:rFonts w:ascii="Times" w:eastAsiaTheme="minorEastAsia" w:hAnsi="Times"/>
          <w:color w:val="000000"/>
          <w:sz w:val="24"/>
          <w:szCs w:val="24"/>
          <w:shd w:val="clear" w:color="auto" w:fill="FFFFFF"/>
        </w:rPr>
      </w:pPr>
      <w:r w:rsidRPr="001600CC">
        <w:rPr>
          <w:rFonts w:ascii="Times" w:hAnsi="Times"/>
          <w:color w:val="000000"/>
          <w:sz w:val="24"/>
          <w:szCs w:val="24"/>
          <w:shd w:val="clear" w:color="auto" w:fill="FFFFFF"/>
        </w:rPr>
        <w:t xml:space="preserve">where </w:t>
      </w:r>
      <m:oMath>
        <m:r>
          <w:rPr>
            <w:rFonts w:ascii="Cambria Math" w:hAnsi="Cambria Math"/>
            <w:color w:val="000000"/>
            <w:sz w:val="24"/>
            <w:szCs w:val="24"/>
            <w:shd w:val="clear" w:color="auto" w:fill="FFFFFF"/>
          </w:rPr>
          <m:t>Obs</m:t>
        </m:r>
      </m:oMath>
      <w:r w:rsidRPr="001600CC">
        <w:rPr>
          <w:rFonts w:ascii="Times" w:hAnsi="Times"/>
          <w:color w:val="000000"/>
          <w:sz w:val="24"/>
          <w:szCs w:val="24"/>
          <w:shd w:val="clear" w:color="auto" w:fill="FFFFFF"/>
        </w:rPr>
        <w:t xml:space="preserve"> is the observation value</w:t>
      </w:r>
      <w:r>
        <w:rPr>
          <w:rFonts w:ascii="Times" w:hAnsi="Times"/>
          <w:color w:val="000000"/>
          <w:sz w:val="24"/>
          <w:szCs w:val="24"/>
          <w:shd w:val="clear" w:color="auto" w:fill="FFFFFF"/>
        </w:rPr>
        <w:t xml:space="preserve">, </w:t>
      </w:r>
      <m:oMath>
        <m:r>
          <w:rPr>
            <w:rFonts w:ascii="Cambria Math" w:hAnsi="Cambria Math"/>
            <w:color w:val="000000"/>
            <w:sz w:val="24"/>
            <w:szCs w:val="24"/>
            <w:shd w:val="clear" w:color="auto" w:fill="FFFFFF"/>
          </w:rPr>
          <m:t>Sim</m:t>
        </m:r>
      </m:oMath>
      <w:r w:rsidRPr="001600CC">
        <w:rPr>
          <w:rFonts w:ascii="Times" w:hAnsi="Times"/>
          <w:color w:val="000000"/>
          <w:sz w:val="24"/>
          <w:szCs w:val="24"/>
          <w:shd w:val="clear" w:color="auto" w:fill="FFFFFF"/>
        </w:rPr>
        <w:t xml:space="preserve"> </w:t>
      </w:r>
      <w:r>
        <w:rPr>
          <w:rFonts w:ascii="Times" w:hAnsi="Times"/>
          <w:color w:val="000000"/>
          <w:sz w:val="24"/>
          <w:szCs w:val="24"/>
          <w:shd w:val="clear" w:color="auto" w:fill="FFFFFF"/>
        </w:rPr>
        <w:t>is the m</w:t>
      </w:r>
      <w:r w:rsidRPr="001600CC">
        <w:rPr>
          <w:rFonts w:ascii="Times" w:hAnsi="Times"/>
          <w:color w:val="000000"/>
          <w:sz w:val="24"/>
          <w:szCs w:val="24"/>
          <w:shd w:val="clear" w:color="auto" w:fill="FFFFFF"/>
        </w:rPr>
        <w:t xml:space="preserve">odel </w:t>
      </w:r>
      <w:r>
        <w:rPr>
          <w:rFonts w:ascii="Times" w:hAnsi="Times"/>
          <w:color w:val="000000"/>
          <w:sz w:val="24"/>
          <w:szCs w:val="24"/>
          <w:shd w:val="clear" w:color="auto" w:fill="FFFFFF"/>
        </w:rPr>
        <w:t>simulated</w:t>
      </w:r>
      <w:r w:rsidRPr="001600CC">
        <w:rPr>
          <w:rFonts w:ascii="Times" w:hAnsi="Times"/>
          <w:color w:val="000000"/>
          <w:sz w:val="24"/>
          <w:szCs w:val="24"/>
          <w:shd w:val="clear" w:color="auto" w:fill="FFFFFF"/>
        </w:rPr>
        <w:t xml:space="preserve"> value</w:t>
      </w:r>
      <w:r>
        <w:rPr>
          <w:rFonts w:ascii="Times" w:hAnsi="Times"/>
          <w:color w:val="000000"/>
          <w:sz w:val="24"/>
          <w:szCs w:val="24"/>
          <w:shd w:val="clear" w:color="auto" w:fill="FFFFFF"/>
        </w:rPr>
        <w:t>,</w:t>
      </w:r>
      <w:r w:rsidR="00201D3F">
        <w:rPr>
          <w:rFonts w:ascii="Times" w:hAnsi="Times"/>
          <w:color w:val="000000"/>
          <w:sz w:val="24"/>
          <w:szCs w:val="24"/>
          <w:shd w:val="clear" w:color="auto" w:fill="FFFFFF"/>
        </w:rPr>
        <w:t xml:space="preserve"> </w:t>
      </w:r>
      <m:oMath>
        <m:r>
          <w:rPr>
            <w:rFonts w:ascii="Cambria Math" w:hAnsi="Cambria Math"/>
            <w:color w:val="000000"/>
            <w:sz w:val="24"/>
            <w:szCs w:val="24"/>
            <w:shd w:val="clear" w:color="auto" w:fill="FFFFFF"/>
          </w:rPr>
          <m:t>N</m:t>
        </m:r>
      </m:oMath>
      <w:r>
        <w:rPr>
          <w:rFonts w:ascii="Times" w:eastAsiaTheme="minorEastAsia" w:hAnsi="Times"/>
          <w:color w:val="000000"/>
          <w:sz w:val="24"/>
          <w:szCs w:val="24"/>
          <w:shd w:val="clear" w:color="auto" w:fill="FFFFFF"/>
        </w:rPr>
        <w:t xml:space="preserve"> is the number of observations </w:t>
      </w:r>
      <w:r w:rsidR="00201D3F">
        <w:rPr>
          <w:rFonts w:ascii="Times" w:eastAsiaTheme="minorEastAsia" w:hAnsi="Times"/>
          <w:color w:val="000000"/>
          <w:sz w:val="24"/>
          <w:szCs w:val="24"/>
          <w:shd w:val="clear" w:color="auto" w:fill="FFFFFF"/>
        </w:rPr>
        <w:t xml:space="preserve">(sample size), and </w:t>
      </w:r>
      <w:r w:rsidR="00201D3F" w:rsidRPr="00E013B7">
        <w:rPr>
          <w:rFonts w:asciiTheme="majorBidi" w:eastAsiaTheme="minorEastAsia" w:hAnsiTheme="majorBidi" w:cstheme="majorBidi"/>
          <w:sz w:val="24"/>
          <w:szCs w:val="24"/>
          <w:shd w:val="clear" w:color="auto" w:fill="FFFFFF"/>
        </w:rPr>
        <w:t xml:space="preserve">k is the number of predictor variables in the </w:t>
      </w:r>
      <w:r w:rsidR="00C8505C" w:rsidRPr="00E013B7">
        <w:rPr>
          <w:rFonts w:asciiTheme="majorBidi" w:eastAsiaTheme="minorEastAsia" w:hAnsiTheme="majorBidi" w:cstheme="majorBidi"/>
          <w:sz w:val="24"/>
          <w:szCs w:val="24"/>
          <w:shd w:val="clear" w:color="auto" w:fill="FFFFFF"/>
        </w:rPr>
        <w:t>analysi</w:t>
      </w:r>
      <w:r w:rsidR="00C8505C">
        <w:rPr>
          <w:rFonts w:asciiTheme="majorBidi" w:eastAsiaTheme="minorEastAsia" w:hAnsiTheme="majorBidi" w:cstheme="majorBidi"/>
          <w:sz w:val="24"/>
          <w:szCs w:val="24"/>
          <w:shd w:val="clear" w:color="auto" w:fill="FFFFFF"/>
        </w:rPr>
        <w:t>s</w:t>
      </w:r>
      <w:r w:rsidR="00201D3F">
        <w:rPr>
          <w:rFonts w:asciiTheme="majorBidi" w:eastAsiaTheme="minorEastAsia" w:hAnsiTheme="majorBidi" w:cstheme="majorBidi"/>
          <w:sz w:val="24"/>
          <w:szCs w:val="24"/>
          <w:shd w:val="clear" w:color="auto" w:fill="FFFFFF"/>
        </w:rPr>
        <w:t xml:space="preserve">. </w:t>
      </w:r>
    </w:p>
    <w:p w14:paraId="7F15A0E2" w14:textId="77777777" w:rsidR="00E013B7" w:rsidRDefault="00E013B7" w:rsidP="00E013B7">
      <w:pPr>
        <w:pStyle w:val="NoSpacing"/>
        <w:rPr>
          <w:rFonts w:ascii="Times" w:eastAsiaTheme="minorEastAsia" w:hAnsi="Times"/>
          <w:shd w:val="clear" w:color="auto" w:fill="FFFFFF"/>
        </w:rPr>
      </w:pPr>
    </w:p>
    <w:p w14:paraId="74FECA9F" w14:textId="77777777" w:rsidR="00201D3F" w:rsidRPr="00041B22" w:rsidRDefault="00201D3F" w:rsidP="00041B22">
      <w:pPr>
        <w:spacing w:line="36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14:paraId="603F6CD9" w14:textId="77777777" w:rsidR="0012079C" w:rsidRDefault="0012079C">
      <w:pPr>
        <w:rPr>
          <w:rFonts w:asciiTheme="majorBidi" w:hAnsiTheme="majorBidi" w:cstheme="majorBidi"/>
          <w:b/>
          <w:bCs/>
          <w:i/>
          <w:iCs/>
          <w:sz w:val="24"/>
          <w:szCs w:val="24"/>
          <w:lang w:val="en-GB"/>
        </w:rPr>
      </w:pPr>
      <w:r>
        <w:rPr>
          <w:rFonts w:asciiTheme="majorBidi" w:hAnsiTheme="majorBidi" w:cstheme="majorBidi"/>
          <w:b/>
          <w:bCs/>
          <w:i/>
          <w:iCs/>
          <w:sz w:val="24"/>
          <w:szCs w:val="24"/>
          <w:lang w:val="en-GB"/>
        </w:rPr>
        <w:br w:type="page"/>
      </w:r>
    </w:p>
    <w:p w14:paraId="62039E4F" w14:textId="6989A302" w:rsidR="00E013B7" w:rsidRPr="00201D3F" w:rsidRDefault="00041B22" w:rsidP="0012079C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Theme="majorBidi" w:hAnsiTheme="majorBidi" w:cstheme="majorBidi"/>
          <w:b/>
          <w:bCs/>
          <w:i/>
          <w:iCs/>
          <w:sz w:val="24"/>
          <w:szCs w:val="24"/>
          <w:lang w:val="en-GB"/>
        </w:rPr>
      </w:pPr>
      <w:r w:rsidRPr="00041B22">
        <w:rPr>
          <w:rFonts w:asciiTheme="majorBidi" w:hAnsiTheme="majorBidi" w:cstheme="majorBidi"/>
          <w:b/>
          <w:bCs/>
          <w:i/>
          <w:iCs/>
          <w:sz w:val="24"/>
          <w:szCs w:val="24"/>
          <w:lang w:val="en-GB"/>
        </w:rPr>
        <w:lastRenderedPageBreak/>
        <w:t>Water demand regression models validation results</w:t>
      </w:r>
    </w:p>
    <w:p w14:paraId="162C2FA0" w14:textId="77777777" w:rsidR="00E25ED4" w:rsidRPr="005A2479" w:rsidRDefault="00E25ED4" w:rsidP="005A2479">
      <w:pPr>
        <w:pStyle w:val="NoSpacing"/>
        <w:rPr>
          <w:rFonts w:asciiTheme="majorBidi" w:hAnsiTheme="majorBidi" w:cstheme="majorBidi"/>
          <w:sz w:val="20"/>
          <w:szCs w:val="20"/>
        </w:rPr>
      </w:pPr>
    </w:p>
    <w:p w14:paraId="1B28A66A" w14:textId="77777777" w:rsidR="002C1ADB" w:rsidRDefault="002C1ADB" w:rsidP="002C1ADB">
      <w:pPr>
        <w:pStyle w:val="NoSpacing"/>
        <w:spacing w:line="480" w:lineRule="auto"/>
        <w:jc w:val="center"/>
      </w:pPr>
      <w:r>
        <w:rPr>
          <w:noProof/>
        </w:rPr>
        <w:drawing>
          <wp:inline distT="0" distB="0" distL="0" distR="0" wp14:anchorId="4131AF5C" wp14:editId="2A212B40">
            <wp:extent cx="4281170" cy="2468880"/>
            <wp:effectExtent l="0" t="0" r="508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17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4F05A" w14:textId="6E1CFF61" w:rsidR="002C1ADB" w:rsidRDefault="002C1ADB" w:rsidP="0012079C">
      <w:pPr>
        <w:pStyle w:val="NoSpacing"/>
        <w:spacing w:line="48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056303">
        <w:rPr>
          <w:rFonts w:asciiTheme="majorBidi" w:hAnsiTheme="majorBidi" w:cstheme="majorBidi"/>
          <w:b/>
          <w:bCs/>
          <w:sz w:val="24"/>
          <w:szCs w:val="24"/>
        </w:rPr>
        <w:t>Fig.</w:t>
      </w:r>
      <w:r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="00041B22">
        <w:rPr>
          <w:rFonts w:asciiTheme="majorBidi" w:hAnsiTheme="majorBidi" w:cstheme="majorBidi"/>
          <w:b/>
          <w:bCs/>
          <w:sz w:val="24"/>
          <w:szCs w:val="24"/>
        </w:rPr>
        <w:t>S</w:t>
      </w:r>
      <w:r w:rsidR="0012079C">
        <w:rPr>
          <w:rFonts w:asciiTheme="majorBidi" w:hAnsiTheme="majorBidi" w:cstheme="majorBidi"/>
          <w:b/>
          <w:bCs/>
          <w:sz w:val="24"/>
          <w:szCs w:val="24"/>
        </w:rPr>
        <w:t>2</w:t>
      </w:r>
      <w:r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Pr="00056303">
        <w:rPr>
          <w:rFonts w:asciiTheme="majorBidi" w:hAnsiTheme="majorBidi" w:cstheme="majorBidi"/>
          <w:sz w:val="24"/>
          <w:szCs w:val="24"/>
        </w:rPr>
        <w:t xml:space="preserve">Validation of </w:t>
      </w:r>
      <w:r w:rsidR="00C8505C">
        <w:rPr>
          <w:rFonts w:asciiTheme="majorBidi" w:hAnsiTheme="majorBidi" w:cstheme="majorBidi"/>
          <w:sz w:val="24"/>
          <w:szCs w:val="24"/>
        </w:rPr>
        <w:t xml:space="preserve">the </w:t>
      </w:r>
      <w:r w:rsidRPr="00056303">
        <w:rPr>
          <w:rFonts w:asciiTheme="majorBidi" w:hAnsiTheme="majorBidi" w:cstheme="majorBidi"/>
          <w:sz w:val="24"/>
          <w:szCs w:val="24"/>
        </w:rPr>
        <w:t xml:space="preserve">household </w:t>
      </w:r>
      <w:r>
        <w:rPr>
          <w:rFonts w:asciiTheme="majorBidi" w:hAnsiTheme="majorBidi" w:cstheme="majorBidi"/>
          <w:sz w:val="24"/>
          <w:szCs w:val="24"/>
        </w:rPr>
        <w:t xml:space="preserve">water </w:t>
      </w:r>
      <w:r w:rsidRPr="00056303">
        <w:rPr>
          <w:rFonts w:asciiTheme="majorBidi" w:hAnsiTheme="majorBidi" w:cstheme="majorBidi"/>
          <w:sz w:val="24"/>
          <w:szCs w:val="24"/>
        </w:rPr>
        <w:t>demand estimates</w:t>
      </w:r>
    </w:p>
    <w:p w14:paraId="640556E1" w14:textId="77777777" w:rsidR="002C1ADB" w:rsidRPr="00CF2992" w:rsidRDefault="002C1ADB" w:rsidP="002C1ADB">
      <w:pPr>
        <w:pStyle w:val="NoSpacing"/>
        <w:spacing w:line="480" w:lineRule="auto"/>
        <w:jc w:val="center"/>
        <w:rPr>
          <w:rFonts w:asciiTheme="majorBidi" w:hAnsiTheme="majorBidi" w:cstheme="majorBidi"/>
          <w:sz w:val="24"/>
          <w:szCs w:val="24"/>
        </w:rPr>
      </w:pPr>
    </w:p>
    <w:p w14:paraId="3BE2D9B2" w14:textId="77777777" w:rsidR="002C1ADB" w:rsidRDefault="002C1ADB" w:rsidP="002C1ADB">
      <w:pPr>
        <w:pStyle w:val="NoSpacing"/>
        <w:spacing w:line="480" w:lineRule="auto"/>
        <w:jc w:val="center"/>
      </w:pPr>
      <w:r>
        <w:rPr>
          <w:noProof/>
        </w:rPr>
        <w:drawing>
          <wp:inline distT="0" distB="0" distL="0" distR="0" wp14:anchorId="5584ED06" wp14:editId="6785D08D">
            <wp:extent cx="4274185" cy="24669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18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C64C72" w14:textId="23CD12CE" w:rsidR="002C1ADB" w:rsidRPr="00CF2992" w:rsidRDefault="002C1ADB" w:rsidP="0012079C">
      <w:pPr>
        <w:pStyle w:val="NoSpacing"/>
        <w:spacing w:line="48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056303">
        <w:rPr>
          <w:rFonts w:asciiTheme="majorBidi" w:hAnsiTheme="majorBidi" w:cstheme="majorBidi"/>
          <w:b/>
          <w:bCs/>
          <w:sz w:val="24"/>
          <w:szCs w:val="24"/>
        </w:rPr>
        <w:t xml:space="preserve">Fig. </w:t>
      </w:r>
      <w:r w:rsidR="00041B22">
        <w:rPr>
          <w:rFonts w:asciiTheme="majorBidi" w:hAnsiTheme="majorBidi" w:cstheme="majorBidi"/>
          <w:b/>
          <w:bCs/>
          <w:sz w:val="24"/>
          <w:szCs w:val="24"/>
        </w:rPr>
        <w:t>S</w:t>
      </w:r>
      <w:r w:rsidR="0012079C">
        <w:rPr>
          <w:rFonts w:asciiTheme="majorBidi" w:hAnsiTheme="majorBidi" w:cstheme="majorBidi"/>
          <w:b/>
          <w:bCs/>
          <w:sz w:val="24"/>
          <w:szCs w:val="24"/>
        </w:rPr>
        <w:t>3</w:t>
      </w:r>
      <w:r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Pr="00056303">
        <w:rPr>
          <w:rFonts w:asciiTheme="majorBidi" w:hAnsiTheme="majorBidi" w:cstheme="majorBidi"/>
          <w:sz w:val="24"/>
          <w:szCs w:val="24"/>
        </w:rPr>
        <w:t xml:space="preserve">Validation of </w:t>
      </w:r>
      <w:r w:rsidR="00C8505C">
        <w:rPr>
          <w:rFonts w:asciiTheme="majorBidi" w:hAnsiTheme="majorBidi" w:cstheme="majorBidi"/>
          <w:sz w:val="24"/>
          <w:szCs w:val="24"/>
        </w:rPr>
        <w:t xml:space="preserve">the </w:t>
      </w:r>
      <w:r>
        <w:rPr>
          <w:rFonts w:asciiTheme="majorBidi" w:hAnsiTheme="majorBidi" w:cstheme="majorBidi"/>
          <w:sz w:val="24"/>
          <w:szCs w:val="24"/>
        </w:rPr>
        <w:t>commercial</w:t>
      </w:r>
      <w:r w:rsidRPr="00056303">
        <w:rPr>
          <w:rFonts w:asciiTheme="majorBidi" w:hAnsiTheme="majorBidi" w:cstheme="majorBidi"/>
          <w:sz w:val="24"/>
          <w:szCs w:val="24"/>
        </w:rPr>
        <w:t xml:space="preserve"> </w:t>
      </w:r>
      <w:r>
        <w:rPr>
          <w:rFonts w:asciiTheme="majorBidi" w:hAnsiTheme="majorBidi" w:cstheme="majorBidi"/>
          <w:sz w:val="24"/>
          <w:szCs w:val="24"/>
        </w:rPr>
        <w:t xml:space="preserve">water </w:t>
      </w:r>
      <w:r w:rsidRPr="00056303">
        <w:rPr>
          <w:rFonts w:asciiTheme="majorBidi" w:hAnsiTheme="majorBidi" w:cstheme="majorBidi"/>
          <w:sz w:val="24"/>
          <w:szCs w:val="24"/>
        </w:rPr>
        <w:t>demand estimates</w:t>
      </w:r>
    </w:p>
    <w:p w14:paraId="3A6F6F88" w14:textId="77777777" w:rsidR="002C1ADB" w:rsidRDefault="002C1ADB" w:rsidP="002C1ADB">
      <w:pPr>
        <w:pStyle w:val="NoSpacing"/>
        <w:spacing w:line="480" w:lineRule="auto"/>
        <w:jc w:val="center"/>
      </w:pPr>
      <w:r>
        <w:rPr>
          <w:noProof/>
        </w:rPr>
        <w:lastRenderedPageBreak/>
        <w:drawing>
          <wp:inline distT="0" distB="0" distL="0" distR="0" wp14:anchorId="139E951B" wp14:editId="45CAE528">
            <wp:extent cx="4274820" cy="2467610"/>
            <wp:effectExtent l="0" t="0" r="0" b="889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820" cy="246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167E22" w14:textId="62BD9108" w:rsidR="002C1ADB" w:rsidRDefault="002C1ADB" w:rsidP="0012079C">
      <w:pPr>
        <w:pStyle w:val="NoSpacing"/>
        <w:spacing w:line="48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056303">
        <w:rPr>
          <w:rFonts w:asciiTheme="majorBidi" w:hAnsiTheme="majorBidi" w:cstheme="majorBidi"/>
          <w:b/>
          <w:bCs/>
          <w:sz w:val="24"/>
          <w:szCs w:val="24"/>
        </w:rPr>
        <w:t xml:space="preserve">Fig. </w:t>
      </w:r>
      <w:r w:rsidR="00041B22">
        <w:rPr>
          <w:rFonts w:asciiTheme="majorBidi" w:hAnsiTheme="majorBidi" w:cstheme="majorBidi"/>
          <w:b/>
          <w:bCs/>
          <w:sz w:val="24"/>
          <w:szCs w:val="24"/>
        </w:rPr>
        <w:t>S</w:t>
      </w:r>
      <w:r w:rsidR="0012079C">
        <w:rPr>
          <w:rFonts w:asciiTheme="majorBidi" w:hAnsiTheme="majorBidi" w:cstheme="majorBidi"/>
          <w:b/>
          <w:bCs/>
          <w:sz w:val="24"/>
          <w:szCs w:val="24"/>
        </w:rPr>
        <w:t>4</w:t>
      </w:r>
      <w:r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Pr="00056303">
        <w:rPr>
          <w:rFonts w:asciiTheme="majorBidi" w:hAnsiTheme="majorBidi" w:cstheme="majorBidi"/>
          <w:sz w:val="24"/>
          <w:szCs w:val="24"/>
        </w:rPr>
        <w:t xml:space="preserve">Validation of </w:t>
      </w:r>
      <w:r w:rsidR="00C8505C">
        <w:rPr>
          <w:rFonts w:asciiTheme="majorBidi" w:hAnsiTheme="majorBidi" w:cstheme="majorBidi"/>
          <w:sz w:val="24"/>
          <w:szCs w:val="24"/>
        </w:rPr>
        <w:t xml:space="preserve">the </w:t>
      </w:r>
      <w:r>
        <w:rPr>
          <w:rFonts w:asciiTheme="majorBidi" w:hAnsiTheme="majorBidi" w:cstheme="majorBidi"/>
          <w:sz w:val="24"/>
          <w:szCs w:val="24"/>
        </w:rPr>
        <w:t xml:space="preserve">government water </w:t>
      </w:r>
      <w:r w:rsidRPr="00056303">
        <w:rPr>
          <w:rFonts w:asciiTheme="majorBidi" w:hAnsiTheme="majorBidi" w:cstheme="majorBidi"/>
          <w:sz w:val="24"/>
          <w:szCs w:val="24"/>
        </w:rPr>
        <w:t>demand estimates</w:t>
      </w:r>
    </w:p>
    <w:p w14:paraId="59F1D45D" w14:textId="77777777" w:rsidR="002C1ADB" w:rsidRPr="00D43741" w:rsidRDefault="002C1ADB" w:rsidP="002C1ADB">
      <w:pPr>
        <w:pStyle w:val="NoSpacing"/>
        <w:spacing w:line="360" w:lineRule="auto"/>
        <w:jc w:val="center"/>
        <w:rPr>
          <w:rFonts w:asciiTheme="majorBidi" w:hAnsiTheme="majorBidi" w:cstheme="majorBidi"/>
          <w:sz w:val="24"/>
          <w:szCs w:val="24"/>
        </w:rPr>
      </w:pPr>
    </w:p>
    <w:p w14:paraId="2D6CD0D9" w14:textId="77777777" w:rsidR="002C1ADB" w:rsidRDefault="002C1ADB" w:rsidP="002C1ADB">
      <w:pPr>
        <w:pStyle w:val="NoSpacing"/>
        <w:spacing w:line="480" w:lineRule="auto"/>
        <w:jc w:val="center"/>
      </w:pPr>
      <w:r>
        <w:rPr>
          <w:noProof/>
        </w:rPr>
        <w:drawing>
          <wp:inline distT="0" distB="0" distL="0" distR="0" wp14:anchorId="13C5F9CA" wp14:editId="2D0C6E16">
            <wp:extent cx="4274820" cy="2467610"/>
            <wp:effectExtent l="0" t="0" r="0" b="889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820" cy="246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4DF3C" w14:textId="344AC85F" w:rsidR="002C1ADB" w:rsidRDefault="002C1ADB" w:rsidP="0012079C">
      <w:pPr>
        <w:pStyle w:val="NoSpacing"/>
        <w:spacing w:line="48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056303">
        <w:rPr>
          <w:rFonts w:asciiTheme="majorBidi" w:hAnsiTheme="majorBidi" w:cstheme="majorBidi"/>
          <w:b/>
          <w:bCs/>
          <w:sz w:val="24"/>
          <w:szCs w:val="24"/>
        </w:rPr>
        <w:t xml:space="preserve">Fig. </w:t>
      </w:r>
      <w:r w:rsidR="00073DAD">
        <w:rPr>
          <w:rFonts w:asciiTheme="majorBidi" w:hAnsiTheme="majorBidi" w:cstheme="majorBidi"/>
          <w:b/>
          <w:bCs/>
          <w:sz w:val="24"/>
          <w:szCs w:val="24"/>
        </w:rPr>
        <w:t>S</w:t>
      </w:r>
      <w:r w:rsidR="0012079C">
        <w:rPr>
          <w:rFonts w:asciiTheme="majorBidi" w:hAnsiTheme="majorBidi" w:cstheme="majorBidi"/>
          <w:b/>
          <w:bCs/>
          <w:sz w:val="24"/>
          <w:szCs w:val="24"/>
        </w:rPr>
        <w:t>5</w:t>
      </w:r>
      <w:r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Pr="00056303">
        <w:rPr>
          <w:rFonts w:asciiTheme="majorBidi" w:hAnsiTheme="majorBidi" w:cstheme="majorBidi"/>
          <w:sz w:val="24"/>
          <w:szCs w:val="24"/>
        </w:rPr>
        <w:t xml:space="preserve">Validation of </w:t>
      </w:r>
      <w:r w:rsidR="00C8505C">
        <w:rPr>
          <w:rFonts w:asciiTheme="majorBidi" w:hAnsiTheme="majorBidi" w:cstheme="majorBidi"/>
          <w:sz w:val="24"/>
          <w:szCs w:val="24"/>
        </w:rPr>
        <w:t xml:space="preserve">the </w:t>
      </w:r>
      <w:r>
        <w:rPr>
          <w:rFonts w:asciiTheme="majorBidi" w:hAnsiTheme="majorBidi" w:cstheme="majorBidi"/>
          <w:sz w:val="24"/>
          <w:szCs w:val="24"/>
        </w:rPr>
        <w:t xml:space="preserve">industry water </w:t>
      </w:r>
      <w:r w:rsidRPr="00056303">
        <w:rPr>
          <w:rFonts w:asciiTheme="majorBidi" w:hAnsiTheme="majorBidi" w:cstheme="majorBidi"/>
          <w:sz w:val="24"/>
          <w:szCs w:val="24"/>
        </w:rPr>
        <w:t>demand estimates</w:t>
      </w:r>
    </w:p>
    <w:p w14:paraId="6444E8CC" w14:textId="77777777" w:rsidR="002C1ADB" w:rsidRPr="00CF2992" w:rsidRDefault="002C1ADB" w:rsidP="002C1ADB">
      <w:pPr>
        <w:pStyle w:val="NoSpacing"/>
        <w:spacing w:line="360" w:lineRule="auto"/>
        <w:jc w:val="center"/>
        <w:rPr>
          <w:rFonts w:asciiTheme="majorBidi" w:hAnsiTheme="majorBidi" w:cstheme="majorBidi"/>
          <w:sz w:val="24"/>
          <w:szCs w:val="24"/>
        </w:rPr>
      </w:pPr>
    </w:p>
    <w:p w14:paraId="42A3B872" w14:textId="77777777" w:rsidR="002C1ADB" w:rsidRDefault="002C1ADB" w:rsidP="002C1ADB">
      <w:pPr>
        <w:pStyle w:val="NoSpacing"/>
        <w:spacing w:line="480" w:lineRule="auto"/>
        <w:jc w:val="center"/>
      </w:pPr>
      <w:r>
        <w:rPr>
          <w:noProof/>
        </w:rPr>
        <w:lastRenderedPageBreak/>
        <w:drawing>
          <wp:inline distT="0" distB="0" distL="0" distR="0" wp14:anchorId="50E80234" wp14:editId="6FA97847">
            <wp:extent cx="4274820" cy="2467610"/>
            <wp:effectExtent l="0" t="0" r="0" b="889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820" cy="246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7BB31" w14:textId="7421850C" w:rsidR="002C1ADB" w:rsidRDefault="002C1ADB" w:rsidP="0012079C">
      <w:pPr>
        <w:pStyle w:val="NoSpacing"/>
        <w:spacing w:line="48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056303">
        <w:rPr>
          <w:rFonts w:asciiTheme="majorBidi" w:hAnsiTheme="majorBidi" w:cstheme="majorBidi"/>
          <w:b/>
          <w:bCs/>
          <w:sz w:val="24"/>
          <w:szCs w:val="24"/>
        </w:rPr>
        <w:t xml:space="preserve">Fig. </w:t>
      </w:r>
      <w:r w:rsidR="00073DAD">
        <w:rPr>
          <w:rFonts w:asciiTheme="majorBidi" w:hAnsiTheme="majorBidi" w:cstheme="majorBidi"/>
          <w:b/>
          <w:bCs/>
          <w:sz w:val="24"/>
          <w:szCs w:val="24"/>
        </w:rPr>
        <w:t>S</w:t>
      </w:r>
      <w:r w:rsidR="0012079C">
        <w:rPr>
          <w:rFonts w:asciiTheme="majorBidi" w:hAnsiTheme="majorBidi" w:cstheme="majorBidi"/>
          <w:b/>
          <w:bCs/>
          <w:sz w:val="24"/>
          <w:szCs w:val="24"/>
        </w:rPr>
        <w:t>6</w:t>
      </w:r>
      <w:r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Pr="00056303">
        <w:rPr>
          <w:rFonts w:asciiTheme="majorBidi" w:hAnsiTheme="majorBidi" w:cstheme="majorBidi"/>
          <w:sz w:val="24"/>
          <w:szCs w:val="24"/>
        </w:rPr>
        <w:t xml:space="preserve">Validation </w:t>
      </w:r>
      <w:r>
        <w:rPr>
          <w:rFonts w:asciiTheme="majorBidi" w:hAnsiTheme="majorBidi" w:cstheme="majorBidi"/>
          <w:sz w:val="24"/>
          <w:szCs w:val="24"/>
        </w:rPr>
        <w:t xml:space="preserve">of the estimates </w:t>
      </w:r>
      <w:r w:rsidR="00C8505C">
        <w:rPr>
          <w:rFonts w:asciiTheme="majorBidi" w:hAnsiTheme="majorBidi" w:cstheme="majorBidi"/>
          <w:sz w:val="24"/>
          <w:szCs w:val="24"/>
        </w:rPr>
        <w:t>of</w:t>
      </w:r>
      <w:r>
        <w:rPr>
          <w:rFonts w:asciiTheme="majorBidi" w:hAnsiTheme="majorBidi" w:cstheme="majorBidi"/>
          <w:sz w:val="24"/>
          <w:szCs w:val="24"/>
        </w:rPr>
        <w:t xml:space="preserve"> total demand met by desalination</w:t>
      </w:r>
    </w:p>
    <w:p w14:paraId="5E050F1B" w14:textId="77777777" w:rsidR="002C1ADB" w:rsidRPr="00083656" w:rsidRDefault="002C1ADB" w:rsidP="002C1ADB">
      <w:pPr>
        <w:pStyle w:val="NoSpacing"/>
        <w:spacing w:line="480" w:lineRule="auto"/>
        <w:jc w:val="center"/>
        <w:rPr>
          <w:rFonts w:asciiTheme="majorBidi" w:hAnsiTheme="majorBidi" w:cstheme="majorBidi"/>
          <w:sz w:val="24"/>
          <w:szCs w:val="24"/>
        </w:rPr>
      </w:pPr>
    </w:p>
    <w:p w14:paraId="03216384" w14:textId="77777777" w:rsidR="002C1ADB" w:rsidRDefault="002C1ADB" w:rsidP="002C1ADB">
      <w:pPr>
        <w:pStyle w:val="NoSpacing"/>
        <w:spacing w:line="480" w:lineRule="auto"/>
        <w:jc w:val="center"/>
      </w:pPr>
      <w:r>
        <w:rPr>
          <w:noProof/>
        </w:rPr>
        <w:drawing>
          <wp:inline distT="0" distB="0" distL="0" distR="0" wp14:anchorId="53783181" wp14:editId="4510097D">
            <wp:extent cx="4274820" cy="2467610"/>
            <wp:effectExtent l="0" t="0" r="0" b="889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820" cy="246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3773A" w14:textId="4969D933" w:rsidR="002C1ADB" w:rsidRPr="001468E0" w:rsidRDefault="002C1ADB" w:rsidP="0012079C">
      <w:pPr>
        <w:pStyle w:val="NoSpacing"/>
        <w:spacing w:line="48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1468E0">
        <w:rPr>
          <w:rFonts w:asciiTheme="majorBidi" w:hAnsiTheme="majorBidi" w:cstheme="majorBidi"/>
          <w:b/>
          <w:bCs/>
          <w:sz w:val="24"/>
          <w:szCs w:val="24"/>
        </w:rPr>
        <w:t xml:space="preserve">Fig. </w:t>
      </w:r>
      <w:r w:rsidR="00073DAD">
        <w:rPr>
          <w:rFonts w:asciiTheme="majorBidi" w:hAnsiTheme="majorBidi" w:cstheme="majorBidi"/>
          <w:b/>
          <w:bCs/>
          <w:sz w:val="24"/>
          <w:szCs w:val="24"/>
        </w:rPr>
        <w:t>S</w:t>
      </w:r>
      <w:r w:rsidR="0012079C">
        <w:rPr>
          <w:rFonts w:asciiTheme="majorBidi" w:hAnsiTheme="majorBidi" w:cstheme="majorBidi"/>
          <w:b/>
          <w:bCs/>
          <w:sz w:val="24"/>
          <w:szCs w:val="24"/>
        </w:rPr>
        <w:t>7</w:t>
      </w:r>
      <w:r w:rsidRPr="001468E0">
        <w:rPr>
          <w:rFonts w:asciiTheme="majorBidi" w:hAnsiTheme="majorBidi" w:cstheme="majorBidi"/>
          <w:sz w:val="24"/>
          <w:szCs w:val="24"/>
        </w:rPr>
        <w:t xml:space="preserve"> Validation of </w:t>
      </w:r>
      <w:r w:rsidR="00C8505C">
        <w:rPr>
          <w:rFonts w:asciiTheme="majorBidi" w:hAnsiTheme="majorBidi" w:cstheme="majorBidi"/>
          <w:sz w:val="24"/>
          <w:szCs w:val="24"/>
        </w:rPr>
        <w:t xml:space="preserve">the </w:t>
      </w:r>
      <w:r w:rsidRPr="001468E0">
        <w:rPr>
          <w:rFonts w:asciiTheme="majorBidi" w:hAnsiTheme="majorBidi" w:cstheme="majorBidi"/>
          <w:sz w:val="24"/>
          <w:szCs w:val="24"/>
        </w:rPr>
        <w:t>agriculture water demand estimates</w:t>
      </w:r>
    </w:p>
    <w:p w14:paraId="49310D9E" w14:textId="79E4464E" w:rsidR="002C1ADB" w:rsidRDefault="002C1ADB">
      <w:pPr>
        <w:rPr>
          <w:rFonts w:asciiTheme="majorBidi" w:hAnsiTheme="majorBidi" w:cstheme="majorBidi"/>
        </w:rPr>
      </w:pPr>
    </w:p>
    <w:p w14:paraId="456A0B5B" w14:textId="104286FE" w:rsidR="002C1ADB" w:rsidRDefault="002C1ADB">
      <w:pPr>
        <w:rPr>
          <w:rFonts w:asciiTheme="majorBidi" w:hAnsiTheme="majorBidi" w:cstheme="majorBidi"/>
        </w:rPr>
      </w:pPr>
    </w:p>
    <w:p w14:paraId="63416516" w14:textId="5ECFDA47" w:rsidR="002C1ADB" w:rsidRDefault="002C1ADB">
      <w:pPr>
        <w:rPr>
          <w:rFonts w:asciiTheme="majorBidi" w:hAnsiTheme="majorBidi" w:cstheme="majorBidi"/>
        </w:rPr>
      </w:pPr>
    </w:p>
    <w:p w14:paraId="66F5B51A" w14:textId="7B318214" w:rsidR="002C1ADB" w:rsidRDefault="002C1ADB">
      <w:pPr>
        <w:rPr>
          <w:rFonts w:asciiTheme="majorBidi" w:hAnsiTheme="majorBidi" w:cstheme="majorBidi"/>
        </w:rPr>
      </w:pPr>
    </w:p>
    <w:p w14:paraId="35583F17" w14:textId="157918B8" w:rsidR="002C1ADB" w:rsidRDefault="002C1ADB">
      <w:pPr>
        <w:rPr>
          <w:rFonts w:asciiTheme="majorBidi" w:hAnsiTheme="majorBidi" w:cstheme="majorBidi"/>
        </w:rPr>
      </w:pPr>
    </w:p>
    <w:p w14:paraId="61B609A2" w14:textId="1F9C6DEF" w:rsidR="002C1ADB" w:rsidRDefault="002C1ADB">
      <w:pPr>
        <w:rPr>
          <w:rFonts w:asciiTheme="majorBidi" w:hAnsiTheme="majorBidi" w:cstheme="majorBidi"/>
        </w:rPr>
      </w:pPr>
    </w:p>
    <w:p w14:paraId="335F0130" w14:textId="33919CE8" w:rsidR="00041B22" w:rsidRDefault="00041B22">
      <w:pPr>
        <w:rPr>
          <w:rFonts w:asciiTheme="majorBidi" w:hAnsiTheme="majorBidi" w:cstheme="majorBidi"/>
        </w:rPr>
      </w:pPr>
    </w:p>
    <w:p w14:paraId="743D2C4C" w14:textId="4E4CAF38" w:rsidR="00073DAD" w:rsidRPr="00073DAD" w:rsidRDefault="00073DAD" w:rsidP="0012079C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Theme="majorBidi" w:hAnsiTheme="majorBidi" w:cstheme="majorBidi"/>
          <w:b/>
          <w:bCs/>
          <w:i/>
          <w:iCs/>
          <w:sz w:val="24"/>
          <w:szCs w:val="24"/>
          <w:lang w:val="en-GB"/>
        </w:rPr>
      </w:pPr>
      <w:r>
        <w:rPr>
          <w:rFonts w:asciiTheme="majorBidi" w:hAnsiTheme="majorBidi" w:cstheme="majorBidi"/>
          <w:b/>
          <w:bCs/>
          <w:i/>
          <w:iCs/>
          <w:sz w:val="24"/>
          <w:szCs w:val="24"/>
          <w:lang w:val="en-GB"/>
        </w:rPr>
        <w:lastRenderedPageBreak/>
        <w:t>Household members count</w:t>
      </w:r>
      <w:r w:rsidRPr="00073DAD">
        <w:rPr>
          <w:rFonts w:asciiTheme="majorBidi" w:hAnsiTheme="majorBidi" w:cstheme="majorBidi"/>
          <w:b/>
          <w:bCs/>
          <w:i/>
          <w:iCs/>
          <w:sz w:val="24"/>
          <w:szCs w:val="24"/>
          <w:lang w:val="en-GB"/>
        </w:rPr>
        <w:t xml:space="preserve"> regression model validation results</w:t>
      </w:r>
    </w:p>
    <w:p w14:paraId="070C9167" w14:textId="6CA0DD48" w:rsidR="001468E0" w:rsidRDefault="001468E0" w:rsidP="001468E0">
      <w:pPr>
        <w:spacing w:line="360" w:lineRule="auto"/>
        <w:jc w:val="center"/>
        <w:rPr>
          <w:rFonts w:asciiTheme="majorBidi" w:hAnsiTheme="majorBidi" w:cstheme="majorBidi"/>
          <w:b/>
          <w:bCs/>
          <w:sz w:val="24"/>
          <w:szCs w:val="24"/>
          <w:highlight w:val="yellow"/>
        </w:rPr>
      </w:pPr>
      <w:r>
        <w:rPr>
          <w:noProof/>
        </w:rPr>
        <w:drawing>
          <wp:inline distT="0" distB="0" distL="0" distR="0" wp14:anchorId="1DB234A5" wp14:editId="589A66B2">
            <wp:extent cx="4274820" cy="2467610"/>
            <wp:effectExtent l="0" t="0" r="0" b="889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820" cy="246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3219F5" w14:textId="2F4B8F65" w:rsidR="00041B22" w:rsidRDefault="001468E0" w:rsidP="0012079C">
      <w:pPr>
        <w:spacing w:line="36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1468E0">
        <w:rPr>
          <w:rFonts w:asciiTheme="majorBidi" w:hAnsiTheme="majorBidi" w:cstheme="majorBidi"/>
          <w:b/>
          <w:bCs/>
          <w:sz w:val="24"/>
          <w:szCs w:val="24"/>
        </w:rPr>
        <w:t xml:space="preserve">Fig. </w:t>
      </w:r>
      <w:r w:rsidR="00073DAD">
        <w:rPr>
          <w:rFonts w:asciiTheme="majorBidi" w:hAnsiTheme="majorBidi" w:cstheme="majorBidi"/>
          <w:b/>
          <w:bCs/>
          <w:sz w:val="24"/>
          <w:szCs w:val="24"/>
        </w:rPr>
        <w:t>S</w:t>
      </w:r>
      <w:r w:rsidR="0012079C">
        <w:rPr>
          <w:rFonts w:asciiTheme="majorBidi" w:hAnsiTheme="majorBidi" w:cstheme="majorBidi"/>
          <w:b/>
          <w:bCs/>
          <w:sz w:val="24"/>
          <w:szCs w:val="24"/>
        </w:rPr>
        <w:t>8</w:t>
      </w:r>
      <w:r w:rsidRPr="001468E0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Pr="001468E0">
        <w:rPr>
          <w:rFonts w:asciiTheme="majorBidi" w:hAnsiTheme="majorBidi" w:cstheme="majorBidi"/>
          <w:sz w:val="24"/>
          <w:szCs w:val="24"/>
        </w:rPr>
        <w:t xml:space="preserve">Validation of the estimates </w:t>
      </w:r>
      <w:r w:rsidR="00C8505C">
        <w:rPr>
          <w:rFonts w:asciiTheme="majorBidi" w:hAnsiTheme="majorBidi" w:cstheme="majorBidi"/>
          <w:sz w:val="24"/>
          <w:szCs w:val="24"/>
        </w:rPr>
        <w:t>of</w:t>
      </w:r>
      <w:r w:rsidRPr="001468E0">
        <w:rPr>
          <w:rFonts w:asciiTheme="majorBidi" w:hAnsiTheme="majorBidi" w:cstheme="majorBidi"/>
          <w:sz w:val="24"/>
          <w:szCs w:val="24"/>
        </w:rPr>
        <w:t xml:space="preserve"> number of household members</w:t>
      </w:r>
    </w:p>
    <w:p w14:paraId="3C49959D" w14:textId="77777777" w:rsidR="00F03A6E" w:rsidRPr="00F03A6E" w:rsidRDefault="00F03A6E" w:rsidP="00F03A6E">
      <w:pPr>
        <w:spacing w:line="360" w:lineRule="auto"/>
        <w:jc w:val="center"/>
        <w:rPr>
          <w:rFonts w:asciiTheme="majorBidi" w:hAnsiTheme="majorBidi" w:cstheme="majorBidi"/>
          <w:sz w:val="24"/>
          <w:szCs w:val="24"/>
        </w:rPr>
      </w:pPr>
    </w:p>
    <w:p w14:paraId="33F4726B" w14:textId="77777777" w:rsidR="0012079C" w:rsidRDefault="0012079C">
      <w:pPr>
        <w:rPr>
          <w:rFonts w:asciiTheme="majorBidi" w:hAnsiTheme="majorBidi" w:cstheme="majorBidi"/>
          <w:b/>
          <w:bCs/>
          <w:i/>
          <w:iCs/>
          <w:sz w:val="24"/>
          <w:szCs w:val="24"/>
          <w:lang w:val="en-GB"/>
        </w:rPr>
      </w:pPr>
      <w:r>
        <w:rPr>
          <w:rFonts w:asciiTheme="majorBidi" w:hAnsiTheme="majorBidi" w:cstheme="majorBidi"/>
          <w:b/>
          <w:bCs/>
          <w:i/>
          <w:iCs/>
          <w:sz w:val="24"/>
          <w:szCs w:val="24"/>
          <w:lang w:val="en-GB"/>
        </w:rPr>
        <w:br w:type="page"/>
      </w:r>
    </w:p>
    <w:p w14:paraId="37D196CD" w14:textId="7C3FBAF6" w:rsidR="00E96D5C" w:rsidRDefault="00041B22" w:rsidP="0012079C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Theme="majorBidi" w:hAnsiTheme="majorBidi" w:cstheme="majorBidi"/>
          <w:b/>
          <w:bCs/>
          <w:i/>
          <w:iCs/>
          <w:sz w:val="24"/>
          <w:szCs w:val="24"/>
          <w:lang w:val="en-GB"/>
        </w:rPr>
      </w:pPr>
      <w:r w:rsidRPr="00073DAD">
        <w:rPr>
          <w:rFonts w:asciiTheme="majorBidi" w:hAnsiTheme="majorBidi" w:cstheme="majorBidi"/>
          <w:b/>
          <w:bCs/>
          <w:i/>
          <w:iCs/>
          <w:sz w:val="24"/>
          <w:szCs w:val="24"/>
          <w:lang w:val="en-GB"/>
        </w:rPr>
        <w:lastRenderedPageBreak/>
        <w:t>Wastewater generation regression model validation results</w:t>
      </w:r>
    </w:p>
    <w:p w14:paraId="324EB64D" w14:textId="678A2567" w:rsidR="00AB6850" w:rsidRPr="00E96D5C" w:rsidRDefault="00E96D5C" w:rsidP="00E96D5C">
      <w:pPr>
        <w:spacing w:line="360" w:lineRule="auto"/>
        <w:jc w:val="center"/>
        <w:rPr>
          <w:rFonts w:asciiTheme="majorBidi" w:hAnsiTheme="majorBidi" w:cstheme="majorBidi"/>
          <w:b/>
          <w:bCs/>
          <w:sz w:val="24"/>
          <w:szCs w:val="24"/>
          <w:lang w:val="en-GB"/>
        </w:rPr>
      </w:pPr>
      <w:r>
        <w:rPr>
          <w:noProof/>
        </w:rPr>
        <w:drawing>
          <wp:inline distT="0" distB="0" distL="0" distR="0" wp14:anchorId="0BEC84FE" wp14:editId="07E09EF1">
            <wp:extent cx="4281170" cy="2468880"/>
            <wp:effectExtent l="0" t="0" r="508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17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29231F" w14:textId="36F34D94" w:rsidR="004D0144" w:rsidRDefault="00AB6850" w:rsidP="0012079C">
      <w:pPr>
        <w:pStyle w:val="NoSpacing"/>
        <w:spacing w:line="48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056303">
        <w:rPr>
          <w:rFonts w:asciiTheme="majorBidi" w:hAnsiTheme="majorBidi" w:cstheme="majorBidi"/>
          <w:b/>
          <w:bCs/>
          <w:sz w:val="24"/>
          <w:szCs w:val="24"/>
        </w:rPr>
        <w:t xml:space="preserve">Fig. </w:t>
      </w:r>
      <w:r w:rsidR="00C57604">
        <w:rPr>
          <w:rFonts w:asciiTheme="majorBidi" w:hAnsiTheme="majorBidi" w:cstheme="majorBidi"/>
          <w:b/>
          <w:bCs/>
          <w:sz w:val="24"/>
          <w:szCs w:val="24"/>
        </w:rPr>
        <w:t>S</w:t>
      </w:r>
      <w:r w:rsidR="0012079C">
        <w:rPr>
          <w:rFonts w:asciiTheme="majorBidi" w:hAnsiTheme="majorBidi" w:cstheme="majorBidi"/>
          <w:b/>
          <w:bCs/>
          <w:sz w:val="24"/>
          <w:szCs w:val="24"/>
        </w:rPr>
        <w:t>9</w:t>
      </w:r>
      <w:r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Pr="00056303">
        <w:rPr>
          <w:rFonts w:asciiTheme="majorBidi" w:hAnsiTheme="majorBidi" w:cstheme="majorBidi"/>
          <w:sz w:val="24"/>
          <w:szCs w:val="24"/>
        </w:rPr>
        <w:t xml:space="preserve">Validation </w:t>
      </w:r>
      <w:r>
        <w:rPr>
          <w:rFonts w:asciiTheme="majorBidi" w:hAnsiTheme="majorBidi" w:cstheme="majorBidi"/>
          <w:sz w:val="24"/>
          <w:szCs w:val="24"/>
        </w:rPr>
        <w:t xml:space="preserve">of the estimates </w:t>
      </w:r>
      <w:r w:rsidR="00C8505C">
        <w:rPr>
          <w:rFonts w:asciiTheme="majorBidi" w:hAnsiTheme="majorBidi" w:cstheme="majorBidi"/>
          <w:sz w:val="24"/>
          <w:szCs w:val="24"/>
        </w:rPr>
        <w:t>of</w:t>
      </w:r>
      <w:r>
        <w:rPr>
          <w:rFonts w:asciiTheme="majorBidi" w:hAnsiTheme="majorBidi" w:cstheme="majorBidi"/>
          <w:sz w:val="24"/>
          <w:szCs w:val="24"/>
        </w:rPr>
        <w:t xml:space="preserve"> generated wastewater</w:t>
      </w:r>
    </w:p>
    <w:p w14:paraId="045FAE93" w14:textId="77777777" w:rsidR="00E96D5C" w:rsidRDefault="00E96D5C" w:rsidP="00E25ED4">
      <w:pPr>
        <w:pStyle w:val="NoSpacing"/>
        <w:spacing w:line="480" w:lineRule="auto"/>
        <w:jc w:val="center"/>
        <w:rPr>
          <w:rFonts w:asciiTheme="majorBidi" w:hAnsiTheme="majorBidi" w:cstheme="majorBidi"/>
          <w:sz w:val="24"/>
          <w:szCs w:val="24"/>
        </w:rPr>
      </w:pPr>
    </w:p>
    <w:p w14:paraId="5CD30D4C" w14:textId="77777777" w:rsidR="00917C95" w:rsidRDefault="00917C95" w:rsidP="00917C95">
      <w:pPr>
        <w:jc w:val="center"/>
      </w:pPr>
      <w:r>
        <w:rPr>
          <w:noProof/>
        </w:rPr>
        <w:drawing>
          <wp:inline distT="0" distB="0" distL="0" distR="0" wp14:anchorId="746D473C" wp14:editId="1F52C58E">
            <wp:extent cx="3921760" cy="3422015"/>
            <wp:effectExtent l="0" t="0" r="2540" b="698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1760" cy="342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DE155D" w14:textId="15C62854" w:rsidR="0012079C" w:rsidRPr="0012079C" w:rsidRDefault="00917C95" w:rsidP="0012079C">
      <w:pPr>
        <w:pStyle w:val="Figurecaption"/>
        <w:spacing w:line="480" w:lineRule="auto"/>
      </w:pPr>
      <w:r>
        <w:rPr>
          <w:b/>
          <w:bCs/>
        </w:rPr>
        <w:t xml:space="preserve">Fig. </w:t>
      </w:r>
      <w:r w:rsidR="00B0012D">
        <w:rPr>
          <w:b/>
          <w:bCs/>
        </w:rPr>
        <w:t>S</w:t>
      </w:r>
      <w:r w:rsidR="0012079C">
        <w:rPr>
          <w:b/>
          <w:bCs/>
        </w:rPr>
        <w:t>10</w:t>
      </w:r>
      <w:r w:rsidRPr="00EC04D5">
        <w:t xml:space="preserve"> </w:t>
      </w:r>
      <w:r>
        <w:t>Liquid fraction</w:t>
      </w:r>
      <w:r w:rsidRPr="00EC04D5">
        <w:t xml:space="preserve"> reclaimed by </w:t>
      </w:r>
      <w:r w:rsidR="00A376CD">
        <w:t>anaerobic</w:t>
      </w:r>
      <w:r w:rsidRPr="00EC04D5">
        <w:t xml:space="preserve"> of the </w:t>
      </w:r>
      <w:r w:rsidR="00A376CD">
        <w:t>organic fraction of municipal solid waste</w:t>
      </w:r>
      <w:r w:rsidRPr="00EC04D5">
        <w:t xml:space="preserve"> at 50-70% recovery rate, for the lower 95%, median, and upper 95% population projections</w:t>
      </w:r>
      <w:r>
        <w:t>.</w:t>
      </w:r>
      <w:r w:rsidRPr="00083656">
        <w:t xml:space="preserve"> </w:t>
      </w:r>
    </w:p>
    <w:sectPr w:rsidR="0012079C" w:rsidRPr="0012079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altName w:val="Sylfaen"/>
    <w:panose1 w:val="020B0604020202020204"/>
    <w:charset w:val="00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6B77258"/>
    <w:multiLevelType w:val="hybridMultilevel"/>
    <w:tmpl w:val="5A586E3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733051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71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0528"/>
    <w:rsid w:val="00001AFA"/>
    <w:rsid w:val="00032E0C"/>
    <w:rsid w:val="0003382B"/>
    <w:rsid w:val="00041B22"/>
    <w:rsid w:val="0004236F"/>
    <w:rsid w:val="000433C3"/>
    <w:rsid w:val="00056303"/>
    <w:rsid w:val="00073DAD"/>
    <w:rsid w:val="00083656"/>
    <w:rsid w:val="000E7471"/>
    <w:rsid w:val="0012079C"/>
    <w:rsid w:val="001468E0"/>
    <w:rsid w:val="001600CC"/>
    <w:rsid w:val="00162262"/>
    <w:rsid w:val="001D7201"/>
    <w:rsid w:val="00201D3F"/>
    <w:rsid w:val="00272A82"/>
    <w:rsid w:val="002C1ADB"/>
    <w:rsid w:val="00305A5D"/>
    <w:rsid w:val="003061A5"/>
    <w:rsid w:val="00382870"/>
    <w:rsid w:val="003A78E3"/>
    <w:rsid w:val="003B1445"/>
    <w:rsid w:val="003E41B9"/>
    <w:rsid w:val="0047124F"/>
    <w:rsid w:val="004B6A55"/>
    <w:rsid w:val="004C6949"/>
    <w:rsid w:val="004D0144"/>
    <w:rsid w:val="005007DD"/>
    <w:rsid w:val="00501BC7"/>
    <w:rsid w:val="005A2479"/>
    <w:rsid w:val="005F7788"/>
    <w:rsid w:val="00634767"/>
    <w:rsid w:val="006A3400"/>
    <w:rsid w:val="006E5B23"/>
    <w:rsid w:val="006F1147"/>
    <w:rsid w:val="00712396"/>
    <w:rsid w:val="00712EC3"/>
    <w:rsid w:val="007153DD"/>
    <w:rsid w:val="00770FE3"/>
    <w:rsid w:val="00777DE9"/>
    <w:rsid w:val="00785648"/>
    <w:rsid w:val="00787D7D"/>
    <w:rsid w:val="007F78AF"/>
    <w:rsid w:val="0085409D"/>
    <w:rsid w:val="0088032E"/>
    <w:rsid w:val="00884C80"/>
    <w:rsid w:val="00895358"/>
    <w:rsid w:val="008A57FA"/>
    <w:rsid w:val="008B7269"/>
    <w:rsid w:val="008D0528"/>
    <w:rsid w:val="009035D8"/>
    <w:rsid w:val="00917C95"/>
    <w:rsid w:val="009214CB"/>
    <w:rsid w:val="00923D33"/>
    <w:rsid w:val="009F04F5"/>
    <w:rsid w:val="00A0198A"/>
    <w:rsid w:val="00A3660F"/>
    <w:rsid w:val="00A376CD"/>
    <w:rsid w:val="00A44EBA"/>
    <w:rsid w:val="00A62860"/>
    <w:rsid w:val="00A840FE"/>
    <w:rsid w:val="00A947F0"/>
    <w:rsid w:val="00AA3220"/>
    <w:rsid w:val="00AB6850"/>
    <w:rsid w:val="00B0012D"/>
    <w:rsid w:val="00B36FD4"/>
    <w:rsid w:val="00B515A8"/>
    <w:rsid w:val="00B83FDF"/>
    <w:rsid w:val="00BA3E6D"/>
    <w:rsid w:val="00BB664F"/>
    <w:rsid w:val="00BE6DFE"/>
    <w:rsid w:val="00BF0DF7"/>
    <w:rsid w:val="00BF59C9"/>
    <w:rsid w:val="00C213A2"/>
    <w:rsid w:val="00C57604"/>
    <w:rsid w:val="00C8505C"/>
    <w:rsid w:val="00CD682F"/>
    <w:rsid w:val="00CF2992"/>
    <w:rsid w:val="00CF7148"/>
    <w:rsid w:val="00D227E1"/>
    <w:rsid w:val="00D246F5"/>
    <w:rsid w:val="00D43741"/>
    <w:rsid w:val="00D5220F"/>
    <w:rsid w:val="00D7772C"/>
    <w:rsid w:val="00D80CCF"/>
    <w:rsid w:val="00DC4D40"/>
    <w:rsid w:val="00DF7418"/>
    <w:rsid w:val="00E013B7"/>
    <w:rsid w:val="00E25ED4"/>
    <w:rsid w:val="00E4776F"/>
    <w:rsid w:val="00E553D9"/>
    <w:rsid w:val="00E80D29"/>
    <w:rsid w:val="00E96D5C"/>
    <w:rsid w:val="00EA2758"/>
    <w:rsid w:val="00ED4822"/>
    <w:rsid w:val="00EE603B"/>
    <w:rsid w:val="00F03A6E"/>
    <w:rsid w:val="00F309B7"/>
    <w:rsid w:val="00FC3FD9"/>
    <w:rsid w:val="00FE0185"/>
    <w:rsid w:val="00FE32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6DCD538"/>
  <w15:chartTrackingRefBased/>
  <w15:docId w15:val="{7BA766D8-B3D3-4442-85DD-FB2A9C0B8D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ED482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CF71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272A82"/>
    <w:rPr>
      <w:color w:val="808080"/>
    </w:rPr>
  </w:style>
  <w:style w:type="paragraph" w:styleId="NoSpacing">
    <w:name w:val="No Spacing"/>
    <w:uiPriority w:val="1"/>
    <w:qFormat/>
    <w:rsid w:val="00305A5D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A947F0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A947F0"/>
    <w:rPr>
      <w:color w:val="605E5C"/>
      <w:shd w:val="clear" w:color="auto" w:fill="E1DFDD"/>
    </w:rPr>
  </w:style>
  <w:style w:type="paragraph" w:customStyle="1" w:styleId="Figurecaption">
    <w:name w:val="Figure caption"/>
    <w:basedOn w:val="Normal"/>
    <w:next w:val="Normal"/>
    <w:qFormat/>
    <w:rsid w:val="00382870"/>
    <w:pPr>
      <w:spacing w:before="240" w:after="0" w:line="36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paragraph" w:customStyle="1" w:styleId="Articletitle">
    <w:name w:val="Article title"/>
    <w:basedOn w:val="Normal"/>
    <w:next w:val="Normal"/>
    <w:qFormat/>
    <w:rsid w:val="00A3660F"/>
    <w:pPr>
      <w:spacing w:after="120" w:line="360" w:lineRule="auto"/>
    </w:pPr>
    <w:rPr>
      <w:rFonts w:ascii="Times New Roman" w:eastAsia="Times New Roman" w:hAnsi="Times New Roman" w:cs="Times New Roman"/>
      <w:b/>
      <w:sz w:val="28"/>
      <w:szCs w:val="24"/>
      <w:lang w:val="en-GB" w:eastAsia="en-GB"/>
    </w:rPr>
  </w:style>
  <w:style w:type="paragraph" w:customStyle="1" w:styleId="Authornames">
    <w:name w:val="Author names"/>
    <w:basedOn w:val="Normal"/>
    <w:next w:val="Normal"/>
    <w:qFormat/>
    <w:rsid w:val="00A3660F"/>
    <w:pPr>
      <w:spacing w:before="240" w:after="0" w:line="360" w:lineRule="auto"/>
    </w:pPr>
    <w:rPr>
      <w:rFonts w:ascii="Times New Roman" w:eastAsia="Times New Roman" w:hAnsi="Times New Roman" w:cs="Times New Roman"/>
      <w:sz w:val="28"/>
      <w:szCs w:val="24"/>
      <w:lang w:val="en-GB" w:eastAsia="en-GB"/>
    </w:rPr>
  </w:style>
  <w:style w:type="paragraph" w:customStyle="1" w:styleId="Affiliation">
    <w:name w:val="Affiliation"/>
    <w:basedOn w:val="Normal"/>
    <w:qFormat/>
    <w:rsid w:val="00A3660F"/>
    <w:pPr>
      <w:spacing w:before="240" w:after="0" w:line="360" w:lineRule="auto"/>
    </w:pPr>
    <w:rPr>
      <w:rFonts w:ascii="Times New Roman" w:eastAsia="Times New Roman" w:hAnsi="Times New Roman" w:cs="Times New Roman"/>
      <w:i/>
      <w:sz w:val="24"/>
      <w:szCs w:val="24"/>
      <w:lang w:val="en-GB" w:eastAsia="en-GB"/>
    </w:rPr>
  </w:style>
  <w:style w:type="paragraph" w:customStyle="1" w:styleId="Correspondencedetails">
    <w:name w:val="Correspondence details"/>
    <w:basedOn w:val="Normal"/>
    <w:qFormat/>
    <w:rsid w:val="00A3660F"/>
    <w:pPr>
      <w:spacing w:before="240" w:after="0" w:line="36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ED4822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customStyle="1" w:styleId="p1">
    <w:name w:val="p1"/>
    <w:basedOn w:val="Normal"/>
    <w:rsid w:val="00ED48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ewparagraph">
    <w:name w:val="New paragraph"/>
    <w:basedOn w:val="Normal"/>
    <w:qFormat/>
    <w:rsid w:val="00770FE3"/>
    <w:pPr>
      <w:spacing w:after="0" w:line="480" w:lineRule="auto"/>
      <w:ind w:firstLine="720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character" w:styleId="Strong">
    <w:name w:val="Strong"/>
    <w:basedOn w:val="DefaultParagraphFont"/>
    <w:uiPriority w:val="22"/>
    <w:qFormat/>
    <w:rsid w:val="00032E0C"/>
    <w:rPr>
      <w:b/>
      <w:bCs/>
    </w:rPr>
  </w:style>
  <w:style w:type="paragraph" w:styleId="Revision">
    <w:name w:val="Revision"/>
    <w:hidden/>
    <w:uiPriority w:val="99"/>
    <w:semiHidden/>
    <w:rsid w:val="00162262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923D3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23D3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23D3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23D3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23D33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12079C"/>
    <w:pPr>
      <w:ind w:left="720"/>
      <w:contextualSpacing/>
    </w:pPr>
  </w:style>
  <w:style w:type="paragraph" w:customStyle="1" w:styleId="Paragraph">
    <w:name w:val="Paragraph"/>
    <w:basedOn w:val="Normal"/>
    <w:next w:val="Newparagraph"/>
    <w:qFormat/>
    <w:rsid w:val="0012079C"/>
    <w:pPr>
      <w:widowControl w:val="0"/>
      <w:spacing w:before="240" w:after="0" w:line="48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866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diagramLayout" Target="diagrams/layout2.xml"/><Relationship Id="rId18" Type="http://schemas.openxmlformats.org/officeDocument/2006/relationships/image" Target="media/image2.tif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5.tiff"/><Relationship Id="rId7" Type="http://schemas.openxmlformats.org/officeDocument/2006/relationships/diagramData" Target="diagrams/data1.xml"/><Relationship Id="rId12" Type="http://schemas.openxmlformats.org/officeDocument/2006/relationships/diagramData" Target="diagrams/data2.xml"/><Relationship Id="rId17" Type="http://schemas.openxmlformats.org/officeDocument/2006/relationships/image" Target="media/image1.tiff"/><Relationship Id="rId25" Type="http://schemas.openxmlformats.org/officeDocument/2006/relationships/image" Target="media/image9.tiff"/><Relationship Id="rId2" Type="http://schemas.openxmlformats.org/officeDocument/2006/relationships/numbering" Target="numbering.xml"/><Relationship Id="rId16" Type="http://schemas.microsoft.com/office/2007/relationships/diagramDrawing" Target="diagrams/drawing2.xml"/><Relationship Id="rId20" Type="http://schemas.openxmlformats.org/officeDocument/2006/relationships/image" Target="media/image4.tiff"/><Relationship Id="rId1" Type="http://schemas.openxmlformats.org/officeDocument/2006/relationships/customXml" Target="../customXml/item1.xml"/><Relationship Id="rId6" Type="http://schemas.openxmlformats.org/officeDocument/2006/relationships/hyperlink" Target="mailto:s.ghanimeh@qu.edu.qa" TargetMode="External"/><Relationship Id="rId11" Type="http://schemas.microsoft.com/office/2007/relationships/diagramDrawing" Target="diagrams/drawing1.xml"/><Relationship Id="rId24" Type="http://schemas.openxmlformats.org/officeDocument/2006/relationships/image" Target="media/image8.tiff"/><Relationship Id="rId5" Type="http://schemas.openxmlformats.org/officeDocument/2006/relationships/webSettings" Target="webSettings.xml"/><Relationship Id="rId15" Type="http://schemas.openxmlformats.org/officeDocument/2006/relationships/diagramColors" Target="diagrams/colors2.xml"/><Relationship Id="rId23" Type="http://schemas.openxmlformats.org/officeDocument/2006/relationships/image" Target="media/image7.tiff"/><Relationship Id="rId10" Type="http://schemas.openxmlformats.org/officeDocument/2006/relationships/diagramColors" Target="diagrams/colors1.xml"/><Relationship Id="rId19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diagramQuickStyle" Target="diagrams/quickStyle1.xml"/><Relationship Id="rId14" Type="http://schemas.openxmlformats.org/officeDocument/2006/relationships/diagramQuickStyle" Target="diagrams/quickStyle2.xml"/><Relationship Id="rId22" Type="http://schemas.openxmlformats.org/officeDocument/2006/relationships/image" Target="media/image6.tiff"/><Relationship Id="rId27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D0F28D82-7D8E-40A9-B341-8510F2ABBB9B}" type="doc">
      <dgm:prSet loTypeId="urn:microsoft.com/office/officeart/2005/8/layout/arrow1" loCatId="process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05C850E0-6938-4BE4-9A25-4C9E11E9C08A}">
      <dgm:prSet phldrT="[Text]"/>
      <dgm:spPr>
        <a:solidFill>
          <a:schemeClr val="bg1">
            <a:lumMod val="75000"/>
          </a:schemeClr>
        </a:solidFill>
        <a:ln>
          <a:noFill/>
        </a:ln>
      </dgm:spPr>
      <dgm:t>
        <a:bodyPr/>
        <a:lstStyle/>
        <a:p>
          <a:r>
            <a:rPr lang="en-US" b="1"/>
            <a:t>Demand-Side Solutions</a:t>
          </a:r>
          <a:r>
            <a:rPr lang="en-US"/>
            <a:t>: </a:t>
          </a:r>
        </a:p>
        <a:p>
          <a:r>
            <a:rPr lang="en-US" i="1"/>
            <a:t>Reducing demand for desalinated water </a:t>
          </a:r>
        </a:p>
      </dgm:t>
    </dgm:pt>
    <dgm:pt modelId="{C3FCE064-FF13-44ED-877E-D18223A89EBA}" type="parTrans" cxnId="{268F1571-8241-423F-A091-5CC16CA43263}">
      <dgm:prSet/>
      <dgm:spPr/>
      <dgm:t>
        <a:bodyPr/>
        <a:lstStyle/>
        <a:p>
          <a:endParaRPr lang="en-US"/>
        </a:p>
      </dgm:t>
    </dgm:pt>
    <dgm:pt modelId="{8ADDB0D3-1861-4F8A-BACA-787B4EDE6E76}" type="sibTrans" cxnId="{268F1571-8241-423F-A091-5CC16CA43263}">
      <dgm:prSet/>
      <dgm:spPr/>
      <dgm:t>
        <a:bodyPr/>
        <a:lstStyle/>
        <a:p>
          <a:endParaRPr lang="en-US"/>
        </a:p>
      </dgm:t>
    </dgm:pt>
    <dgm:pt modelId="{B4BB8A00-4635-4DFB-B7CE-E10371C2C600}">
      <dgm:prSet phldrT="[Text]"/>
      <dgm:spPr>
        <a:solidFill>
          <a:schemeClr val="bg1">
            <a:lumMod val="75000"/>
          </a:schemeClr>
        </a:solidFill>
        <a:ln>
          <a:noFill/>
        </a:ln>
      </dgm:spPr>
      <dgm:t>
        <a:bodyPr/>
        <a:lstStyle/>
        <a:p>
          <a:r>
            <a:rPr lang="en-US" b="1"/>
            <a:t>Supply-Side Solutions</a:t>
          </a:r>
          <a:r>
            <a:rPr lang="en-US"/>
            <a:t>:</a:t>
          </a:r>
        </a:p>
        <a:p>
          <a:r>
            <a:rPr lang="en-US"/>
            <a:t>Increasing supply for irrigation</a:t>
          </a:r>
        </a:p>
      </dgm:t>
    </dgm:pt>
    <dgm:pt modelId="{A2EE22DE-58F0-4DA2-8358-14DBFAC0F385}" type="parTrans" cxnId="{8806B2ED-99E8-4155-8EC8-1951F63A4579}">
      <dgm:prSet/>
      <dgm:spPr/>
      <dgm:t>
        <a:bodyPr/>
        <a:lstStyle/>
        <a:p>
          <a:endParaRPr lang="en-US"/>
        </a:p>
      </dgm:t>
    </dgm:pt>
    <dgm:pt modelId="{0B1C0932-2507-4EAC-B52F-2093EBF9802D}" type="sibTrans" cxnId="{8806B2ED-99E8-4155-8EC8-1951F63A4579}">
      <dgm:prSet/>
      <dgm:spPr/>
      <dgm:t>
        <a:bodyPr/>
        <a:lstStyle/>
        <a:p>
          <a:endParaRPr lang="en-US"/>
        </a:p>
      </dgm:t>
    </dgm:pt>
    <dgm:pt modelId="{699E2DFC-8CB6-4E53-A98C-DC7ADBB1AD96}" type="pres">
      <dgm:prSet presAssocID="{D0F28D82-7D8E-40A9-B341-8510F2ABBB9B}" presName="cycle" presStyleCnt="0">
        <dgm:presLayoutVars>
          <dgm:dir/>
          <dgm:resizeHandles val="exact"/>
        </dgm:presLayoutVars>
      </dgm:prSet>
      <dgm:spPr/>
    </dgm:pt>
    <dgm:pt modelId="{6037C651-DF13-440C-8BBE-F904EED036E5}" type="pres">
      <dgm:prSet presAssocID="{05C850E0-6938-4BE4-9A25-4C9E11E9C08A}" presName="arrow" presStyleLbl="node1" presStyleIdx="0" presStyleCnt="2" custScaleX="99223" custScaleY="100225">
        <dgm:presLayoutVars>
          <dgm:bulletEnabled val="1"/>
        </dgm:presLayoutVars>
      </dgm:prSet>
      <dgm:spPr/>
    </dgm:pt>
    <dgm:pt modelId="{0CDDC977-5C6B-4991-A93C-68B40865B678}" type="pres">
      <dgm:prSet presAssocID="{B4BB8A00-4635-4DFB-B7CE-E10371C2C600}" presName="arrow" presStyleLbl="node1" presStyleIdx="1" presStyleCnt="2" custScaleX="99223" custScaleY="100225">
        <dgm:presLayoutVars>
          <dgm:bulletEnabled val="1"/>
        </dgm:presLayoutVars>
      </dgm:prSet>
      <dgm:spPr/>
    </dgm:pt>
  </dgm:ptLst>
  <dgm:cxnLst>
    <dgm:cxn modelId="{268F1571-8241-423F-A091-5CC16CA43263}" srcId="{D0F28D82-7D8E-40A9-B341-8510F2ABBB9B}" destId="{05C850E0-6938-4BE4-9A25-4C9E11E9C08A}" srcOrd="0" destOrd="0" parTransId="{C3FCE064-FF13-44ED-877E-D18223A89EBA}" sibTransId="{8ADDB0D3-1861-4F8A-BACA-787B4EDE6E76}"/>
    <dgm:cxn modelId="{82726974-F038-4CA3-BF8C-846710BBE34E}" type="presOf" srcId="{05C850E0-6938-4BE4-9A25-4C9E11E9C08A}" destId="{6037C651-DF13-440C-8BBE-F904EED036E5}" srcOrd="0" destOrd="0" presId="urn:microsoft.com/office/officeart/2005/8/layout/arrow1"/>
    <dgm:cxn modelId="{49592BAB-C962-4752-8F25-037A4BB9D7D0}" type="presOf" srcId="{B4BB8A00-4635-4DFB-B7CE-E10371C2C600}" destId="{0CDDC977-5C6B-4991-A93C-68B40865B678}" srcOrd="0" destOrd="0" presId="urn:microsoft.com/office/officeart/2005/8/layout/arrow1"/>
    <dgm:cxn modelId="{297008AC-827A-4670-8F75-1AE7976127AD}" type="presOf" srcId="{D0F28D82-7D8E-40A9-B341-8510F2ABBB9B}" destId="{699E2DFC-8CB6-4E53-A98C-DC7ADBB1AD96}" srcOrd="0" destOrd="0" presId="urn:microsoft.com/office/officeart/2005/8/layout/arrow1"/>
    <dgm:cxn modelId="{8806B2ED-99E8-4155-8EC8-1951F63A4579}" srcId="{D0F28D82-7D8E-40A9-B341-8510F2ABBB9B}" destId="{B4BB8A00-4635-4DFB-B7CE-E10371C2C600}" srcOrd="1" destOrd="0" parTransId="{A2EE22DE-58F0-4DA2-8358-14DBFAC0F385}" sibTransId="{0B1C0932-2507-4EAC-B52F-2093EBF9802D}"/>
    <dgm:cxn modelId="{72D231DD-BC9E-401B-B37E-08303875503B}" type="presParOf" srcId="{699E2DFC-8CB6-4E53-A98C-DC7ADBB1AD96}" destId="{6037C651-DF13-440C-8BBE-F904EED036E5}" srcOrd="0" destOrd="0" presId="urn:microsoft.com/office/officeart/2005/8/layout/arrow1"/>
    <dgm:cxn modelId="{94981BBD-CAAB-48CF-B617-7737835C7538}" type="presParOf" srcId="{699E2DFC-8CB6-4E53-A98C-DC7ADBB1AD96}" destId="{0CDDC977-5C6B-4991-A93C-68B40865B678}" srcOrd="1" destOrd="0" presId="urn:microsoft.com/office/officeart/2005/8/layout/arrow1"/>
  </dgm:cxnLst>
  <dgm:bg>
    <a:noFill/>
  </dgm:bg>
  <dgm:whole/>
  <dgm:extLst>
    <a:ext uri="http://schemas.microsoft.com/office/drawing/2008/diagram">
      <dsp:dataModelExt xmlns:dsp="http://schemas.microsoft.com/office/drawing/2008/diagram" relId="rId1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BDDAD4F4-6437-4004-824B-09CCD9081192}" type="doc">
      <dgm:prSet loTypeId="urn:microsoft.com/office/officeart/2005/8/layout/radial4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F06038DA-1D03-4190-B04A-B06732BBDA0F}">
      <dgm:prSet phldrT="[Text]" custT="1"/>
      <dgm:spPr>
        <a:solidFill>
          <a:schemeClr val="bg1">
            <a:lumMod val="65000"/>
          </a:schemeClr>
        </a:solidFill>
      </dgm:spPr>
      <dgm:t>
        <a:bodyPr/>
        <a:lstStyle/>
        <a:p>
          <a:pPr algn="ctr"/>
          <a:r>
            <a:rPr lang="en-US" sz="1000" b="1"/>
            <a:t>Combined Scenarios</a:t>
          </a:r>
          <a:endParaRPr lang="en-US" sz="1000"/>
        </a:p>
      </dgm:t>
    </dgm:pt>
    <dgm:pt modelId="{6DE76A2A-D129-41BD-90C7-759F2643BDB1}" type="parTrans" cxnId="{AED71472-4035-4EDD-A952-CF576D8C2084}">
      <dgm:prSet/>
      <dgm:spPr/>
      <dgm:t>
        <a:bodyPr/>
        <a:lstStyle/>
        <a:p>
          <a:pPr algn="ctr"/>
          <a:endParaRPr lang="en-US" sz="1000"/>
        </a:p>
      </dgm:t>
    </dgm:pt>
    <dgm:pt modelId="{966FC474-05CB-4029-B932-A1EAD7811156}" type="sibTrans" cxnId="{AED71472-4035-4EDD-A952-CF576D8C2084}">
      <dgm:prSet/>
      <dgm:spPr/>
      <dgm:t>
        <a:bodyPr/>
        <a:lstStyle/>
        <a:p>
          <a:pPr algn="ctr"/>
          <a:endParaRPr lang="en-US" sz="1000"/>
        </a:p>
      </dgm:t>
    </dgm:pt>
    <dgm:pt modelId="{5705C400-793C-4522-BE11-0D7CD46469C5}">
      <dgm:prSet phldrT="[Text]" custT="1"/>
      <dgm:spPr>
        <a:solidFill>
          <a:schemeClr val="bg1">
            <a:lumMod val="65000"/>
          </a:schemeClr>
        </a:solidFill>
      </dgm:spPr>
      <dgm:t>
        <a:bodyPr/>
        <a:lstStyle/>
        <a:p>
          <a:pPr algn="ctr"/>
          <a:r>
            <a:rPr lang="en-US" sz="1000" b="1"/>
            <a:t>Scenario 1</a:t>
          </a:r>
          <a:r>
            <a:rPr lang="en-US" sz="1000"/>
            <a:t> </a:t>
          </a:r>
          <a:r>
            <a:rPr lang="en-US" sz="1000" i="1"/>
            <a:t>Water Tariff Reform</a:t>
          </a:r>
        </a:p>
      </dgm:t>
    </dgm:pt>
    <dgm:pt modelId="{D8FE855F-F0E7-4460-801E-C6A04C0120E4}" type="parTrans" cxnId="{2EB0CEBF-6D40-4D73-AB1C-E2ECA08A92B4}">
      <dgm:prSet/>
      <dgm:spPr>
        <a:solidFill>
          <a:schemeClr val="bg1">
            <a:lumMod val="85000"/>
          </a:schemeClr>
        </a:solidFill>
      </dgm:spPr>
      <dgm:t>
        <a:bodyPr/>
        <a:lstStyle/>
        <a:p>
          <a:pPr algn="ctr"/>
          <a:endParaRPr lang="en-US" sz="1000"/>
        </a:p>
      </dgm:t>
    </dgm:pt>
    <dgm:pt modelId="{31CB5F84-48F0-40CC-8807-1819519B91B8}" type="sibTrans" cxnId="{2EB0CEBF-6D40-4D73-AB1C-E2ECA08A92B4}">
      <dgm:prSet/>
      <dgm:spPr/>
      <dgm:t>
        <a:bodyPr/>
        <a:lstStyle/>
        <a:p>
          <a:pPr algn="ctr"/>
          <a:endParaRPr lang="en-US" sz="1000"/>
        </a:p>
      </dgm:t>
    </dgm:pt>
    <dgm:pt modelId="{5030791A-B24D-4F01-AF06-FA57914CC43F}">
      <dgm:prSet phldrT="[Text]" custT="1"/>
      <dgm:spPr>
        <a:solidFill>
          <a:schemeClr val="bg1">
            <a:lumMod val="65000"/>
          </a:schemeClr>
        </a:solidFill>
      </dgm:spPr>
      <dgm:t>
        <a:bodyPr/>
        <a:lstStyle/>
        <a:p>
          <a:pPr algn="ctr"/>
          <a:r>
            <a:rPr lang="en-US" sz="1000" b="1"/>
            <a:t>Secenario 2</a:t>
          </a:r>
          <a:r>
            <a:rPr lang="en-US" sz="1000"/>
            <a:t> </a:t>
          </a:r>
          <a:r>
            <a:rPr lang="en-US" sz="1000" i="1"/>
            <a:t>Regulating Greywater Reuse</a:t>
          </a:r>
        </a:p>
      </dgm:t>
    </dgm:pt>
    <dgm:pt modelId="{76B645CB-E7C9-480A-9E42-F7022AAF99E1}" type="parTrans" cxnId="{162D6901-6D0E-4271-8AC8-924CD4CBAA3A}">
      <dgm:prSet/>
      <dgm:spPr>
        <a:solidFill>
          <a:schemeClr val="bg1">
            <a:lumMod val="85000"/>
          </a:schemeClr>
        </a:solidFill>
      </dgm:spPr>
      <dgm:t>
        <a:bodyPr/>
        <a:lstStyle/>
        <a:p>
          <a:pPr algn="ctr"/>
          <a:endParaRPr lang="en-US" sz="1000"/>
        </a:p>
      </dgm:t>
    </dgm:pt>
    <dgm:pt modelId="{264FD503-E6BE-4B9B-8CFA-B47E1481A350}" type="sibTrans" cxnId="{162D6901-6D0E-4271-8AC8-924CD4CBAA3A}">
      <dgm:prSet/>
      <dgm:spPr/>
      <dgm:t>
        <a:bodyPr/>
        <a:lstStyle/>
        <a:p>
          <a:pPr algn="ctr"/>
          <a:endParaRPr lang="en-US" sz="1000"/>
        </a:p>
      </dgm:t>
    </dgm:pt>
    <dgm:pt modelId="{89A00A00-078D-4296-BF79-E761BA7F2FF6}">
      <dgm:prSet phldrT="[Text]" custT="1"/>
      <dgm:spPr>
        <a:solidFill>
          <a:schemeClr val="bg1">
            <a:lumMod val="65000"/>
          </a:schemeClr>
        </a:solidFill>
      </dgm:spPr>
      <dgm:t>
        <a:bodyPr/>
        <a:lstStyle/>
        <a:p>
          <a:pPr algn="ctr"/>
          <a:r>
            <a:rPr lang="en-US" sz="1000" b="1"/>
            <a:t>Scenario 3</a:t>
          </a:r>
          <a:r>
            <a:rPr lang="en-US" sz="1000"/>
            <a:t> </a:t>
          </a:r>
          <a:r>
            <a:rPr lang="en-US" sz="1000" i="1"/>
            <a:t>Intensive Reuse of TSE</a:t>
          </a:r>
        </a:p>
      </dgm:t>
    </dgm:pt>
    <dgm:pt modelId="{F6ECD1F9-5737-452C-9B75-3069C9AA3D75}" type="parTrans" cxnId="{E03D6E16-C2C2-493D-9C4B-43A77EE4B943}">
      <dgm:prSet/>
      <dgm:spPr>
        <a:solidFill>
          <a:schemeClr val="bg1">
            <a:lumMod val="85000"/>
          </a:schemeClr>
        </a:solidFill>
      </dgm:spPr>
      <dgm:t>
        <a:bodyPr/>
        <a:lstStyle/>
        <a:p>
          <a:pPr algn="ctr"/>
          <a:endParaRPr lang="en-US" sz="1000"/>
        </a:p>
      </dgm:t>
    </dgm:pt>
    <dgm:pt modelId="{07482122-A146-44CB-953A-688956234684}" type="sibTrans" cxnId="{E03D6E16-C2C2-493D-9C4B-43A77EE4B943}">
      <dgm:prSet/>
      <dgm:spPr/>
      <dgm:t>
        <a:bodyPr/>
        <a:lstStyle/>
        <a:p>
          <a:pPr algn="ctr"/>
          <a:endParaRPr lang="en-US" sz="1000"/>
        </a:p>
      </dgm:t>
    </dgm:pt>
    <dgm:pt modelId="{FA4CECA4-3B99-4BA9-95CC-AD5A34232E84}">
      <dgm:prSet phldrT="[Text]" custT="1"/>
      <dgm:spPr>
        <a:solidFill>
          <a:schemeClr val="bg1">
            <a:lumMod val="65000"/>
          </a:schemeClr>
        </a:solidFill>
      </dgm:spPr>
      <dgm:t>
        <a:bodyPr/>
        <a:lstStyle/>
        <a:p>
          <a:pPr algn="ctr"/>
          <a:r>
            <a:rPr lang="en-US" sz="1000" b="1"/>
            <a:t>Scenario 4 </a:t>
          </a:r>
          <a:r>
            <a:rPr lang="en-US" sz="1000" i="1"/>
            <a:t>Water Recovery from Waste</a:t>
          </a:r>
        </a:p>
      </dgm:t>
    </dgm:pt>
    <dgm:pt modelId="{6FC0C865-97E9-4ABB-A8A0-58BED60DF7C0}" type="parTrans" cxnId="{E093C77F-F41B-4EC6-8FF9-DF17A66D1B48}">
      <dgm:prSet/>
      <dgm:spPr>
        <a:solidFill>
          <a:schemeClr val="bg1">
            <a:lumMod val="85000"/>
          </a:schemeClr>
        </a:solidFill>
      </dgm:spPr>
      <dgm:t>
        <a:bodyPr/>
        <a:lstStyle/>
        <a:p>
          <a:pPr algn="ctr"/>
          <a:endParaRPr lang="en-US" sz="1000"/>
        </a:p>
      </dgm:t>
    </dgm:pt>
    <dgm:pt modelId="{717C8DAF-5E84-4A9A-9438-0A0C5D476A51}" type="sibTrans" cxnId="{E093C77F-F41B-4EC6-8FF9-DF17A66D1B48}">
      <dgm:prSet/>
      <dgm:spPr/>
      <dgm:t>
        <a:bodyPr/>
        <a:lstStyle/>
        <a:p>
          <a:pPr algn="ctr"/>
          <a:endParaRPr lang="en-US" sz="1000"/>
        </a:p>
      </dgm:t>
    </dgm:pt>
    <dgm:pt modelId="{D45D190C-123A-42E8-B308-CA8C09089797}" type="pres">
      <dgm:prSet presAssocID="{BDDAD4F4-6437-4004-824B-09CCD9081192}" presName="cycle" presStyleCnt="0">
        <dgm:presLayoutVars>
          <dgm:chMax val="1"/>
          <dgm:dir/>
          <dgm:animLvl val="ctr"/>
          <dgm:resizeHandles val="exact"/>
        </dgm:presLayoutVars>
      </dgm:prSet>
      <dgm:spPr/>
    </dgm:pt>
    <dgm:pt modelId="{5051E143-C131-4B52-ABE2-69280069E33B}" type="pres">
      <dgm:prSet presAssocID="{F06038DA-1D03-4190-B04A-B06732BBDA0F}" presName="centerShape" presStyleLbl="node0" presStyleIdx="0" presStyleCnt="1"/>
      <dgm:spPr/>
    </dgm:pt>
    <dgm:pt modelId="{F951F1F3-F931-4C09-976B-2F13A3DDFC92}" type="pres">
      <dgm:prSet presAssocID="{D8FE855F-F0E7-4460-801E-C6A04C0120E4}" presName="parTrans" presStyleLbl="bgSibTrans2D1" presStyleIdx="0" presStyleCnt="4"/>
      <dgm:spPr/>
    </dgm:pt>
    <dgm:pt modelId="{C319787B-5191-4DC2-97EB-384FB1BE0102}" type="pres">
      <dgm:prSet presAssocID="{5705C400-793C-4522-BE11-0D7CD46469C5}" presName="node" presStyleLbl="node1" presStyleIdx="0" presStyleCnt="4">
        <dgm:presLayoutVars>
          <dgm:bulletEnabled val="1"/>
        </dgm:presLayoutVars>
      </dgm:prSet>
      <dgm:spPr/>
    </dgm:pt>
    <dgm:pt modelId="{266ED88E-CD5A-4B85-BDD1-D3CDE60CA0B4}" type="pres">
      <dgm:prSet presAssocID="{76B645CB-E7C9-480A-9E42-F7022AAF99E1}" presName="parTrans" presStyleLbl="bgSibTrans2D1" presStyleIdx="1" presStyleCnt="4"/>
      <dgm:spPr/>
    </dgm:pt>
    <dgm:pt modelId="{8AF7FBF3-C08B-4142-BD0E-E5892DA93F21}" type="pres">
      <dgm:prSet presAssocID="{5030791A-B24D-4F01-AF06-FA57914CC43F}" presName="node" presStyleLbl="node1" presStyleIdx="1" presStyleCnt="4">
        <dgm:presLayoutVars>
          <dgm:bulletEnabled val="1"/>
        </dgm:presLayoutVars>
      </dgm:prSet>
      <dgm:spPr/>
    </dgm:pt>
    <dgm:pt modelId="{897693E8-0F8C-42F9-89A5-D9FF9139F357}" type="pres">
      <dgm:prSet presAssocID="{F6ECD1F9-5737-452C-9B75-3069C9AA3D75}" presName="parTrans" presStyleLbl="bgSibTrans2D1" presStyleIdx="2" presStyleCnt="4"/>
      <dgm:spPr/>
    </dgm:pt>
    <dgm:pt modelId="{BB42EAF8-F913-485C-AAE7-0378D36C0761}" type="pres">
      <dgm:prSet presAssocID="{89A00A00-078D-4296-BF79-E761BA7F2FF6}" presName="node" presStyleLbl="node1" presStyleIdx="2" presStyleCnt="4">
        <dgm:presLayoutVars>
          <dgm:bulletEnabled val="1"/>
        </dgm:presLayoutVars>
      </dgm:prSet>
      <dgm:spPr/>
    </dgm:pt>
    <dgm:pt modelId="{2ED3997B-DA3F-4D5B-857A-EC7AA1CCFBEF}" type="pres">
      <dgm:prSet presAssocID="{6FC0C865-97E9-4ABB-A8A0-58BED60DF7C0}" presName="parTrans" presStyleLbl="bgSibTrans2D1" presStyleIdx="3" presStyleCnt="4"/>
      <dgm:spPr/>
    </dgm:pt>
    <dgm:pt modelId="{47C27C17-2D50-45C5-8AD5-AE4CA9CB19B9}" type="pres">
      <dgm:prSet presAssocID="{FA4CECA4-3B99-4BA9-95CC-AD5A34232E84}" presName="node" presStyleLbl="node1" presStyleIdx="3" presStyleCnt="4">
        <dgm:presLayoutVars>
          <dgm:bulletEnabled val="1"/>
        </dgm:presLayoutVars>
      </dgm:prSet>
      <dgm:spPr/>
    </dgm:pt>
  </dgm:ptLst>
  <dgm:cxnLst>
    <dgm:cxn modelId="{162D6901-6D0E-4271-8AC8-924CD4CBAA3A}" srcId="{F06038DA-1D03-4190-B04A-B06732BBDA0F}" destId="{5030791A-B24D-4F01-AF06-FA57914CC43F}" srcOrd="1" destOrd="0" parTransId="{76B645CB-E7C9-480A-9E42-F7022AAF99E1}" sibTransId="{264FD503-E6BE-4B9B-8CFA-B47E1481A350}"/>
    <dgm:cxn modelId="{4386620B-FDE9-4CBF-BA6B-BABB2A9C1E03}" type="presOf" srcId="{5030791A-B24D-4F01-AF06-FA57914CC43F}" destId="{8AF7FBF3-C08B-4142-BD0E-E5892DA93F21}" srcOrd="0" destOrd="0" presId="urn:microsoft.com/office/officeart/2005/8/layout/radial4"/>
    <dgm:cxn modelId="{E03D6E16-C2C2-493D-9C4B-43A77EE4B943}" srcId="{F06038DA-1D03-4190-B04A-B06732BBDA0F}" destId="{89A00A00-078D-4296-BF79-E761BA7F2FF6}" srcOrd="2" destOrd="0" parTransId="{F6ECD1F9-5737-452C-9B75-3069C9AA3D75}" sibTransId="{07482122-A146-44CB-953A-688956234684}"/>
    <dgm:cxn modelId="{BC735422-2C64-491F-8041-D00FDD5E9AB8}" type="presOf" srcId="{D8FE855F-F0E7-4460-801E-C6A04C0120E4}" destId="{F951F1F3-F931-4C09-976B-2F13A3DDFC92}" srcOrd="0" destOrd="0" presId="urn:microsoft.com/office/officeart/2005/8/layout/radial4"/>
    <dgm:cxn modelId="{F9855936-6204-4159-BAE6-D3A66EEB0049}" type="presOf" srcId="{5705C400-793C-4522-BE11-0D7CD46469C5}" destId="{C319787B-5191-4DC2-97EB-384FB1BE0102}" srcOrd="0" destOrd="0" presId="urn:microsoft.com/office/officeart/2005/8/layout/radial4"/>
    <dgm:cxn modelId="{E601CD3C-A63E-4250-9EEB-87705EC1503C}" type="presOf" srcId="{89A00A00-078D-4296-BF79-E761BA7F2FF6}" destId="{BB42EAF8-F913-485C-AAE7-0378D36C0761}" srcOrd="0" destOrd="0" presId="urn:microsoft.com/office/officeart/2005/8/layout/radial4"/>
    <dgm:cxn modelId="{D0421D67-E334-44FF-BE31-563801A499AE}" type="presOf" srcId="{FA4CECA4-3B99-4BA9-95CC-AD5A34232E84}" destId="{47C27C17-2D50-45C5-8AD5-AE4CA9CB19B9}" srcOrd="0" destOrd="0" presId="urn:microsoft.com/office/officeart/2005/8/layout/radial4"/>
    <dgm:cxn modelId="{AED71472-4035-4EDD-A952-CF576D8C2084}" srcId="{BDDAD4F4-6437-4004-824B-09CCD9081192}" destId="{F06038DA-1D03-4190-B04A-B06732BBDA0F}" srcOrd="0" destOrd="0" parTransId="{6DE76A2A-D129-41BD-90C7-759F2643BDB1}" sibTransId="{966FC474-05CB-4029-B932-A1EAD7811156}"/>
    <dgm:cxn modelId="{F91A9C7F-34A0-44EE-88EF-1658942906AF}" type="presOf" srcId="{F06038DA-1D03-4190-B04A-B06732BBDA0F}" destId="{5051E143-C131-4B52-ABE2-69280069E33B}" srcOrd="0" destOrd="0" presId="urn:microsoft.com/office/officeart/2005/8/layout/radial4"/>
    <dgm:cxn modelId="{E093C77F-F41B-4EC6-8FF9-DF17A66D1B48}" srcId="{F06038DA-1D03-4190-B04A-B06732BBDA0F}" destId="{FA4CECA4-3B99-4BA9-95CC-AD5A34232E84}" srcOrd="3" destOrd="0" parTransId="{6FC0C865-97E9-4ABB-A8A0-58BED60DF7C0}" sibTransId="{717C8DAF-5E84-4A9A-9438-0A0C5D476A51}"/>
    <dgm:cxn modelId="{9D68939F-6A7B-4D53-9C65-9654C7D709E9}" type="presOf" srcId="{6FC0C865-97E9-4ABB-A8A0-58BED60DF7C0}" destId="{2ED3997B-DA3F-4D5B-857A-EC7AA1CCFBEF}" srcOrd="0" destOrd="0" presId="urn:microsoft.com/office/officeart/2005/8/layout/radial4"/>
    <dgm:cxn modelId="{BF4599B3-1C91-4CBC-9038-CDFFBE960DC8}" type="presOf" srcId="{F6ECD1F9-5737-452C-9B75-3069C9AA3D75}" destId="{897693E8-0F8C-42F9-89A5-D9FF9139F357}" srcOrd="0" destOrd="0" presId="urn:microsoft.com/office/officeart/2005/8/layout/radial4"/>
    <dgm:cxn modelId="{854AE3B6-D46A-4603-85E0-4DF4610A3CC3}" type="presOf" srcId="{BDDAD4F4-6437-4004-824B-09CCD9081192}" destId="{D45D190C-123A-42E8-B308-CA8C09089797}" srcOrd="0" destOrd="0" presId="urn:microsoft.com/office/officeart/2005/8/layout/radial4"/>
    <dgm:cxn modelId="{2EB0CEBF-6D40-4D73-AB1C-E2ECA08A92B4}" srcId="{F06038DA-1D03-4190-B04A-B06732BBDA0F}" destId="{5705C400-793C-4522-BE11-0D7CD46469C5}" srcOrd="0" destOrd="0" parTransId="{D8FE855F-F0E7-4460-801E-C6A04C0120E4}" sibTransId="{31CB5F84-48F0-40CC-8807-1819519B91B8}"/>
    <dgm:cxn modelId="{6872D7E9-FDB2-4464-9901-7B63B1D97E5A}" type="presOf" srcId="{76B645CB-E7C9-480A-9E42-F7022AAF99E1}" destId="{266ED88E-CD5A-4B85-BDD1-D3CDE60CA0B4}" srcOrd="0" destOrd="0" presId="urn:microsoft.com/office/officeart/2005/8/layout/radial4"/>
    <dgm:cxn modelId="{82A32A72-4524-4DB2-8604-3FD67CA8B2D4}" type="presParOf" srcId="{D45D190C-123A-42E8-B308-CA8C09089797}" destId="{5051E143-C131-4B52-ABE2-69280069E33B}" srcOrd="0" destOrd="0" presId="urn:microsoft.com/office/officeart/2005/8/layout/radial4"/>
    <dgm:cxn modelId="{CE3BBDC6-9BB2-4AFF-A723-38BFBD48FFE8}" type="presParOf" srcId="{D45D190C-123A-42E8-B308-CA8C09089797}" destId="{F951F1F3-F931-4C09-976B-2F13A3DDFC92}" srcOrd="1" destOrd="0" presId="urn:microsoft.com/office/officeart/2005/8/layout/radial4"/>
    <dgm:cxn modelId="{C2F09951-FB09-4522-94E2-4396A94B3F37}" type="presParOf" srcId="{D45D190C-123A-42E8-B308-CA8C09089797}" destId="{C319787B-5191-4DC2-97EB-384FB1BE0102}" srcOrd="2" destOrd="0" presId="urn:microsoft.com/office/officeart/2005/8/layout/radial4"/>
    <dgm:cxn modelId="{45352F1C-EE33-436D-AF2B-90A632A43864}" type="presParOf" srcId="{D45D190C-123A-42E8-B308-CA8C09089797}" destId="{266ED88E-CD5A-4B85-BDD1-D3CDE60CA0B4}" srcOrd="3" destOrd="0" presId="urn:microsoft.com/office/officeart/2005/8/layout/radial4"/>
    <dgm:cxn modelId="{88695B3D-AD2B-4979-93A3-E8F3F6B7894D}" type="presParOf" srcId="{D45D190C-123A-42E8-B308-CA8C09089797}" destId="{8AF7FBF3-C08B-4142-BD0E-E5892DA93F21}" srcOrd="4" destOrd="0" presId="urn:microsoft.com/office/officeart/2005/8/layout/radial4"/>
    <dgm:cxn modelId="{F7CD24F2-8600-4C11-9A4E-C0EBD23D2C01}" type="presParOf" srcId="{D45D190C-123A-42E8-B308-CA8C09089797}" destId="{897693E8-0F8C-42F9-89A5-D9FF9139F357}" srcOrd="5" destOrd="0" presId="urn:microsoft.com/office/officeart/2005/8/layout/radial4"/>
    <dgm:cxn modelId="{CDCEB1F3-C084-4549-8F2C-8CF4C47D44B5}" type="presParOf" srcId="{D45D190C-123A-42E8-B308-CA8C09089797}" destId="{BB42EAF8-F913-485C-AAE7-0378D36C0761}" srcOrd="6" destOrd="0" presId="urn:microsoft.com/office/officeart/2005/8/layout/radial4"/>
    <dgm:cxn modelId="{E22AB10F-D6B9-4E00-841B-02139978C26E}" type="presParOf" srcId="{D45D190C-123A-42E8-B308-CA8C09089797}" destId="{2ED3997B-DA3F-4D5B-857A-EC7AA1CCFBEF}" srcOrd="7" destOrd="0" presId="urn:microsoft.com/office/officeart/2005/8/layout/radial4"/>
    <dgm:cxn modelId="{E51A6EA2-741F-4ED0-A2AC-10D7421B1336}" type="presParOf" srcId="{D45D190C-123A-42E8-B308-CA8C09089797}" destId="{47C27C17-2D50-45C5-8AD5-AE4CA9CB19B9}" srcOrd="8" destOrd="0" presId="urn:microsoft.com/office/officeart/2005/8/layout/radial4"/>
  </dgm:cxnLst>
  <dgm:bg/>
  <dgm:whole/>
  <dgm:extLst>
    <a:ext uri="http://schemas.microsoft.com/office/drawing/2008/diagram">
      <dsp:dataModelExt xmlns:dsp="http://schemas.microsoft.com/office/drawing/2008/diagram" relId="rId1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6037C651-DF13-440C-8BBE-F904EED036E5}">
      <dsp:nvSpPr>
        <dsp:cNvPr id="0" name=""/>
        <dsp:cNvSpPr/>
      </dsp:nvSpPr>
      <dsp:spPr>
        <a:xfrm rot="16200000">
          <a:off x="4803" y="3625"/>
          <a:ext cx="1199832" cy="1211949"/>
        </a:xfrm>
        <a:prstGeom prst="upArrow">
          <a:avLst>
            <a:gd name="adj1" fmla="val 50000"/>
            <a:gd name="adj2" fmla="val 35000"/>
          </a:avLst>
        </a:prstGeom>
        <a:solidFill>
          <a:schemeClr val="bg1">
            <a:lumMod val="75000"/>
          </a:schemeClr>
        </a:solidFill>
        <a:ln w="12700" cap="flat" cmpd="sng" algn="ctr">
          <a:noFill/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9784" tIns="49784" rIns="49784" bIns="49784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700" b="1" kern="1200"/>
            <a:t>Demand-Side Solutions</a:t>
          </a:r>
          <a:r>
            <a:rPr lang="en-US" sz="700" kern="1200"/>
            <a:t>: </a:t>
          </a:r>
        </a:p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700" i="1" kern="1200"/>
            <a:t>Reducing demand for desalinated water </a:t>
          </a:r>
        </a:p>
      </dsp:txBody>
      <dsp:txXfrm rot="5400000">
        <a:off x="208716" y="309641"/>
        <a:ext cx="1001978" cy="599916"/>
      </dsp:txXfrm>
    </dsp:sp>
    <dsp:sp modelId="{0CDDC977-5C6B-4991-A93C-68B40865B678}">
      <dsp:nvSpPr>
        <dsp:cNvPr id="0" name=""/>
        <dsp:cNvSpPr/>
      </dsp:nvSpPr>
      <dsp:spPr>
        <a:xfrm rot="5400000">
          <a:off x="1335363" y="3625"/>
          <a:ext cx="1199832" cy="1211949"/>
        </a:xfrm>
        <a:prstGeom prst="upArrow">
          <a:avLst>
            <a:gd name="adj1" fmla="val 50000"/>
            <a:gd name="adj2" fmla="val 35000"/>
          </a:avLst>
        </a:prstGeom>
        <a:solidFill>
          <a:schemeClr val="bg1">
            <a:lumMod val="75000"/>
          </a:schemeClr>
        </a:solidFill>
        <a:ln w="12700" cap="flat" cmpd="sng" algn="ctr">
          <a:noFill/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9784" tIns="49784" rIns="49784" bIns="49784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700" b="1" kern="1200"/>
            <a:t>Supply-Side Solutions</a:t>
          </a:r>
          <a:r>
            <a:rPr lang="en-US" sz="700" kern="1200"/>
            <a:t>:</a:t>
          </a:r>
        </a:p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700" kern="1200"/>
            <a:t>Increasing supply for irrigation</a:t>
          </a:r>
        </a:p>
      </dsp:txBody>
      <dsp:txXfrm rot="-5400000">
        <a:off x="1329305" y="309642"/>
        <a:ext cx="1001978" cy="599916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051E143-C131-4B52-ABE2-69280069E33B}">
      <dsp:nvSpPr>
        <dsp:cNvPr id="0" name=""/>
        <dsp:cNvSpPr/>
      </dsp:nvSpPr>
      <dsp:spPr>
        <a:xfrm>
          <a:off x="1718173" y="902406"/>
          <a:ext cx="862602" cy="862602"/>
        </a:xfrm>
        <a:prstGeom prst="ellipse">
          <a:avLst/>
        </a:prstGeom>
        <a:solidFill>
          <a:schemeClr val="bg1">
            <a:lumMod val="65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000" b="1" kern="1200"/>
            <a:t>Combined Scenarios</a:t>
          </a:r>
          <a:endParaRPr lang="en-US" sz="1000" kern="1200"/>
        </a:p>
      </dsp:txBody>
      <dsp:txXfrm>
        <a:off x="1844498" y="1028731"/>
        <a:ext cx="609952" cy="609952"/>
      </dsp:txXfrm>
    </dsp:sp>
    <dsp:sp modelId="{F951F1F3-F931-4C09-976B-2F13A3DDFC92}">
      <dsp:nvSpPr>
        <dsp:cNvPr id="0" name=""/>
        <dsp:cNvSpPr/>
      </dsp:nvSpPr>
      <dsp:spPr>
        <a:xfrm rot="11700000">
          <a:off x="1066774" y="1006553"/>
          <a:ext cx="640981" cy="245841"/>
        </a:xfrm>
        <a:prstGeom prst="leftArrow">
          <a:avLst>
            <a:gd name="adj1" fmla="val 60000"/>
            <a:gd name="adj2" fmla="val 50000"/>
          </a:avLst>
        </a:prstGeom>
        <a:solidFill>
          <a:schemeClr val="bg1">
            <a:lumMod val="8500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319787B-5191-4DC2-97EB-384FB1BE0102}">
      <dsp:nvSpPr>
        <dsp:cNvPr id="0" name=""/>
        <dsp:cNvSpPr/>
      </dsp:nvSpPr>
      <dsp:spPr>
        <a:xfrm>
          <a:off x="667958" y="718736"/>
          <a:ext cx="819472" cy="655578"/>
        </a:xfrm>
        <a:prstGeom prst="roundRect">
          <a:avLst>
            <a:gd name="adj" fmla="val 10000"/>
          </a:avLst>
        </a:prstGeom>
        <a:solidFill>
          <a:schemeClr val="bg1">
            <a:lumMod val="65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000" b="1" kern="1200"/>
            <a:t>Scenario 1</a:t>
          </a:r>
          <a:r>
            <a:rPr lang="en-US" sz="1000" kern="1200"/>
            <a:t> </a:t>
          </a:r>
          <a:r>
            <a:rPr lang="en-US" sz="1000" i="1" kern="1200"/>
            <a:t>Water Tariff Reform</a:t>
          </a:r>
        </a:p>
      </dsp:txBody>
      <dsp:txXfrm>
        <a:off x="687159" y="737937"/>
        <a:ext cx="781070" cy="617176"/>
      </dsp:txXfrm>
    </dsp:sp>
    <dsp:sp modelId="{266ED88E-CD5A-4B85-BDD1-D3CDE60CA0B4}">
      <dsp:nvSpPr>
        <dsp:cNvPr id="0" name=""/>
        <dsp:cNvSpPr/>
      </dsp:nvSpPr>
      <dsp:spPr>
        <a:xfrm rot="14700000">
          <a:off x="1495497" y="495621"/>
          <a:ext cx="640981" cy="245841"/>
        </a:xfrm>
        <a:prstGeom prst="leftArrow">
          <a:avLst>
            <a:gd name="adj1" fmla="val 60000"/>
            <a:gd name="adj2" fmla="val 50000"/>
          </a:avLst>
        </a:prstGeom>
        <a:solidFill>
          <a:schemeClr val="bg1">
            <a:lumMod val="8500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8AF7FBF3-C08B-4142-BD0E-E5892DA93F21}">
      <dsp:nvSpPr>
        <dsp:cNvPr id="0" name=""/>
        <dsp:cNvSpPr/>
      </dsp:nvSpPr>
      <dsp:spPr>
        <a:xfrm>
          <a:off x="1270806" y="290"/>
          <a:ext cx="819472" cy="655578"/>
        </a:xfrm>
        <a:prstGeom prst="roundRect">
          <a:avLst>
            <a:gd name="adj" fmla="val 10000"/>
          </a:avLst>
        </a:prstGeom>
        <a:solidFill>
          <a:schemeClr val="bg1">
            <a:lumMod val="65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000" b="1" kern="1200"/>
            <a:t>Secenario 2</a:t>
          </a:r>
          <a:r>
            <a:rPr lang="en-US" sz="1000" kern="1200"/>
            <a:t> </a:t>
          </a:r>
          <a:r>
            <a:rPr lang="en-US" sz="1000" i="1" kern="1200"/>
            <a:t>Regulating Greywater Reuse</a:t>
          </a:r>
        </a:p>
      </dsp:txBody>
      <dsp:txXfrm>
        <a:off x="1290007" y="19491"/>
        <a:ext cx="781070" cy="617176"/>
      </dsp:txXfrm>
    </dsp:sp>
    <dsp:sp modelId="{897693E8-0F8C-42F9-89A5-D9FF9139F357}">
      <dsp:nvSpPr>
        <dsp:cNvPr id="0" name=""/>
        <dsp:cNvSpPr/>
      </dsp:nvSpPr>
      <dsp:spPr>
        <a:xfrm rot="17700000">
          <a:off x="2162471" y="495621"/>
          <a:ext cx="640981" cy="245841"/>
        </a:xfrm>
        <a:prstGeom prst="leftArrow">
          <a:avLst>
            <a:gd name="adj1" fmla="val 60000"/>
            <a:gd name="adj2" fmla="val 50000"/>
          </a:avLst>
        </a:prstGeom>
        <a:solidFill>
          <a:schemeClr val="bg1">
            <a:lumMod val="8500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B42EAF8-F913-485C-AAE7-0378D36C0761}">
      <dsp:nvSpPr>
        <dsp:cNvPr id="0" name=""/>
        <dsp:cNvSpPr/>
      </dsp:nvSpPr>
      <dsp:spPr>
        <a:xfrm>
          <a:off x="2208671" y="290"/>
          <a:ext cx="819472" cy="655578"/>
        </a:xfrm>
        <a:prstGeom prst="roundRect">
          <a:avLst>
            <a:gd name="adj" fmla="val 10000"/>
          </a:avLst>
        </a:prstGeom>
        <a:solidFill>
          <a:schemeClr val="bg1">
            <a:lumMod val="65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000" b="1" kern="1200"/>
            <a:t>Scenario 3</a:t>
          </a:r>
          <a:r>
            <a:rPr lang="en-US" sz="1000" kern="1200"/>
            <a:t> </a:t>
          </a:r>
          <a:r>
            <a:rPr lang="en-US" sz="1000" i="1" kern="1200"/>
            <a:t>Intensive Reuse of TSE</a:t>
          </a:r>
        </a:p>
      </dsp:txBody>
      <dsp:txXfrm>
        <a:off x="2227872" y="19491"/>
        <a:ext cx="781070" cy="617176"/>
      </dsp:txXfrm>
    </dsp:sp>
    <dsp:sp modelId="{2ED3997B-DA3F-4D5B-857A-EC7AA1CCFBEF}">
      <dsp:nvSpPr>
        <dsp:cNvPr id="0" name=""/>
        <dsp:cNvSpPr/>
      </dsp:nvSpPr>
      <dsp:spPr>
        <a:xfrm rot="20700000">
          <a:off x="2591194" y="1006553"/>
          <a:ext cx="640981" cy="245841"/>
        </a:xfrm>
        <a:prstGeom prst="leftArrow">
          <a:avLst>
            <a:gd name="adj1" fmla="val 60000"/>
            <a:gd name="adj2" fmla="val 50000"/>
          </a:avLst>
        </a:prstGeom>
        <a:solidFill>
          <a:schemeClr val="bg1">
            <a:lumMod val="8500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7C27C17-2D50-45C5-8AD5-AE4CA9CB19B9}">
      <dsp:nvSpPr>
        <dsp:cNvPr id="0" name=""/>
        <dsp:cNvSpPr/>
      </dsp:nvSpPr>
      <dsp:spPr>
        <a:xfrm>
          <a:off x="2811518" y="718736"/>
          <a:ext cx="819472" cy="655578"/>
        </a:xfrm>
        <a:prstGeom prst="roundRect">
          <a:avLst>
            <a:gd name="adj" fmla="val 10000"/>
          </a:avLst>
        </a:prstGeom>
        <a:solidFill>
          <a:schemeClr val="bg1">
            <a:lumMod val="65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000" b="1" kern="1200"/>
            <a:t>Scenario 4 </a:t>
          </a:r>
          <a:r>
            <a:rPr lang="en-US" sz="1000" i="1" kern="1200"/>
            <a:t>Water Recovery from Waste</a:t>
          </a:r>
        </a:p>
      </dsp:txBody>
      <dsp:txXfrm>
        <a:off x="2830719" y="737937"/>
        <a:ext cx="781070" cy="61717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arrow1">
  <dgm:title val=""/>
  <dgm:desc val=""/>
  <dgm:catLst>
    <dgm:cat type="relationship" pri="7000"/>
    <dgm:cat type="process" pri="3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0.1"/>
          <dgm:constr type="diam" refType="w" refFor="ch" refPtType="node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2"/>
        </dgm:constrLst>
      </dgm:if>
      <dgm:if name="Name13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15"/>
        </dgm:constrLst>
      </dgm:if>
      <dgm:if name="Name14" axis="ch" ptType="node" func="cnt" op="equ" val="10">
        <dgm:constrLst>
          <dgm:constr type="primFontSz" for="ch" ptType="node" op="lte" val="65"/>
          <dgm:constr type="w" for="ch" ptType="node" refType="w"/>
          <dgm:constr type="h" for="ch" ptType="node" refType="w" refFor="ch" refPtType="node"/>
          <dgm:constr type="sibSp" refType="w" refFor="ch" refPtType="node" fact="-0.24"/>
        </dgm:constrLst>
      </dgm:if>
      <dgm:else name="Name15">
        <dgm:constrLst>
          <dgm:constr type="primFontSz" for="ch" ptType="node" op="equ" val="65"/>
          <dgm:constr type="w" for="ch" ptType="node" refType="w"/>
          <dgm:constr type="h" for="ch" ptType="node" refType="w" refFor="ch" refPtType="node"/>
          <dgm:constr type="sibSp" refType="w" refFor="ch" refPtType="node" fact="-0.35"/>
        </dgm:constrLst>
      </dgm:else>
    </dgm:choose>
    <dgm:ruleLst/>
    <dgm:forEach name="Name16" axis="ch" ptType="node">
      <dgm:layoutNode name="arrow">
        <dgm:varLst>
          <dgm:bulletEnabled val="1"/>
        </dgm:varLst>
        <dgm:alg type="tx"/>
        <dgm:shape xmlns:r="http://schemas.openxmlformats.org/officeDocument/2006/relationships" type="up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0B379D-77A9-4E0E-B32F-E2C475403F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7</Pages>
  <Words>370</Words>
  <Characters>2115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Sophia Ghanimeh</cp:lastModifiedBy>
  <cp:revision>4</cp:revision>
  <dcterms:created xsi:type="dcterms:W3CDTF">2023-01-31T09:34:00Z</dcterms:created>
  <dcterms:modified xsi:type="dcterms:W3CDTF">2023-02-03T17:21:00Z</dcterms:modified>
</cp:coreProperties>
</file>