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AE15E" w14:textId="1A051CCB" w:rsidR="008A2ABB" w:rsidRPr="008A2ABB" w:rsidRDefault="008A2ABB">
      <w:pPr>
        <w:rPr>
          <w:b/>
          <w:bCs/>
        </w:rPr>
      </w:pPr>
      <w:r w:rsidRPr="008A2ABB">
        <w:rPr>
          <w:b/>
          <w:bCs/>
        </w:rPr>
        <w:t>Supplementary results</w:t>
      </w:r>
    </w:p>
    <w:p w14:paraId="00660126" w14:textId="512E6645" w:rsidR="00E233FB" w:rsidRDefault="007F5717">
      <w:r>
        <w:t>Total failures</w:t>
      </w:r>
    </w:p>
    <w:p w14:paraId="7C164CB0" w14:textId="4E146CD0" w:rsidR="008A2ABB" w:rsidRDefault="008A2ABB">
      <w:r>
        <w:t xml:space="preserve">Overall, patients with ON were 1.66 times more likely to experience revision failures </w:t>
      </w:r>
      <w:r>
        <w:t>(OR: 1.</w:t>
      </w:r>
      <w:r>
        <w:t>655</w:t>
      </w:r>
      <w:r>
        <w:t>; 95%CI: 1.</w:t>
      </w:r>
      <w:r>
        <w:t>0026</w:t>
      </w:r>
      <w:r>
        <w:t xml:space="preserve"> – 2.</w:t>
      </w:r>
      <w:r>
        <w:t>7347</w:t>
      </w:r>
      <w:r>
        <w:t>; p-value: 0.0</w:t>
      </w:r>
      <w:r>
        <w:t>490</w:t>
      </w:r>
      <w:r>
        <w:t xml:space="preserve">) [Refer to </w:t>
      </w:r>
      <w:r>
        <w:rPr>
          <w:b/>
          <w:bCs/>
        </w:rPr>
        <w:t xml:space="preserve">Figure </w:t>
      </w:r>
      <w:r>
        <w:rPr>
          <w:b/>
          <w:bCs/>
        </w:rPr>
        <w:t>A</w:t>
      </w:r>
      <w:r>
        <w:t>].</w:t>
      </w:r>
      <w:r>
        <w:t xml:space="preserve"> Upon the removal the registry-based studies, the OR increased to 2.00 times, however, became statistically insignificant </w:t>
      </w:r>
      <w:r>
        <w:t xml:space="preserve">(OR: </w:t>
      </w:r>
      <w:r>
        <w:t>2.00</w:t>
      </w:r>
      <w:r>
        <w:t xml:space="preserve">; 95%CI: </w:t>
      </w:r>
      <w:r>
        <w:t>0.90</w:t>
      </w:r>
      <w:r>
        <w:t xml:space="preserve"> – </w:t>
      </w:r>
      <w:r>
        <w:t>4.44</w:t>
      </w:r>
      <w:r>
        <w:t>; p-value: 0.0</w:t>
      </w:r>
      <w:r>
        <w:t>788</w:t>
      </w:r>
      <w:r>
        <w:t xml:space="preserve">) [Refer to </w:t>
      </w:r>
      <w:r>
        <w:rPr>
          <w:b/>
          <w:bCs/>
        </w:rPr>
        <w:t xml:space="preserve">Figure </w:t>
      </w:r>
      <w:r>
        <w:rPr>
          <w:b/>
          <w:bCs/>
        </w:rPr>
        <w:t>A_2</w:t>
      </w:r>
      <w:r>
        <w:t>].</w:t>
      </w:r>
    </w:p>
    <w:p w14:paraId="6AA5E7D2" w14:textId="12543EB8" w:rsidR="007F5717" w:rsidRDefault="007F5717">
      <w:r>
        <w:t>Aseptic Loosening</w:t>
      </w:r>
    </w:p>
    <w:p w14:paraId="44F6C174" w14:textId="39430A14" w:rsidR="00052062" w:rsidRDefault="00052062">
      <w:r>
        <w:t xml:space="preserve">In terms of Aseptic Loosening, patients with ON were 1.69 times more likely to report Aseptic Loosening. Nonetheless, the difference is statistically insignificant </w:t>
      </w:r>
      <w:r>
        <w:t>(OR: 1.</w:t>
      </w:r>
      <w:r>
        <w:t>69</w:t>
      </w:r>
      <w:r>
        <w:t xml:space="preserve">; 95%CI: </w:t>
      </w:r>
      <w:r>
        <w:t>0.59</w:t>
      </w:r>
      <w:r>
        <w:t xml:space="preserve"> – </w:t>
      </w:r>
      <w:r>
        <w:t>4.83</w:t>
      </w:r>
      <w:r>
        <w:t>; p-value: 0.</w:t>
      </w:r>
      <w:r>
        <w:t>2723</w:t>
      </w:r>
      <w:r>
        <w:t xml:space="preserve">) [Refer to </w:t>
      </w:r>
      <w:r>
        <w:rPr>
          <w:b/>
          <w:bCs/>
        </w:rPr>
        <w:t xml:space="preserve">Figure </w:t>
      </w:r>
      <w:r>
        <w:rPr>
          <w:b/>
          <w:bCs/>
        </w:rPr>
        <w:t>B</w:t>
      </w:r>
      <w:r>
        <w:t>].</w:t>
      </w:r>
      <w:r>
        <w:t xml:space="preserve"> </w:t>
      </w:r>
      <w:r>
        <w:t xml:space="preserve">Upon the removal the registry-based studies, the OR increased to </w:t>
      </w:r>
      <w:r>
        <w:t>1.72</w:t>
      </w:r>
      <w:r>
        <w:t xml:space="preserve"> times, however, became statistically insignificant (OR: </w:t>
      </w:r>
      <w:r>
        <w:t>1.718</w:t>
      </w:r>
      <w:r>
        <w:t>; 95%CI: 0.</w:t>
      </w:r>
      <w:r>
        <w:t>44</w:t>
      </w:r>
      <w:r>
        <w:t xml:space="preserve"> – </w:t>
      </w:r>
      <w:r>
        <w:t>6.58</w:t>
      </w:r>
      <w:r>
        <w:t>; p-value: 0.</w:t>
      </w:r>
      <w:r>
        <w:t>3620</w:t>
      </w:r>
      <w:r>
        <w:t xml:space="preserve">) [Refer to </w:t>
      </w:r>
      <w:r>
        <w:rPr>
          <w:b/>
          <w:bCs/>
        </w:rPr>
        <w:t xml:space="preserve">Figure </w:t>
      </w:r>
      <w:r>
        <w:rPr>
          <w:b/>
          <w:bCs/>
        </w:rPr>
        <w:t>B</w:t>
      </w:r>
      <w:r>
        <w:rPr>
          <w:b/>
          <w:bCs/>
        </w:rPr>
        <w:t>_2</w:t>
      </w:r>
      <w:r>
        <w:t>].</w:t>
      </w:r>
    </w:p>
    <w:p w14:paraId="7491C24F" w14:textId="7682ADAB" w:rsidR="007F5717" w:rsidRDefault="007F5717">
      <w:r>
        <w:t>PJI</w:t>
      </w:r>
    </w:p>
    <w:p w14:paraId="0E4D7F2C" w14:textId="2D29459D" w:rsidR="00052062" w:rsidRDefault="00052062">
      <w:r>
        <w:t xml:space="preserve">Moreover, patients with ON were 1.46 times more likely to present with failure due to PJIs </w:t>
      </w:r>
      <w:r>
        <w:t>(OR: 1</w:t>
      </w:r>
      <w:r>
        <w:t>.459</w:t>
      </w:r>
      <w:r>
        <w:t>; 95%CI: 1.</w:t>
      </w:r>
      <w:r>
        <w:t>298</w:t>
      </w:r>
      <w:r>
        <w:t xml:space="preserve"> – </w:t>
      </w:r>
      <w:r>
        <w:t>1.641</w:t>
      </w:r>
      <w:r>
        <w:t xml:space="preserve">; p-value: </w:t>
      </w:r>
      <w:r>
        <w:t>&lt;0.0001</w:t>
      </w:r>
      <w:r>
        <w:t xml:space="preserve">) [Refer to </w:t>
      </w:r>
      <w:r>
        <w:rPr>
          <w:b/>
          <w:bCs/>
        </w:rPr>
        <w:t>Figure</w:t>
      </w:r>
      <w:r>
        <w:rPr>
          <w:b/>
          <w:bCs/>
        </w:rPr>
        <w:t xml:space="preserve"> C</w:t>
      </w:r>
      <w:r>
        <w:t>]</w:t>
      </w:r>
      <w:r>
        <w:t xml:space="preserve">. </w:t>
      </w:r>
      <w:r>
        <w:t>Upon the removal the registry-based studies, the OR increased to 2.</w:t>
      </w:r>
      <w:r>
        <w:t>12</w:t>
      </w:r>
      <w:r>
        <w:t xml:space="preserve"> times</w:t>
      </w:r>
      <w:r>
        <w:t xml:space="preserve"> and </w:t>
      </w:r>
      <w:r w:rsidR="00D842C2">
        <w:t>re</w:t>
      </w:r>
      <w:r>
        <w:t xml:space="preserve">tained its statistical significance </w:t>
      </w:r>
      <w:r>
        <w:t>(OR: 2.</w:t>
      </w:r>
      <w:r>
        <w:t>12</w:t>
      </w:r>
      <w:r>
        <w:t xml:space="preserve">; 95%CI: </w:t>
      </w:r>
      <w:r>
        <w:t>1.096</w:t>
      </w:r>
      <w:r>
        <w:t xml:space="preserve"> – </w:t>
      </w:r>
      <w:r>
        <w:t>4.094</w:t>
      </w:r>
      <w:r>
        <w:t>; p-value: 0.0</w:t>
      </w:r>
      <w:r>
        <w:t>317</w:t>
      </w:r>
      <w:r>
        <w:t xml:space="preserve">) [Refer to </w:t>
      </w:r>
      <w:r>
        <w:rPr>
          <w:b/>
          <w:bCs/>
        </w:rPr>
        <w:t xml:space="preserve">Figure </w:t>
      </w:r>
      <w:r>
        <w:rPr>
          <w:b/>
          <w:bCs/>
        </w:rPr>
        <w:t>C</w:t>
      </w:r>
      <w:r>
        <w:rPr>
          <w:b/>
          <w:bCs/>
        </w:rPr>
        <w:t>_2</w:t>
      </w:r>
      <w:r>
        <w:t>].</w:t>
      </w:r>
    </w:p>
    <w:p w14:paraId="70FF0B6D" w14:textId="1F1DE393" w:rsidR="007F5717" w:rsidRDefault="007F5717">
      <w:r>
        <w:t>Instability</w:t>
      </w:r>
    </w:p>
    <w:p w14:paraId="58B042F6" w14:textId="2E15FBF7" w:rsidR="00256F1B" w:rsidRDefault="00256F1B">
      <w:r>
        <w:t xml:space="preserve">Only a handful of studies reported on instability. Patients with OA were more likely to present with failure of revision due to instability </w:t>
      </w:r>
      <w:r>
        <w:t xml:space="preserve">(OR: </w:t>
      </w:r>
      <w:r>
        <w:t>0.80</w:t>
      </w:r>
      <w:r w:rsidR="007F759A">
        <w:t>4</w:t>
      </w:r>
      <w:r>
        <w:t xml:space="preserve">; 95%CI: </w:t>
      </w:r>
      <w:r w:rsidR="007F759A">
        <w:t>0.043</w:t>
      </w:r>
      <w:r>
        <w:t xml:space="preserve"> – </w:t>
      </w:r>
      <w:r w:rsidR="007F759A">
        <w:t>14.92</w:t>
      </w:r>
      <w:r>
        <w:t>; p-value: 0.</w:t>
      </w:r>
      <w:r w:rsidR="007F759A">
        <w:t>7794</w:t>
      </w:r>
      <w:r>
        <w:t xml:space="preserve">) [Refer to </w:t>
      </w:r>
      <w:r>
        <w:rPr>
          <w:b/>
          <w:bCs/>
        </w:rPr>
        <w:t xml:space="preserve">Figure </w:t>
      </w:r>
      <w:r w:rsidR="007F759A">
        <w:rPr>
          <w:b/>
          <w:bCs/>
        </w:rPr>
        <w:t>D</w:t>
      </w:r>
      <w:r>
        <w:t>].</w:t>
      </w:r>
    </w:p>
    <w:p w14:paraId="1C0927D7" w14:textId="0576F08A" w:rsidR="007F5717" w:rsidRDefault="007F5717" w:rsidP="007F5717">
      <w:r>
        <w:t>Periprosthetic Fractures</w:t>
      </w:r>
    </w:p>
    <w:p w14:paraId="3EF68CF7" w14:textId="07B21093" w:rsidR="009D1018" w:rsidRDefault="00D842C2" w:rsidP="007F5717">
      <w:r>
        <w:t xml:space="preserve">Finally, </w:t>
      </w:r>
      <w:r>
        <w:t xml:space="preserve">patients with ON were </w:t>
      </w:r>
      <w:r>
        <w:t>2.14</w:t>
      </w:r>
      <w:r>
        <w:t xml:space="preserve"> times more likely to present with </w:t>
      </w:r>
      <w:r>
        <w:t>periprosthetic fractures</w:t>
      </w:r>
      <w:r>
        <w:t xml:space="preserve"> (OR: </w:t>
      </w:r>
      <w:r>
        <w:t>2.137</w:t>
      </w:r>
      <w:r>
        <w:t xml:space="preserve">; 95%CI: </w:t>
      </w:r>
      <w:r>
        <w:t>1.769</w:t>
      </w:r>
      <w:r>
        <w:t xml:space="preserve"> – </w:t>
      </w:r>
      <w:r>
        <w:t>2.582</w:t>
      </w:r>
      <w:r>
        <w:t xml:space="preserve">; p-value: &lt;0.0001) [Refer to </w:t>
      </w:r>
      <w:r>
        <w:rPr>
          <w:b/>
          <w:bCs/>
        </w:rPr>
        <w:t xml:space="preserve">Figure </w:t>
      </w:r>
      <w:r>
        <w:rPr>
          <w:b/>
          <w:bCs/>
        </w:rPr>
        <w:t>E</w:t>
      </w:r>
      <w:r>
        <w:t>]. Upon the removal the registry-based studies, the OR increased to 2.</w:t>
      </w:r>
      <w:r>
        <w:t>51</w:t>
      </w:r>
      <w:r>
        <w:t xml:space="preserve"> times </w:t>
      </w:r>
      <w:r>
        <w:t>while retaining</w:t>
      </w:r>
      <w:r>
        <w:t xml:space="preserve"> its statistical significance (OR: 2.</w:t>
      </w:r>
      <w:r>
        <w:t>505</w:t>
      </w:r>
      <w:r>
        <w:t xml:space="preserve">; 95%CI: </w:t>
      </w:r>
      <w:r>
        <w:t>1.202</w:t>
      </w:r>
      <w:r>
        <w:t xml:space="preserve"> – </w:t>
      </w:r>
      <w:r>
        <w:t>5.221</w:t>
      </w:r>
      <w:r>
        <w:t>; p-value: 0.0</w:t>
      </w:r>
      <w:r>
        <w:t>222</w:t>
      </w:r>
      <w:r>
        <w:t xml:space="preserve">) [Refer to </w:t>
      </w:r>
      <w:r>
        <w:rPr>
          <w:b/>
          <w:bCs/>
        </w:rPr>
        <w:t xml:space="preserve">Figure </w:t>
      </w:r>
      <w:r>
        <w:rPr>
          <w:b/>
          <w:bCs/>
        </w:rPr>
        <w:t>E</w:t>
      </w:r>
      <w:r>
        <w:rPr>
          <w:b/>
          <w:bCs/>
        </w:rPr>
        <w:t>_2</w:t>
      </w:r>
      <w:r>
        <w:t>].</w:t>
      </w:r>
    </w:p>
    <w:p w14:paraId="17BA35DD" w14:textId="42A25A7D" w:rsidR="00D842C2" w:rsidRPr="00D94CE2" w:rsidRDefault="00D842C2" w:rsidP="007F5717">
      <w:r w:rsidRPr="00D94CE2">
        <w:t>Heterogeneity</w:t>
      </w:r>
    </w:p>
    <w:p w14:paraId="1A6AA113" w14:textId="6816571C" w:rsidR="00D842C2" w:rsidRDefault="00D842C2" w:rsidP="007F5717">
      <w:r>
        <w:t xml:space="preserve">For Total Failures, Aseptic Loosening, and Instability, heterogeneity was significantly present and was at least above 60%. In contrast, heterogeneity for PJI and Periprosthetic fractures were insignificant ranging from 11% to 0%. </w:t>
      </w:r>
    </w:p>
    <w:p w14:paraId="3152CE72" w14:textId="77777777" w:rsidR="00D842C2" w:rsidRDefault="00D842C2" w:rsidP="007F5717"/>
    <w:sectPr w:rsidR="00D842C2" w:rsidSect="00866383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0653"/>
    <w:rsid w:val="00052062"/>
    <w:rsid w:val="00256F1B"/>
    <w:rsid w:val="00450653"/>
    <w:rsid w:val="007F5717"/>
    <w:rsid w:val="007F759A"/>
    <w:rsid w:val="00866383"/>
    <w:rsid w:val="008A2ABB"/>
    <w:rsid w:val="009D1018"/>
    <w:rsid w:val="00D842C2"/>
    <w:rsid w:val="00D94CE2"/>
    <w:rsid w:val="00E23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3DB6EF"/>
  <w15:chartTrackingRefBased/>
  <w15:docId w15:val="{D38B0B6B-9B8C-48BE-9B14-86230680F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aj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306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Abdallah Al-Ani</dc:creator>
  <cp:keywords/>
  <dc:description/>
  <cp:lastModifiedBy>Abdallah Al-Ani</cp:lastModifiedBy>
  <cp:revision>7</cp:revision>
  <dcterms:created xsi:type="dcterms:W3CDTF">2022-12-30T18:57:00Z</dcterms:created>
  <dcterms:modified xsi:type="dcterms:W3CDTF">2022-12-30T19:24:00Z</dcterms:modified>
</cp:coreProperties>
</file>