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4140" w:rsidRPr="006D4140" w:rsidRDefault="006D4140" w:rsidP="006D4140">
      <w:pPr>
        <w:ind w:firstLine="360"/>
        <w:rPr>
          <w:rFonts w:asciiTheme="majorBidi" w:hAnsiTheme="majorBidi" w:cstheme="majorBidi"/>
          <w:b/>
          <w:iCs/>
          <w:sz w:val="24"/>
          <w:szCs w:val="24"/>
        </w:rPr>
      </w:pPr>
      <w:r>
        <w:rPr>
          <w:rFonts w:asciiTheme="majorBidi" w:hAnsiTheme="majorBidi" w:cstheme="majorBidi"/>
          <w:bCs/>
          <w:iCs/>
          <w:noProof/>
          <w:sz w:val="24"/>
          <w:szCs w:val="24"/>
          <w:lang w:val="en-US"/>
        </w:rPr>
        <w:drawing>
          <wp:inline distT="0" distB="0" distL="0" distR="0">
            <wp:extent cx="8863330" cy="4985385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8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D4140">
        <w:rPr>
          <w:rFonts w:asciiTheme="majorBidi" w:hAnsiTheme="majorBidi" w:cstheme="majorBidi"/>
          <w:b/>
          <w:iCs/>
          <w:sz w:val="24"/>
          <w:szCs w:val="24"/>
        </w:rPr>
        <w:t>Figure S1. Representative ATR-FTIR spectra of MPs in surface sediments</w:t>
      </w:r>
    </w:p>
    <w:p w:rsidR="00C40985" w:rsidRDefault="00C40985" w:rsidP="00C40985">
      <w:pPr>
        <w:ind w:firstLine="360"/>
        <w:jc w:val="center"/>
        <w:rPr>
          <w:rFonts w:asciiTheme="majorBidi" w:hAnsiTheme="majorBidi" w:cstheme="majorBidi"/>
          <w:noProof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br w:type="page"/>
      </w:r>
      <w:r>
        <w:rPr>
          <w:rFonts w:asciiTheme="majorBidi" w:hAnsiTheme="majorBidi" w:cstheme="majorBidi"/>
          <w:bCs/>
          <w:iCs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7164000" cy="42948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Raman.tif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5609" t="3134" r="3525"/>
                    <a:stretch/>
                  </pic:blipFill>
                  <pic:spPr bwMode="auto">
                    <a:xfrm>
                      <a:off x="0" y="0"/>
                      <a:ext cx="7164000" cy="429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40985" w:rsidRPr="006D4140" w:rsidRDefault="00C40985" w:rsidP="00C40985">
      <w:pPr>
        <w:ind w:firstLine="360"/>
        <w:rPr>
          <w:rFonts w:asciiTheme="majorBidi" w:hAnsiTheme="majorBidi" w:cstheme="majorBidi"/>
          <w:b/>
          <w:iCs/>
          <w:sz w:val="24"/>
          <w:szCs w:val="24"/>
        </w:rPr>
      </w:pPr>
      <w:r w:rsidRPr="006D4140">
        <w:rPr>
          <w:rFonts w:asciiTheme="majorBidi" w:hAnsiTheme="majorBidi" w:cstheme="majorBidi"/>
          <w:b/>
          <w:iCs/>
          <w:sz w:val="24"/>
          <w:szCs w:val="24"/>
        </w:rPr>
        <w:t xml:space="preserve">Figure </w:t>
      </w:r>
      <w:r w:rsidR="006D4140" w:rsidRPr="006D4140">
        <w:rPr>
          <w:rFonts w:asciiTheme="majorBidi" w:hAnsiTheme="majorBidi" w:cstheme="majorBidi"/>
          <w:b/>
          <w:iCs/>
          <w:sz w:val="24"/>
          <w:szCs w:val="24"/>
        </w:rPr>
        <w:t>S2</w:t>
      </w:r>
      <w:r w:rsidRPr="006D4140">
        <w:rPr>
          <w:rFonts w:asciiTheme="majorBidi" w:hAnsiTheme="majorBidi" w:cstheme="majorBidi"/>
          <w:b/>
          <w:iCs/>
          <w:sz w:val="24"/>
          <w:szCs w:val="24"/>
        </w:rPr>
        <w:t>. Representative Raman spectra of MPs in surface sediments</w:t>
      </w:r>
    </w:p>
    <w:p w:rsidR="00C40985" w:rsidRDefault="00C40985" w:rsidP="00C40985">
      <w:pPr>
        <w:jc w:val="center"/>
        <w:rPr>
          <w:rFonts w:asciiTheme="majorBidi" w:hAnsiTheme="majorBidi" w:cstheme="majorBidi"/>
          <w:noProof/>
          <w:sz w:val="24"/>
          <w:szCs w:val="24"/>
        </w:rPr>
      </w:pPr>
    </w:p>
    <w:p w:rsidR="00D00B1A" w:rsidRDefault="00D00B1A">
      <w:pPr>
        <w:rPr>
          <w:rFonts w:asciiTheme="majorBidi" w:hAnsiTheme="majorBidi" w:cstheme="majorBidi"/>
          <w:sz w:val="24"/>
          <w:szCs w:val="24"/>
        </w:rPr>
      </w:pPr>
    </w:p>
    <w:p w:rsidR="00D00B1A" w:rsidRDefault="00870D44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8863330" cy="4985385"/>
            <wp:effectExtent l="0" t="0" r="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8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0D44">
        <w:rPr>
          <w:rFonts w:asciiTheme="majorBidi" w:hAnsiTheme="majorBidi" w:cstheme="majorBidi"/>
          <w:b/>
          <w:bCs/>
          <w:sz w:val="24"/>
          <w:szCs w:val="24"/>
          <w:lang w:val="en-US"/>
        </w:rPr>
        <w:t>Figure S</w:t>
      </w:r>
      <w:r w:rsidR="005003C6">
        <w:rPr>
          <w:rFonts w:asciiTheme="majorBidi" w:hAnsiTheme="majorBidi" w:cstheme="majorBidi"/>
          <w:b/>
          <w:bCs/>
          <w:sz w:val="24"/>
          <w:szCs w:val="24"/>
          <w:lang w:val="en-US"/>
        </w:rPr>
        <w:t>3</w:t>
      </w:r>
      <w:r w:rsidRPr="00870D44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. Seasonal variation of MP polymer composition in Chennai beach sediments </w:t>
      </w:r>
    </w:p>
    <w:p w:rsidR="00D00B1A" w:rsidRDefault="00D00B1A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br w:type="page"/>
      </w:r>
    </w:p>
    <w:p w:rsidR="00870D44" w:rsidRPr="00870D44" w:rsidRDefault="00870D44" w:rsidP="00870D44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8863330" cy="4985385"/>
            <wp:effectExtent l="0" t="0" r="0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8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0D44">
        <w:rPr>
          <w:rFonts w:asciiTheme="majorBidi" w:hAnsiTheme="majorBidi" w:cstheme="majorBidi"/>
          <w:b/>
          <w:bCs/>
          <w:sz w:val="24"/>
          <w:szCs w:val="24"/>
          <w:lang w:val="en-US"/>
        </w:rPr>
        <w:t>Figure S</w:t>
      </w:r>
      <w:r w:rsidR="005003C6">
        <w:rPr>
          <w:rFonts w:asciiTheme="majorBidi" w:hAnsiTheme="majorBidi" w:cstheme="majorBidi"/>
          <w:b/>
          <w:bCs/>
          <w:sz w:val="24"/>
          <w:szCs w:val="24"/>
          <w:lang w:val="en-US"/>
        </w:rPr>
        <w:t>4</w:t>
      </w:r>
      <w:r w:rsidRPr="00870D44">
        <w:rPr>
          <w:rFonts w:asciiTheme="majorBidi" w:hAnsiTheme="majorBidi" w:cstheme="majorBidi"/>
          <w:b/>
          <w:bCs/>
          <w:sz w:val="24"/>
          <w:szCs w:val="24"/>
          <w:lang w:val="en-US"/>
        </w:rPr>
        <w:t>. EDS spectra of MPs in surface sediments along the Chennai collected during SW monsoon</w:t>
      </w:r>
    </w:p>
    <w:p w:rsidR="00D00B1A" w:rsidRDefault="00D00B1A">
      <w:pPr>
        <w:rPr>
          <w:rFonts w:asciiTheme="majorBidi" w:hAnsiTheme="majorBidi" w:cstheme="majorBidi"/>
          <w:sz w:val="24"/>
          <w:szCs w:val="24"/>
          <w:lang w:val="en-US"/>
        </w:rPr>
      </w:pPr>
      <w:r>
        <w:rPr>
          <w:rFonts w:asciiTheme="majorBidi" w:hAnsiTheme="majorBidi" w:cstheme="majorBidi"/>
          <w:sz w:val="24"/>
          <w:szCs w:val="24"/>
        </w:rPr>
        <w:br w:type="page"/>
      </w:r>
    </w:p>
    <w:p w:rsidR="00870D44" w:rsidRDefault="00D00B1A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8863330" cy="4985385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8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3C6" w:rsidRDefault="00870D44" w:rsidP="00870D44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 w:rsidRPr="00870D44">
        <w:rPr>
          <w:rFonts w:asciiTheme="majorBidi" w:hAnsiTheme="majorBidi" w:cstheme="majorBidi"/>
          <w:b/>
          <w:bCs/>
          <w:sz w:val="24"/>
          <w:szCs w:val="24"/>
          <w:lang w:val="en-US"/>
        </w:rPr>
        <w:t>Figure S</w:t>
      </w:r>
      <w:r w:rsidR="005003C6">
        <w:rPr>
          <w:rFonts w:asciiTheme="majorBidi" w:hAnsiTheme="majorBidi" w:cstheme="majorBidi"/>
          <w:b/>
          <w:bCs/>
          <w:sz w:val="24"/>
          <w:szCs w:val="24"/>
          <w:lang w:val="en-US"/>
        </w:rPr>
        <w:t>5</w:t>
      </w:r>
      <w:r w:rsidRPr="00870D44">
        <w:rPr>
          <w:rFonts w:asciiTheme="majorBidi" w:hAnsiTheme="majorBidi" w:cstheme="majorBidi"/>
          <w:b/>
          <w:bCs/>
          <w:sz w:val="24"/>
          <w:szCs w:val="24"/>
          <w:lang w:val="en-US"/>
        </w:rPr>
        <w:t>. EDS spectra of MPs in surface sediments along the Chennai collected during NE monsoon</w:t>
      </w:r>
    </w:p>
    <w:p w:rsidR="005003C6" w:rsidRDefault="005003C6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br w:type="page"/>
      </w:r>
    </w:p>
    <w:p w:rsidR="005003C6" w:rsidRDefault="005003C6" w:rsidP="005003C6">
      <w:pPr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7472135" cy="5184374"/>
            <wp:effectExtent l="19050" t="0" r="0" b="0"/>
            <wp:docPr id="2" name="Picture 1" descr="HD Mode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D Model.tif"/>
                    <pic:cNvPicPr/>
                  </pic:nvPicPr>
                  <pic:blipFill>
                    <a:blip r:embed="rId9"/>
                    <a:srcRect l="12285" t="3211" r="11106" b="2294"/>
                    <a:stretch>
                      <a:fillRect/>
                    </a:stretch>
                  </pic:blipFill>
                  <pic:spPr>
                    <a:xfrm>
                      <a:off x="0" y="0"/>
                      <a:ext cx="7472135" cy="5184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1A" w:rsidRDefault="005003C6">
      <w:pPr>
        <w:rPr>
          <w:rFonts w:asciiTheme="majorBidi" w:hAnsiTheme="majorBidi" w:cstheme="majorBidi"/>
          <w:sz w:val="24"/>
          <w:szCs w:val="24"/>
          <w:lang w:val="en-US"/>
        </w:rPr>
      </w:pPr>
      <w:r w:rsidRPr="005003C6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Figure </w:t>
      </w: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>S6</w:t>
      </w:r>
      <w:r w:rsidRPr="005003C6">
        <w:rPr>
          <w:rFonts w:asciiTheme="majorBidi" w:hAnsiTheme="majorBidi" w:cstheme="majorBidi"/>
          <w:b/>
          <w:bCs/>
          <w:sz w:val="24"/>
          <w:szCs w:val="24"/>
          <w:lang w:val="en-US"/>
        </w:rPr>
        <w:t>. Simulation of circulation pattern during flood (a) and ebb (b) tide during the SW monsoon, 2019; flood (c) and ebb (d) tidal pattern during the NE monsoon, 2020</w:t>
      </w:r>
      <w:r w:rsidR="00D00B1A">
        <w:rPr>
          <w:rFonts w:asciiTheme="majorBidi" w:hAnsiTheme="majorBidi" w:cstheme="majorBidi"/>
          <w:sz w:val="24"/>
          <w:szCs w:val="24"/>
        </w:rPr>
        <w:br w:type="page"/>
      </w:r>
    </w:p>
    <w:p w:rsidR="00C059BD" w:rsidRPr="00C059BD" w:rsidRDefault="00C059BD" w:rsidP="00C059BD">
      <w:pPr>
        <w:jc w:val="center"/>
        <w:rPr>
          <w:rFonts w:ascii="Times New Roman" w:hAnsi="Times New Roman" w:cs="Times New Roman"/>
          <w:b/>
          <w:bCs/>
          <w:sz w:val="24"/>
        </w:rPr>
      </w:pPr>
      <w:r w:rsidRPr="00C059BD">
        <w:rPr>
          <w:rFonts w:ascii="Times New Roman" w:hAnsi="Times New Roman" w:cs="Times New Roman"/>
          <w:b/>
          <w:bCs/>
          <w:sz w:val="24"/>
        </w:rPr>
        <w:lastRenderedPageBreak/>
        <w:t xml:space="preserve">Table S1. The </w:t>
      </w:r>
      <w:r w:rsidR="000F5FDE">
        <w:rPr>
          <w:rFonts w:ascii="Times New Roman" w:hAnsi="Times New Roman" w:cs="Times New Roman"/>
          <w:b/>
          <w:bCs/>
          <w:sz w:val="24"/>
        </w:rPr>
        <w:t xml:space="preserve">details of </w:t>
      </w:r>
      <w:r w:rsidRPr="00C059BD">
        <w:rPr>
          <w:rFonts w:ascii="Times New Roman" w:hAnsi="Times New Roman" w:cs="Times New Roman"/>
          <w:b/>
          <w:bCs/>
          <w:sz w:val="24"/>
        </w:rPr>
        <w:t>sampling locations with geographica</w:t>
      </w:r>
      <w:bookmarkStart w:id="0" w:name="_GoBack"/>
      <w:bookmarkEnd w:id="0"/>
      <w:r w:rsidRPr="00C059BD">
        <w:rPr>
          <w:rFonts w:ascii="Times New Roman" w:hAnsi="Times New Roman" w:cs="Times New Roman"/>
          <w:b/>
          <w:bCs/>
          <w:sz w:val="24"/>
        </w:rPr>
        <w:t>l co-ordinates</w:t>
      </w:r>
    </w:p>
    <w:p w:rsidR="00C059BD" w:rsidRDefault="00C059BD" w:rsidP="00C059BD"/>
    <w:tbl>
      <w:tblPr>
        <w:tblStyle w:val="TableGrid"/>
        <w:tblW w:w="0" w:type="auto"/>
        <w:tblInd w:w="1428" w:type="dxa"/>
        <w:tblLook w:val="04A0"/>
      </w:tblPr>
      <w:tblGrid>
        <w:gridCol w:w="1885"/>
        <w:gridCol w:w="2195"/>
        <w:gridCol w:w="3006"/>
        <w:gridCol w:w="3384"/>
      </w:tblGrid>
      <w:tr w:rsidR="00C059BD" w:rsidRPr="0056554B" w:rsidTr="00FB128B">
        <w:tc>
          <w:tcPr>
            <w:tcW w:w="1885" w:type="dxa"/>
          </w:tcPr>
          <w:p w:rsidR="00C059BD" w:rsidRPr="00895D2C" w:rsidRDefault="00C059BD" w:rsidP="00FB128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5D2C">
              <w:rPr>
                <w:rFonts w:ascii="Times New Roman" w:hAnsi="Times New Roman" w:cs="Times New Roman"/>
                <w:b/>
                <w:sz w:val="24"/>
                <w:szCs w:val="24"/>
              </w:rPr>
              <w:t>Beach</w:t>
            </w:r>
          </w:p>
        </w:tc>
        <w:tc>
          <w:tcPr>
            <w:tcW w:w="2195" w:type="dxa"/>
          </w:tcPr>
          <w:p w:rsidR="00C059BD" w:rsidRPr="00895D2C" w:rsidRDefault="00C059BD" w:rsidP="00FB128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5D2C">
              <w:rPr>
                <w:rFonts w:ascii="Times New Roman" w:hAnsi="Times New Roman" w:cs="Times New Roman"/>
                <w:b/>
                <w:sz w:val="24"/>
                <w:szCs w:val="24"/>
              </w:rPr>
              <w:t>Sample ID</w:t>
            </w:r>
          </w:p>
        </w:tc>
        <w:tc>
          <w:tcPr>
            <w:tcW w:w="3006" w:type="dxa"/>
          </w:tcPr>
          <w:p w:rsidR="00C059BD" w:rsidRPr="004A29E2" w:rsidRDefault="00C059BD" w:rsidP="00FB128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29E2">
              <w:rPr>
                <w:rFonts w:ascii="Times New Roman" w:hAnsi="Times New Roman" w:cs="Times New Roman"/>
                <w:b/>
                <w:sz w:val="24"/>
                <w:szCs w:val="24"/>
              </w:rPr>
              <w:t>Latitude (N)</w:t>
            </w:r>
          </w:p>
        </w:tc>
        <w:tc>
          <w:tcPr>
            <w:tcW w:w="3384" w:type="dxa"/>
          </w:tcPr>
          <w:p w:rsidR="00C059BD" w:rsidRPr="004A29E2" w:rsidRDefault="00C059BD" w:rsidP="00FB128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29E2">
              <w:rPr>
                <w:rFonts w:ascii="Times New Roman" w:hAnsi="Times New Roman" w:cs="Times New Roman"/>
                <w:b/>
                <w:sz w:val="24"/>
                <w:szCs w:val="24"/>
              </w:rPr>
              <w:t>Longitude (E)</w:t>
            </w:r>
          </w:p>
        </w:tc>
      </w:tr>
      <w:tr w:rsidR="00C059BD" w:rsidRPr="0056554B" w:rsidTr="00FB128B">
        <w:tc>
          <w:tcPr>
            <w:tcW w:w="1885" w:type="dxa"/>
            <w:vMerge w:val="restart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Ennore</w:t>
            </w:r>
            <w:proofErr w:type="spellEnd"/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LT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29E2">
              <w:rPr>
                <w:rFonts w:ascii="Times New Roman" w:hAnsi="Times New Roman" w:cs="Times New Roman"/>
                <w:sz w:val="24"/>
                <w:szCs w:val="24"/>
              </w:rPr>
              <w:t>13°13'24.30"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29E2">
              <w:rPr>
                <w:rFonts w:ascii="Times New Roman" w:hAnsi="Times New Roman" w:cs="Times New Roman"/>
                <w:sz w:val="24"/>
                <w:szCs w:val="24"/>
              </w:rPr>
              <w:t>80°19'42.03"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HT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13°13'24.46"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80°19'41.73"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Berm line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13°13'24.33"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80°19'41.44"</w:t>
            </w:r>
          </w:p>
        </w:tc>
      </w:tr>
      <w:tr w:rsidR="00C059BD" w:rsidRPr="0056554B" w:rsidTr="00FB128B">
        <w:tc>
          <w:tcPr>
            <w:tcW w:w="1885" w:type="dxa"/>
            <w:vMerge w:val="restart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Cooum</w:t>
            </w:r>
            <w:proofErr w:type="spellEnd"/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LT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13° 3'58.85"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80°17'23.05"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HT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13° 3'58.73"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80°17'22.54"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Berm line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13° 3'58.48"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80°17'22.07"</w:t>
            </w:r>
          </w:p>
        </w:tc>
      </w:tr>
      <w:tr w:rsidR="00C059BD" w:rsidRPr="0056554B" w:rsidTr="00FB128B">
        <w:tc>
          <w:tcPr>
            <w:tcW w:w="1885" w:type="dxa"/>
            <w:vMerge w:val="restart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Marina</w:t>
            </w: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LT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13° 2'22.45"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80°16'54.20"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HT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13° 2'22.46"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80°16'54.00"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Berm line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13° 2'22.46"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80°16'53.82"</w:t>
            </w:r>
          </w:p>
        </w:tc>
      </w:tr>
      <w:tr w:rsidR="00C059BD" w:rsidRPr="0056554B" w:rsidTr="00FB128B">
        <w:tc>
          <w:tcPr>
            <w:tcW w:w="1885" w:type="dxa"/>
            <w:vMerge w:val="restart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Adyar</w:t>
            </w:r>
            <w:proofErr w:type="spellEnd"/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LT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13° 1'0.35"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80°16'41.29"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HT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13° 1'0.36"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80°16'41.17"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Berm line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13° 1'0.38"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80°16'41.08"</w:t>
            </w:r>
          </w:p>
        </w:tc>
      </w:tr>
      <w:tr w:rsidR="00C059BD" w:rsidRPr="0056554B" w:rsidTr="00FB128B">
        <w:tc>
          <w:tcPr>
            <w:tcW w:w="1885" w:type="dxa"/>
            <w:vMerge w:val="restart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Thiruvanmiyur</w:t>
            </w:r>
            <w:proofErr w:type="spellEnd"/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LT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12°59'9.49"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80°16'11.46"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HT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12°59'9.57"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80°16'11.24"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Berm line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12°59'9.64"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F3B4E">
              <w:rPr>
                <w:rFonts w:ascii="Times New Roman" w:hAnsi="Times New Roman" w:cs="Times New Roman"/>
                <w:sz w:val="24"/>
                <w:szCs w:val="24"/>
              </w:rPr>
              <w:t>80°16'11.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08"</w:t>
            </w:r>
          </w:p>
        </w:tc>
      </w:tr>
      <w:tr w:rsidR="00C059BD" w:rsidRPr="0056554B" w:rsidTr="00FB128B">
        <w:tc>
          <w:tcPr>
            <w:tcW w:w="1885" w:type="dxa"/>
            <w:vMerge w:val="restart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Neelankarai</w:t>
            </w:r>
            <w:proofErr w:type="spellEnd"/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LT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12°56'57.19"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80°15'43.00"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HT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12°56'57.27"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80°15'42.76"</w:t>
            </w:r>
          </w:p>
        </w:tc>
      </w:tr>
      <w:tr w:rsidR="00C059BD" w:rsidRPr="0056554B" w:rsidTr="00FB128B">
        <w:tc>
          <w:tcPr>
            <w:tcW w:w="1885" w:type="dxa"/>
            <w:vMerge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554B">
              <w:rPr>
                <w:rFonts w:ascii="Times New Roman" w:hAnsi="Times New Roman" w:cs="Times New Roman"/>
                <w:sz w:val="24"/>
                <w:szCs w:val="24"/>
              </w:rPr>
              <w:t>Berm line</w:t>
            </w:r>
          </w:p>
        </w:tc>
        <w:tc>
          <w:tcPr>
            <w:tcW w:w="3006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12°56'57.39"</w:t>
            </w:r>
          </w:p>
        </w:tc>
        <w:tc>
          <w:tcPr>
            <w:tcW w:w="3384" w:type="dxa"/>
          </w:tcPr>
          <w:p w:rsidR="00C059BD" w:rsidRPr="0056554B" w:rsidRDefault="00C059BD" w:rsidP="00FB128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80°15'42.49"</w:t>
            </w:r>
          </w:p>
        </w:tc>
      </w:tr>
    </w:tbl>
    <w:p w:rsidR="00C059BD" w:rsidRDefault="00C059BD" w:rsidP="00C059BD"/>
    <w:p w:rsidR="00C059BD" w:rsidRDefault="00C059BD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br w:type="page"/>
      </w:r>
    </w:p>
    <w:p w:rsidR="00D00B1A" w:rsidRPr="00870D44" w:rsidRDefault="00D00B1A" w:rsidP="00C059BD">
      <w:pPr>
        <w:pStyle w:val="ListParagraph"/>
        <w:spacing w:line="480" w:lineRule="auto"/>
        <w:ind w:left="2520"/>
        <w:jc w:val="both"/>
        <w:rPr>
          <w:rFonts w:asciiTheme="majorBidi" w:hAnsiTheme="majorBidi" w:cstheme="majorBidi"/>
          <w:b/>
          <w:bCs/>
          <w:sz w:val="24"/>
          <w:szCs w:val="24"/>
        </w:rPr>
      </w:pPr>
      <w:r w:rsidRPr="00870D44">
        <w:rPr>
          <w:rFonts w:asciiTheme="majorBidi" w:hAnsiTheme="majorBidi" w:cstheme="majorBidi"/>
          <w:b/>
          <w:bCs/>
          <w:sz w:val="24"/>
          <w:szCs w:val="24"/>
        </w:rPr>
        <w:lastRenderedPageBreak/>
        <w:t>Table S</w:t>
      </w:r>
      <w:r w:rsidR="00C059BD">
        <w:rPr>
          <w:rFonts w:asciiTheme="majorBidi" w:hAnsiTheme="majorBidi" w:cstheme="majorBidi"/>
          <w:b/>
          <w:bCs/>
          <w:sz w:val="24"/>
          <w:szCs w:val="24"/>
        </w:rPr>
        <w:t>2</w:t>
      </w:r>
      <w:r w:rsidRPr="00870D44">
        <w:rPr>
          <w:rFonts w:asciiTheme="majorBidi" w:hAnsiTheme="majorBidi" w:cstheme="majorBidi"/>
          <w:b/>
          <w:bCs/>
          <w:sz w:val="24"/>
          <w:szCs w:val="24"/>
        </w:rPr>
        <w:t>. Terminology used to describe the risk level criteria for MP pollution</w:t>
      </w:r>
    </w:p>
    <w:tbl>
      <w:tblPr>
        <w:tblStyle w:val="TableGrid"/>
        <w:tblW w:w="0" w:type="auto"/>
        <w:jc w:val="center"/>
        <w:tblLook w:val="04A0"/>
      </w:tblPr>
      <w:tblGrid>
        <w:gridCol w:w="1255"/>
        <w:gridCol w:w="1800"/>
        <w:gridCol w:w="900"/>
        <w:gridCol w:w="1800"/>
        <w:gridCol w:w="2722"/>
        <w:gridCol w:w="2722"/>
      </w:tblGrid>
      <w:tr w:rsidR="00CD2D73" w:rsidTr="00792A08">
        <w:trPr>
          <w:jc w:val="center"/>
        </w:trPr>
        <w:tc>
          <w:tcPr>
            <w:tcW w:w="1255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bookmarkStart w:id="1" w:name="_Hlk76584682"/>
            <w:r>
              <w:rPr>
                <w:rFonts w:asciiTheme="majorBidi" w:hAnsiTheme="majorBidi" w:cstheme="majorBidi"/>
                <w:sz w:val="24"/>
                <w:szCs w:val="24"/>
              </w:rPr>
              <w:t>PHI</w:t>
            </w:r>
          </w:p>
        </w:tc>
        <w:tc>
          <w:tcPr>
            <w:tcW w:w="18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Risk category</w:t>
            </w:r>
          </w:p>
        </w:tc>
        <w:tc>
          <w:tcPr>
            <w:tcW w:w="9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PLI</w:t>
            </w:r>
          </w:p>
        </w:tc>
        <w:tc>
          <w:tcPr>
            <w:tcW w:w="18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Risk category</w:t>
            </w:r>
          </w:p>
        </w:tc>
        <w:tc>
          <w:tcPr>
            <w:tcW w:w="2722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PERI</w:t>
            </w:r>
          </w:p>
        </w:tc>
        <w:tc>
          <w:tcPr>
            <w:tcW w:w="2722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Degree of contamination</w:t>
            </w:r>
          </w:p>
        </w:tc>
      </w:tr>
      <w:tr w:rsidR="00CD2D73" w:rsidTr="00792A08">
        <w:trPr>
          <w:jc w:val="center"/>
        </w:trPr>
        <w:tc>
          <w:tcPr>
            <w:tcW w:w="1255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&lt;10</w:t>
            </w:r>
          </w:p>
        </w:tc>
        <w:tc>
          <w:tcPr>
            <w:tcW w:w="18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I</w:t>
            </w:r>
          </w:p>
        </w:tc>
        <w:tc>
          <w:tcPr>
            <w:tcW w:w="9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&lt;10</w:t>
            </w:r>
          </w:p>
        </w:tc>
        <w:tc>
          <w:tcPr>
            <w:tcW w:w="18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I</w:t>
            </w:r>
          </w:p>
        </w:tc>
        <w:tc>
          <w:tcPr>
            <w:tcW w:w="2722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&lt;150</w:t>
            </w:r>
          </w:p>
        </w:tc>
        <w:tc>
          <w:tcPr>
            <w:tcW w:w="2722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Minor</w:t>
            </w:r>
          </w:p>
        </w:tc>
      </w:tr>
      <w:tr w:rsidR="00CD2D73" w:rsidTr="00792A08">
        <w:trPr>
          <w:jc w:val="center"/>
        </w:trPr>
        <w:tc>
          <w:tcPr>
            <w:tcW w:w="1255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10–100</w:t>
            </w:r>
          </w:p>
        </w:tc>
        <w:tc>
          <w:tcPr>
            <w:tcW w:w="18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II</w:t>
            </w:r>
          </w:p>
        </w:tc>
        <w:tc>
          <w:tcPr>
            <w:tcW w:w="9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10–20</w:t>
            </w:r>
          </w:p>
        </w:tc>
        <w:tc>
          <w:tcPr>
            <w:tcW w:w="18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II</w:t>
            </w:r>
          </w:p>
        </w:tc>
        <w:tc>
          <w:tcPr>
            <w:tcW w:w="2722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 xml:space="preserve">150 – 600 </w:t>
            </w:r>
          </w:p>
        </w:tc>
        <w:tc>
          <w:tcPr>
            <w:tcW w:w="2722" w:type="dxa"/>
          </w:tcPr>
          <w:p w:rsidR="00CD2D73" w:rsidRDefault="00CD2D73" w:rsidP="000A16C6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High</w:t>
            </w:r>
          </w:p>
        </w:tc>
      </w:tr>
      <w:tr w:rsidR="00CD2D73" w:rsidTr="00792A08">
        <w:trPr>
          <w:jc w:val="center"/>
        </w:trPr>
        <w:tc>
          <w:tcPr>
            <w:tcW w:w="1255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100–1000</w:t>
            </w:r>
          </w:p>
        </w:tc>
        <w:tc>
          <w:tcPr>
            <w:tcW w:w="18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III</w:t>
            </w:r>
          </w:p>
        </w:tc>
        <w:tc>
          <w:tcPr>
            <w:tcW w:w="9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20–30</w:t>
            </w:r>
          </w:p>
        </w:tc>
        <w:tc>
          <w:tcPr>
            <w:tcW w:w="18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III</w:t>
            </w:r>
          </w:p>
        </w:tc>
        <w:tc>
          <w:tcPr>
            <w:tcW w:w="2722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 xml:space="preserve">600 – 1220 </w:t>
            </w:r>
          </w:p>
        </w:tc>
        <w:tc>
          <w:tcPr>
            <w:tcW w:w="2722" w:type="dxa"/>
          </w:tcPr>
          <w:p w:rsidR="00CD2D73" w:rsidRDefault="00CD2D73" w:rsidP="000A16C6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Danger</w:t>
            </w:r>
          </w:p>
        </w:tc>
      </w:tr>
      <w:tr w:rsidR="00CD2D73" w:rsidTr="00792A08">
        <w:trPr>
          <w:jc w:val="center"/>
        </w:trPr>
        <w:tc>
          <w:tcPr>
            <w:tcW w:w="1255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&gt;1000</w:t>
            </w:r>
          </w:p>
        </w:tc>
        <w:tc>
          <w:tcPr>
            <w:tcW w:w="18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IV</w:t>
            </w:r>
          </w:p>
        </w:tc>
        <w:tc>
          <w:tcPr>
            <w:tcW w:w="9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&gt;30</w:t>
            </w:r>
          </w:p>
        </w:tc>
        <w:tc>
          <w:tcPr>
            <w:tcW w:w="1800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IV</w:t>
            </w:r>
          </w:p>
        </w:tc>
        <w:tc>
          <w:tcPr>
            <w:tcW w:w="2722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&gt; 1220</w:t>
            </w:r>
          </w:p>
        </w:tc>
        <w:tc>
          <w:tcPr>
            <w:tcW w:w="2722" w:type="dxa"/>
          </w:tcPr>
          <w:p w:rsidR="00CD2D73" w:rsidRDefault="00CD2D73" w:rsidP="008A67F5">
            <w:pPr>
              <w:spacing w:line="480" w:lineRule="auto"/>
              <w:rPr>
                <w:rFonts w:asciiTheme="majorBidi" w:hAnsiTheme="majorBidi" w:cstheme="majorBidi"/>
                <w:sz w:val="24"/>
                <w:szCs w:val="24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Extreme danger</w:t>
            </w:r>
          </w:p>
        </w:tc>
      </w:tr>
      <w:bookmarkEnd w:id="1"/>
    </w:tbl>
    <w:p w:rsidR="00D00B1A" w:rsidRDefault="00D00B1A" w:rsidP="00CD2D73">
      <w:pPr>
        <w:pStyle w:val="ListParagraph"/>
        <w:spacing w:line="480" w:lineRule="auto"/>
        <w:ind w:left="360" w:hanging="360"/>
        <w:jc w:val="both"/>
        <w:rPr>
          <w:rFonts w:asciiTheme="majorBidi" w:hAnsiTheme="majorBidi" w:cstheme="majorBidi"/>
          <w:sz w:val="24"/>
          <w:szCs w:val="24"/>
        </w:rPr>
      </w:pPr>
    </w:p>
    <w:sectPr w:rsidR="00D00B1A" w:rsidSect="00D00B1A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D00B1A"/>
    <w:rsid w:val="00067952"/>
    <w:rsid w:val="000B1B58"/>
    <w:rsid w:val="000F5FDE"/>
    <w:rsid w:val="003B724E"/>
    <w:rsid w:val="003F0645"/>
    <w:rsid w:val="004A29E2"/>
    <w:rsid w:val="005003C6"/>
    <w:rsid w:val="0056554B"/>
    <w:rsid w:val="006D4140"/>
    <w:rsid w:val="00795FE0"/>
    <w:rsid w:val="007B2A04"/>
    <w:rsid w:val="00812D15"/>
    <w:rsid w:val="00861186"/>
    <w:rsid w:val="00870D44"/>
    <w:rsid w:val="00895D2C"/>
    <w:rsid w:val="00A14E62"/>
    <w:rsid w:val="00B1793C"/>
    <w:rsid w:val="00BF22BA"/>
    <w:rsid w:val="00C059BD"/>
    <w:rsid w:val="00C40985"/>
    <w:rsid w:val="00CD2D73"/>
    <w:rsid w:val="00D00B1A"/>
    <w:rsid w:val="00DB494B"/>
    <w:rsid w:val="00F42D81"/>
    <w:rsid w:val="00F91350"/>
    <w:rsid w:val="00FF3B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I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00B1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00B1A"/>
    <w:pPr>
      <w:ind w:left="720"/>
      <w:contextualSpacing/>
    </w:pPr>
    <w:rPr>
      <w:lang w:val="en-US"/>
    </w:rPr>
  </w:style>
  <w:style w:type="table" w:styleId="TableGrid">
    <w:name w:val="Table Grid"/>
    <w:basedOn w:val="TableNormal"/>
    <w:uiPriority w:val="39"/>
    <w:rsid w:val="00D00B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B1B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1B5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855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82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6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9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8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theme" Target="theme/theme1.xml"/><Relationship Id="rId5" Type="http://schemas.openxmlformats.org/officeDocument/2006/relationships/image" Target="media/image2.tiff"/><Relationship Id="rId10" Type="http://schemas.openxmlformats.org/officeDocument/2006/relationships/fontTable" Target="fontTable.xml"/><Relationship Id="rId4" Type="http://schemas.openxmlformats.org/officeDocument/2006/relationships/image" Target="media/image1.tiff"/><Relationship Id="rId9" Type="http://schemas.openxmlformats.org/officeDocument/2006/relationships/image" Target="media/image6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8</Pages>
  <Words>247</Words>
  <Characters>1413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ROUTHIRAN  VEERASINGAM</dc:creator>
  <cp:lastModifiedBy>Windows User</cp:lastModifiedBy>
  <cp:revision>18</cp:revision>
  <dcterms:created xsi:type="dcterms:W3CDTF">2022-03-14T10:14:00Z</dcterms:created>
  <dcterms:modified xsi:type="dcterms:W3CDTF">2022-04-02T20:21:00Z</dcterms:modified>
</cp:coreProperties>
</file>