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FB9E" w14:textId="754D9F23" w:rsidR="00D27EB9" w:rsidRPr="00BA6307" w:rsidRDefault="00D27EB9" w:rsidP="00D27EB9">
      <w:pPr>
        <w:jc w:val="center"/>
        <w:rPr>
          <w:rFonts w:asciiTheme="majorBidi" w:hAnsiTheme="majorBidi" w:cstheme="majorBidi"/>
          <w:b/>
          <w:sz w:val="28"/>
          <w:szCs w:val="28"/>
        </w:rPr>
      </w:pPr>
      <w:r w:rsidRPr="00BA6307">
        <w:rPr>
          <w:rFonts w:asciiTheme="majorBidi" w:hAnsiTheme="majorBidi" w:cstheme="majorBidi"/>
          <w:b/>
          <w:sz w:val="28"/>
          <w:szCs w:val="28"/>
        </w:rPr>
        <w:t xml:space="preserve">Supplementary Information File </w:t>
      </w:r>
      <w:r w:rsidR="00BA6307" w:rsidRPr="00BA6307">
        <w:rPr>
          <w:rFonts w:asciiTheme="majorBidi" w:hAnsiTheme="majorBidi" w:cstheme="majorBidi"/>
          <w:b/>
          <w:sz w:val="28"/>
          <w:szCs w:val="28"/>
        </w:rPr>
        <w:t>1</w:t>
      </w:r>
      <w:r w:rsidR="00500305" w:rsidRPr="00BA6307">
        <w:rPr>
          <w:rFonts w:asciiTheme="majorBidi" w:hAnsiTheme="majorBidi" w:cstheme="majorBidi"/>
          <w:b/>
          <w:sz w:val="28"/>
          <w:szCs w:val="28"/>
        </w:rPr>
        <w:t>.</w:t>
      </w:r>
    </w:p>
    <w:p w14:paraId="1074AF33" w14:textId="77777777" w:rsidR="00D27EB9" w:rsidRPr="00BA6307" w:rsidRDefault="00D27EB9" w:rsidP="00D27EB9">
      <w:pPr>
        <w:jc w:val="center"/>
        <w:rPr>
          <w:rFonts w:asciiTheme="majorBidi" w:hAnsiTheme="majorBidi" w:cstheme="majorBidi"/>
          <w:b/>
          <w:sz w:val="28"/>
          <w:szCs w:val="28"/>
        </w:rPr>
      </w:pPr>
      <w:r w:rsidRPr="00BA6307">
        <w:rPr>
          <w:rFonts w:asciiTheme="majorBidi" w:hAnsiTheme="majorBidi" w:cstheme="majorBidi"/>
          <w:b/>
          <w:sz w:val="28"/>
          <w:szCs w:val="28"/>
        </w:rPr>
        <w:t>For</w:t>
      </w:r>
    </w:p>
    <w:p w14:paraId="6771DFFD" w14:textId="77777777" w:rsidR="00D27EB9" w:rsidRPr="00BA6307" w:rsidRDefault="00D27EB9" w:rsidP="00D27EB9">
      <w:pPr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437C2C7F" w14:textId="77777777" w:rsidR="00AA2752" w:rsidRPr="00692365" w:rsidRDefault="00AA2752" w:rsidP="00AA2752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bookmarkStart w:id="0" w:name="_Hlk90323545"/>
      <w:r w:rsidRPr="004F2990">
        <w:rPr>
          <w:rFonts w:asciiTheme="majorBidi" w:hAnsiTheme="majorBidi" w:cstheme="majorBidi"/>
          <w:b/>
          <w:bCs/>
          <w:sz w:val="40"/>
          <w:szCs w:val="40"/>
        </w:rPr>
        <w:t xml:space="preserve">How </w:t>
      </w:r>
      <w:r>
        <w:rPr>
          <w:rFonts w:asciiTheme="majorBidi" w:hAnsiTheme="majorBidi" w:cstheme="majorBidi"/>
          <w:b/>
          <w:bCs/>
          <w:sz w:val="40"/>
          <w:szCs w:val="40"/>
        </w:rPr>
        <w:t>S</w:t>
      </w:r>
      <w:r w:rsidRPr="004F2990">
        <w:rPr>
          <w:rFonts w:asciiTheme="majorBidi" w:hAnsiTheme="majorBidi" w:cstheme="majorBidi"/>
          <w:b/>
          <w:bCs/>
          <w:sz w:val="40"/>
          <w:szCs w:val="40"/>
        </w:rPr>
        <w:t xml:space="preserve">ustainable is </w:t>
      </w:r>
      <w:r w:rsidRPr="00692365">
        <w:rPr>
          <w:rFonts w:asciiTheme="majorBidi" w:hAnsiTheme="majorBidi" w:cstheme="majorBidi"/>
          <w:b/>
          <w:bCs/>
          <w:sz w:val="40"/>
          <w:szCs w:val="40"/>
        </w:rPr>
        <w:t>Liquefied Natural Gas</w:t>
      </w:r>
      <w:r>
        <w:rPr>
          <w:rFonts w:asciiTheme="majorBidi" w:hAnsiTheme="majorBidi" w:cstheme="majorBidi"/>
          <w:b/>
          <w:bCs/>
          <w:sz w:val="40"/>
          <w:szCs w:val="40"/>
        </w:rPr>
        <w:t xml:space="preserve"> Supply Chain? </w:t>
      </w:r>
      <w:r w:rsidRPr="004F2990">
        <w:rPr>
          <w:rFonts w:asciiTheme="majorBidi" w:hAnsiTheme="majorBidi" w:cstheme="majorBidi"/>
          <w:b/>
          <w:bCs/>
          <w:sz w:val="40"/>
          <w:szCs w:val="40"/>
        </w:rPr>
        <w:t>A</w:t>
      </w:r>
      <w:r>
        <w:rPr>
          <w:rFonts w:asciiTheme="majorBidi" w:hAnsiTheme="majorBidi" w:cstheme="majorBidi"/>
          <w:b/>
          <w:bCs/>
          <w:sz w:val="40"/>
          <w:szCs w:val="40"/>
        </w:rPr>
        <w:t>n</w:t>
      </w:r>
      <w:r w:rsidRPr="004F2990">
        <w:rPr>
          <w:rFonts w:asciiTheme="majorBidi" w:hAnsiTheme="majorBidi" w:cstheme="majorBidi"/>
          <w:b/>
          <w:bCs/>
          <w:sz w:val="40"/>
          <w:szCs w:val="40"/>
        </w:rPr>
        <w:t xml:space="preserve"> </w:t>
      </w:r>
      <w:r>
        <w:rPr>
          <w:rFonts w:asciiTheme="majorBidi" w:hAnsiTheme="majorBidi" w:cstheme="majorBidi"/>
          <w:b/>
          <w:bCs/>
          <w:sz w:val="40"/>
          <w:szCs w:val="40"/>
        </w:rPr>
        <w:t>Integrated Life Cycle S</w:t>
      </w:r>
      <w:r w:rsidRPr="004F2990">
        <w:rPr>
          <w:rFonts w:asciiTheme="majorBidi" w:hAnsiTheme="majorBidi" w:cstheme="majorBidi"/>
          <w:b/>
          <w:bCs/>
          <w:sz w:val="40"/>
          <w:szCs w:val="40"/>
        </w:rPr>
        <w:t xml:space="preserve">ustainability </w:t>
      </w:r>
      <w:r>
        <w:rPr>
          <w:rFonts w:asciiTheme="majorBidi" w:hAnsiTheme="majorBidi" w:cstheme="majorBidi"/>
          <w:b/>
          <w:bCs/>
          <w:sz w:val="40"/>
          <w:szCs w:val="40"/>
        </w:rPr>
        <w:t>A</w:t>
      </w:r>
      <w:r w:rsidRPr="004F2990">
        <w:rPr>
          <w:rFonts w:asciiTheme="majorBidi" w:hAnsiTheme="majorBidi" w:cstheme="majorBidi"/>
          <w:b/>
          <w:bCs/>
          <w:sz w:val="40"/>
          <w:szCs w:val="40"/>
        </w:rPr>
        <w:t>ssessment</w:t>
      </w:r>
      <w:r>
        <w:rPr>
          <w:rFonts w:asciiTheme="majorBidi" w:hAnsiTheme="majorBidi" w:cstheme="majorBidi"/>
          <w:b/>
          <w:bCs/>
          <w:sz w:val="40"/>
          <w:szCs w:val="40"/>
        </w:rPr>
        <w:t xml:space="preserve"> Model</w:t>
      </w:r>
    </w:p>
    <w:p w14:paraId="0DC3D729" w14:textId="77777777" w:rsidR="00AA2752" w:rsidRDefault="00AA2752" w:rsidP="00AA2752">
      <w:pPr>
        <w:rPr>
          <w:rFonts w:ascii="Arial" w:hAnsi="Arial" w:cs="Arial"/>
          <w:b/>
          <w:bCs/>
          <w:sz w:val="24"/>
          <w:szCs w:val="24"/>
        </w:rPr>
      </w:pPr>
    </w:p>
    <w:p w14:paraId="2D21FD43" w14:textId="77777777" w:rsidR="00AA2752" w:rsidRDefault="00AA2752" w:rsidP="00AA2752">
      <w:pPr>
        <w:pStyle w:val="MDPI13authornames"/>
        <w:spacing w:line="240" w:lineRule="auto"/>
        <w:jc w:val="center"/>
        <w:rPr>
          <w:rFonts w:asciiTheme="majorBidi" w:hAnsiTheme="majorBidi" w:cstheme="majorBidi"/>
          <w:color w:val="auto"/>
          <w:sz w:val="24"/>
          <w:szCs w:val="24"/>
        </w:rPr>
      </w:pPr>
      <w:bookmarkStart w:id="1" w:name="_Hlk41770116"/>
      <w:bookmarkStart w:id="2" w:name="_Hlk52621983"/>
      <w:r>
        <w:rPr>
          <w:rFonts w:asciiTheme="majorBidi" w:hAnsiTheme="majorBidi" w:cstheme="majorBidi"/>
          <w:color w:val="auto"/>
          <w:sz w:val="24"/>
          <w:szCs w:val="24"/>
        </w:rPr>
        <w:t xml:space="preserve">Hussein Al-Yafei </w:t>
      </w:r>
      <w:r>
        <w:rPr>
          <w:rFonts w:asciiTheme="majorBidi" w:hAnsiTheme="majorBidi" w:cstheme="majorBidi"/>
          <w:color w:val="auto"/>
          <w:sz w:val="24"/>
          <w:szCs w:val="24"/>
          <w:vertAlign w:val="superscript"/>
        </w:rPr>
        <w:t>1,*</w:t>
      </w:r>
      <w:r>
        <w:rPr>
          <w:rFonts w:asciiTheme="majorBidi" w:hAnsiTheme="majorBidi" w:cstheme="majorBidi"/>
          <w:color w:val="auto"/>
          <w:sz w:val="24"/>
          <w:szCs w:val="24"/>
        </w:rPr>
        <w:t xml:space="preserve">, Ahmed AlNouss </w:t>
      </w:r>
      <w:r>
        <w:rPr>
          <w:rFonts w:asciiTheme="majorBidi" w:hAnsiTheme="majorBidi" w:cstheme="majorBidi"/>
          <w:color w:val="auto"/>
          <w:sz w:val="24"/>
          <w:szCs w:val="24"/>
          <w:vertAlign w:val="superscript"/>
        </w:rPr>
        <w:t>2</w:t>
      </w:r>
      <w:r>
        <w:rPr>
          <w:rFonts w:asciiTheme="majorBidi" w:hAnsiTheme="majorBidi" w:cstheme="majorBidi"/>
          <w:color w:val="auto"/>
          <w:sz w:val="24"/>
          <w:szCs w:val="24"/>
        </w:rPr>
        <w:t xml:space="preserve">, Saleh Aseel </w:t>
      </w:r>
      <w:r>
        <w:rPr>
          <w:rFonts w:asciiTheme="majorBidi" w:hAnsiTheme="majorBidi" w:cstheme="majorBidi"/>
          <w:color w:val="auto"/>
          <w:sz w:val="24"/>
          <w:szCs w:val="24"/>
          <w:vertAlign w:val="superscript"/>
        </w:rPr>
        <w:t>1</w:t>
      </w:r>
      <w:r>
        <w:rPr>
          <w:rFonts w:asciiTheme="majorBidi" w:hAnsiTheme="majorBidi" w:cstheme="majorBidi"/>
          <w:color w:val="auto"/>
          <w:sz w:val="24"/>
          <w:szCs w:val="24"/>
        </w:rPr>
        <w:t xml:space="preserve">, Murat Kucukvar </w:t>
      </w:r>
      <w:r>
        <w:rPr>
          <w:rFonts w:asciiTheme="majorBidi" w:hAnsiTheme="majorBidi" w:cstheme="majorBidi"/>
          <w:color w:val="auto"/>
          <w:sz w:val="24"/>
          <w:szCs w:val="24"/>
          <w:vertAlign w:val="superscript"/>
        </w:rPr>
        <w:t>3,*</w:t>
      </w:r>
      <w:r>
        <w:rPr>
          <w:rFonts w:asciiTheme="majorBidi" w:hAnsiTheme="majorBidi" w:cstheme="majorBidi"/>
          <w:color w:val="auto"/>
          <w:sz w:val="24"/>
          <w:szCs w:val="24"/>
        </w:rPr>
        <w:t xml:space="preserve">, </w:t>
      </w:r>
      <w:r w:rsidRPr="007C4516">
        <w:rPr>
          <w:rFonts w:asciiTheme="majorBidi" w:hAnsiTheme="majorBidi" w:cstheme="majorBidi"/>
          <w:color w:val="auto"/>
          <w:sz w:val="24"/>
          <w:szCs w:val="24"/>
        </w:rPr>
        <w:t>Nuri C</w:t>
      </w:r>
      <w:r>
        <w:rPr>
          <w:rFonts w:asciiTheme="majorBidi" w:hAnsiTheme="majorBidi" w:cstheme="majorBidi"/>
          <w:color w:val="auto"/>
          <w:sz w:val="24"/>
          <w:szCs w:val="24"/>
        </w:rPr>
        <w:t xml:space="preserve">. </w:t>
      </w:r>
      <w:r w:rsidRPr="007C4516">
        <w:rPr>
          <w:rFonts w:asciiTheme="majorBidi" w:hAnsiTheme="majorBidi" w:cstheme="majorBidi"/>
          <w:color w:val="auto"/>
          <w:sz w:val="24"/>
          <w:szCs w:val="24"/>
        </w:rPr>
        <w:t>Onat</w:t>
      </w:r>
      <w:r>
        <w:rPr>
          <w:rFonts w:asciiTheme="majorBidi" w:hAnsiTheme="majorBidi" w:cstheme="majorBidi"/>
          <w:color w:val="auto"/>
          <w:sz w:val="24"/>
          <w:szCs w:val="24"/>
        </w:rPr>
        <w:t xml:space="preserve"> </w:t>
      </w:r>
      <w:r w:rsidRPr="007C4516">
        <w:rPr>
          <w:rFonts w:asciiTheme="majorBidi" w:hAnsiTheme="majorBidi" w:cstheme="majorBidi"/>
          <w:color w:val="auto"/>
          <w:sz w:val="24"/>
          <w:szCs w:val="24"/>
          <w:vertAlign w:val="superscript"/>
        </w:rPr>
        <w:t>4</w:t>
      </w:r>
      <w:r>
        <w:rPr>
          <w:rFonts w:asciiTheme="majorBidi" w:hAnsiTheme="majorBidi" w:cstheme="majorBidi"/>
          <w:color w:val="auto"/>
          <w:sz w:val="24"/>
          <w:szCs w:val="24"/>
        </w:rPr>
        <w:t xml:space="preserve">, </w:t>
      </w:r>
      <w:r w:rsidRPr="00D5600E">
        <w:rPr>
          <w:rFonts w:asciiTheme="majorBidi" w:hAnsiTheme="majorBidi" w:cstheme="majorBidi"/>
          <w:color w:val="auto"/>
          <w:sz w:val="24"/>
          <w:szCs w:val="24"/>
        </w:rPr>
        <w:t>Tareq Al-Ansari</w:t>
      </w:r>
      <w:r>
        <w:rPr>
          <w:rFonts w:asciiTheme="majorBidi" w:hAnsiTheme="majorBidi" w:cstheme="majorBidi"/>
          <w:color w:val="auto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auto"/>
          <w:sz w:val="24"/>
          <w:szCs w:val="24"/>
          <w:vertAlign w:val="superscript"/>
        </w:rPr>
        <w:t>2</w:t>
      </w:r>
    </w:p>
    <w:bookmarkEnd w:id="1"/>
    <w:p w14:paraId="0BFDC41E" w14:textId="77777777" w:rsidR="00AA2752" w:rsidRPr="007C4516" w:rsidRDefault="00AA2752" w:rsidP="00AA2752">
      <w:pPr>
        <w:pStyle w:val="MDPI16affiliation"/>
        <w:spacing w:line="240" w:lineRule="auto"/>
        <w:rPr>
          <w:rFonts w:asciiTheme="majorBidi" w:hAnsiTheme="majorBidi" w:cstheme="majorBidi"/>
          <w:color w:val="auto"/>
          <w:sz w:val="20"/>
          <w:szCs w:val="20"/>
        </w:rPr>
      </w:pPr>
      <w:r w:rsidRPr="007C4516">
        <w:rPr>
          <w:rFonts w:asciiTheme="majorBidi" w:hAnsiTheme="majorBidi" w:cstheme="majorBidi"/>
          <w:color w:val="auto"/>
          <w:sz w:val="20"/>
          <w:szCs w:val="20"/>
          <w:vertAlign w:val="superscript"/>
        </w:rPr>
        <w:t>1</w:t>
      </w:r>
      <w:bookmarkStart w:id="3" w:name="_Hlk41770211"/>
      <w:r w:rsidRPr="007C4516">
        <w:rPr>
          <w:rFonts w:asciiTheme="majorBidi" w:hAnsiTheme="majorBidi" w:cstheme="majorBidi"/>
          <w:color w:val="auto"/>
          <w:sz w:val="20"/>
          <w:szCs w:val="20"/>
        </w:rPr>
        <w:t>Engineering Management, College of Engineering, Qatar University, Doha, Qatar</w:t>
      </w:r>
    </w:p>
    <w:p w14:paraId="21595F09" w14:textId="77777777" w:rsidR="00AA2752" w:rsidRPr="007C4516" w:rsidRDefault="00AA2752" w:rsidP="00AA2752">
      <w:pPr>
        <w:pStyle w:val="MDPI16affiliation"/>
        <w:spacing w:line="240" w:lineRule="auto"/>
        <w:rPr>
          <w:rFonts w:asciiTheme="majorBidi" w:hAnsiTheme="majorBidi" w:cstheme="majorBidi"/>
          <w:color w:val="auto"/>
          <w:sz w:val="20"/>
          <w:szCs w:val="20"/>
        </w:rPr>
      </w:pPr>
      <w:r w:rsidRPr="007C4516">
        <w:rPr>
          <w:rFonts w:asciiTheme="majorBidi" w:hAnsiTheme="majorBidi" w:cstheme="majorBidi"/>
          <w:color w:val="auto"/>
          <w:sz w:val="20"/>
          <w:szCs w:val="20"/>
          <w:vertAlign w:val="superscript"/>
        </w:rPr>
        <w:t>2</w:t>
      </w:r>
      <w:r w:rsidRPr="007C4516">
        <w:rPr>
          <w:rFonts w:asciiTheme="majorBidi" w:hAnsiTheme="majorBidi" w:cstheme="majorBidi"/>
          <w:color w:val="auto"/>
          <w:sz w:val="20"/>
          <w:szCs w:val="20"/>
        </w:rPr>
        <w:t>College of Science and Engineering, Hamad Bin Khalifa University, Qatar Foundation, Doha, Qatar</w:t>
      </w:r>
    </w:p>
    <w:bookmarkEnd w:id="3"/>
    <w:p w14:paraId="7C9F8F38" w14:textId="77777777" w:rsidR="00AA2752" w:rsidRPr="007C4516" w:rsidRDefault="00AA2752" w:rsidP="00AA2752">
      <w:pPr>
        <w:pStyle w:val="MDPI16affiliation"/>
        <w:spacing w:line="240" w:lineRule="auto"/>
        <w:rPr>
          <w:rFonts w:asciiTheme="majorBidi" w:hAnsiTheme="majorBidi" w:cstheme="majorBidi"/>
          <w:color w:val="auto"/>
          <w:sz w:val="20"/>
          <w:szCs w:val="20"/>
        </w:rPr>
      </w:pPr>
      <w:r w:rsidRPr="007C4516">
        <w:rPr>
          <w:rFonts w:asciiTheme="majorBidi" w:hAnsiTheme="majorBidi" w:cstheme="majorBidi"/>
          <w:color w:val="auto"/>
          <w:sz w:val="20"/>
          <w:szCs w:val="20"/>
          <w:vertAlign w:val="superscript"/>
        </w:rPr>
        <w:t>3</w:t>
      </w:r>
      <w:r w:rsidRPr="007C4516">
        <w:rPr>
          <w:rFonts w:asciiTheme="majorBidi" w:hAnsiTheme="majorBidi" w:cstheme="majorBidi"/>
          <w:color w:val="auto"/>
          <w:sz w:val="20"/>
          <w:szCs w:val="20"/>
        </w:rPr>
        <w:t>Mechanical and Industrial Engineering, College of Engineering, Qatar University, Doha, Qatar</w:t>
      </w:r>
    </w:p>
    <w:p w14:paraId="104644F8" w14:textId="77777777" w:rsidR="00AA2752" w:rsidRDefault="00AA2752" w:rsidP="00AA2752">
      <w:pPr>
        <w:pStyle w:val="MDPI16affiliation"/>
        <w:spacing w:line="240" w:lineRule="auto"/>
        <w:rPr>
          <w:rFonts w:asciiTheme="majorBidi" w:hAnsiTheme="majorBidi" w:cstheme="majorBidi"/>
          <w:color w:val="auto"/>
          <w:sz w:val="20"/>
          <w:szCs w:val="20"/>
        </w:rPr>
      </w:pPr>
      <w:r w:rsidRPr="007C4516">
        <w:rPr>
          <w:rFonts w:asciiTheme="majorBidi" w:hAnsiTheme="majorBidi" w:cstheme="majorBidi"/>
          <w:color w:val="auto"/>
          <w:sz w:val="20"/>
          <w:szCs w:val="20"/>
          <w:vertAlign w:val="superscript"/>
        </w:rPr>
        <w:t>4</w:t>
      </w:r>
      <w:r w:rsidRPr="007C4516">
        <w:rPr>
          <w:rFonts w:asciiTheme="majorBidi" w:hAnsiTheme="majorBidi" w:cstheme="majorBidi"/>
          <w:sz w:val="20"/>
          <w:szCs w:val="20"/>
        </w:rPr>
        <w:t xml:space="preserve">Qatar </w:t>
      </w:r>
      <w:r w:rsidRPr="007C4516">
        <w:rPr>
          <w:rFonts w:asciiTheme="majorBidi" w:hAnsiTheme="majorBidi" w:cstheme="majorBidi"/>
          <w:color w:val="auto"/>
          <w:sz w:val="20"/>
          <w:szCs w:val="20"/>
        </w:rPr>
        <w:t xml:space="preserve">Transportation and Traffic Safety Center, College of Engineering, Qatar University, Doha, Qatar </w:t>
      </w:r>
    </w:p>
    <w:bookmarkEnd w:id="2"/>
    <w:p w14:paraId="72D087AD" w14:textId="77777777" w:rsidR="00AA2752" w:rsidRDefault="00AA2752" w:rsidP="00AA2752">
      <w:pPr>
        <w:pStyle w:val="MDPI16affiliation"/>
        <w:spacing w:line="240" w:lineRule="auto"/>
        <w:rPr>
          <w:rFonts w:asciiTheme="majorBidi" w:hAnsiTheme="majorBidi" w:cstheme="majorBidi"/>
          <w:color w:val="auto"/>
          <w:sz w:val="20"/>
          <w:szCs w:val="20"/>
        </w:rPr>
      </w:pPr>
      <w:r>
        <w:rPr>
          <w:rFonts w:asciiTheme="majorBidi" w:hAnsiTheme="majorBidi" w:cstheme="majorBidi"/>
          <w:b/>
          <w:bCs/>
          <w:color w:val="auto"/>
          <w:sz w:val="20"/>
          <w:szCs w:val="20"/>
        </w:rPr>
        <w:t>*Corresponding Author</w:t>
      </w:r>
      <w:r>
        <w:rPr>
          <w:rFonts w:asciiTheme="majorBidi" w:hAnsiTheme="majorBidi" w:cstheme="majorBidi"/>
          <w:color w:val="auto"/>
          <w:sz w:val="20"/>
          <w:szCs w:val="20"/>
        </w:rPr>
        <w:t xml:space="preserve">: </w:t>
      </w:r>
      <w:r w:rsidRPr="00361C61">
        <w:rPr>
          <w:rFonts w:asciiTheme="majorBidi" w:hAnsiTheme="majorBidi" w:cstheme="majorBidi"/>
          <w:color w:val="auto"/>
          <w:sz w:val="20"/>
          <w:szCs w:val="20"/>
        </w:rPr>
        <w:t>M</w:t>
      </w:r>
      <w:r>
        <w:rPr>
          <w:rFonts w:asciiTheme="majorBidi" w:hAnsiTheme="majorBidi" w:cstheme="majorBidi"/>
          <w:color w:val="auto"/>
          <w:sz w:val="20"/>
          <w:szCs w:val="20"/>
        </w:rPr>
        <w:t xml:space="preserve">urat </w:t>
      </w:r>
      <w:r w:rsidRPr="00361C61">
        <w:rPr>
          <w:rFonts w:asciiTheme="majorBidi" w:hAnsiTheme="majorBidi" w:cstheme="majorBidi"/>
          <w:color w:val="auto"/>
          <w:sz w:val="20"/>
          <w:szCs w:val="20"/>
        </w:rPr>
        <w:t>Kucukvar (mkucukvar@qu.edu.qa)</w:t>
      </w:r>
    </w:p>
    <w:bookmarkEnd w:id="0"/>
    <w:p w14:paraId="00E3CE95" w14:textId="77777777" w:rsidR="006C5F45" w:rsidRPr="00BA6307" w:rsidRDefault="006C5F45" w:rsidP="00D27EB9">
      <w:pPr>
        <w:pStyle w:val="MDPI16affiliation"/>
        <w:rPr>
          <w:rFonts w:asciiTheme="majorBidi" w:hAnsiTheme="majorBidi" w:cstheme="majorBidi"/>
          <w:bCs/>
          <w:i/>
          <w:iCs/>
          <w:sz w:val="20"/>
          <w:szCs w:val="24"/>
        </w:rPr>
      </w:pPr>
    </w:p>
    <w:p w14:paraId="0D4D77CC" w14:textId="77777777" w:rsidR="00D27EB9" w:rsidRPr="00BA6307" w:rsidRDefault="00D27EB9" w:rsidP="00D27EB9">
      <w:pPr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6FF973C5" w14:textId="77777777" w:rsidR="00D27EB9" w:rsidRDefault="00D27EB9" w:rsidP="00D27EB9">
      <w:pPr>
        <w:rPr>
          <w:rFonts w:ascii="Book Antiqua" w:hAnsi="Book Antiqua" w:cstheme="majorBidi"/>
          <w:bCs/>
          <w:szCs w:val="24"/>
          <w:vertAlign w:val="superscript"/>
        </w:rPr>
      </w:pPr>
    </w:p>
    <w:p w14:paraId="4FDB4247" w14:textId="77777777" w:rsidR="00D27EB9" w:rsidRDefault="00D27EB9" w:rsidP="00D27EB9">
      <w:pPr>
        <w:rPr>
          <w:rFonts w:ascii="Book Antiqua" w:hAnsi="Book Antiqua" w:cstheme="majorBidi"/>
          <w:bCs/>
          <w:szCs w:val="24"/>
          <w:vertAlign w:val="superscript"/>
        </w:rPr>
      </w:pPr>
    </w:p>
    <w:p w14:paraId="298A856C" w14:textId="77777777" w:rsidR="00D27EB9" w:rsidRDefault="00D27EB9" w:rsidP="00D27EB9">
      <w:pPr>
        <w:rPr>
          <w:rFonts w:ascii="Book Antiqua" w:hAnsi="Book Antiqua" w:cstheme="majorBidi"/>
          <w:bCs/>
          <w:szCs w:val="24"/>
          <w:vertAlign w:val="superscript"/>
        </w:rPr>
      </w:pPr>
    </w:p>
    <w:p w14:paraId="422D3BBA" w14:textId="77777777" w:rsidR="00D27EB9" w:rsidRDefault="00D27EB9" w:rsidP="00D27EB9">
      <w:pPr>
        <w:rPr>
          <w:rFonts w:ascii="Book Antiqua" w:hAnsi="Book Antiqua" w:cstheme="majorBidi"/>
          <w:bCs/>
          <w:szCs w:val="24"/>
          <w:vertAlign w:val="superscript"/>
        </w:rPr>
      </w:pPr>
    </w:p>
    <w:p w14:paraId="5C5930F3" w14:textId="77777777" w:rsidR="00D27EB9" w:rsidRDefault="00D27EB9" w:rsidP="00D27EB9">
      <w:pPr>
        <w:rPr>
          <w:rFonts w:ascii="Book Antiqua" w:hAnsi="Book Antiqua" w:cstheme="majorBidi"/>
          <w:bCs/>
          <w:szCs w:val="24"/>
          <w:vertAlign w:val="superscript"/>
        </w:rPr>
      </w:pPr>
    </w:p>
    <w:p w14:paraId="64B7C712" w14:textId="77777777" w:rsidR="00D27EB9" w:rsidRDefault="00D27EB9" w:rsidP="00D27EB9">
      <w:pPr>
        <w:rPr>
          <w:rFonts w:ascii="Book Antiqua" w:hAnsi="Book Antiqua" w:cstheme="majorBidi"/>
          <w:bCs/>
          <w:szCs w:val="24"/>
          <w:vertAlign w:val="superscript"/>
        </w:rPr>
      </w:pPr>
    </w:p>
    <w:p w14:paraId="795CF3D9" w14:textId="77777777" w:rsidR="00D27EB9" w:rsidRDefault="00D27EB9" w:rsidP="00D27EB9"/>
    <w:p w14:paraId="7E03C4C3" w14:textId="77777777" w:rsidR="00D27EB9" w:rsidRDefault="00D27EB9" w:rsidP="00D27EB9"/>
    <w:p w14:paraId="71A073A2" w14:textId="77777777" w:rsidR="00D27EB9" w:rsidRDefault="00D27EB9" w:rsidP="00D27EB9"/>
    <w:p w14:paraId="3381055D" w14:textId="77777777" w:rsidR="00D27EB9" w:rsidRDefault="00D27EB9" w:rsidP="00D27EB9"/>
    <w:p w14:paraId="77B78FD5" w14:textId="77777777" w:rsidR="00D27EB9" w:rsidRDefault="00D27EB9" w:rsidP="00D27EB9"/>
    <w:p w14:paraId="5815D06B" w14:textId="77777777" w:rsidR="00D27EB9" w:rsidRDefault="00D27EB9" w:rsidP="00D27EB9"/>
    <w:p w14:paraId="57E98464" w14:textId="77777777" w:rsidR="00D27EB9" w:rsidRDefault="00D27EB9" w:rsidP="00D27EB9"/>
    <w:p w14:paraId="3488E345" w14:textId="77777777" w:rsidR="00D27EB9" w:rsidRDefault="00D27EB9" w:rsidP="00D27EB9"/>
    <w:p w14:paraId="028399F9" w14:textId="77777777" w:rsidR="00D27EB9" w:rsidRDefault="00D27EB9" w:rsidP="00D27EB9"/>
    <w:p w14:paraId="0DB69903" w14:textId="77777777" w:rsidR="00D27EB9" w:rsidRDefault="00D27EB9" w:rsidP="00D27EB9"/>
    <w:p w14:paraId="1CB2946C" w14:textId="77777777" w:rsidR="00D27EB9" w:rsidRDefault="00D27EB9" w:rsidP="00D27EB9"/>
    <w:sdt>
      <w:sdtPr>
        <w:rPr>
          <w:rFonts w:asciiTheme="majorBidi" w:eastAsiaTheme="minorHAnsi" w:hAnsiTheme="majorBidi" w:cstheme="minorBidi"/>
          <w:b/>
          <w:bCs/>
          <w:color w:val="auto"/>
          <w:sz w:val="22"/>
          <w:szCs w:val="22"/>
        </w:rPr>
        <w:id w:val="885299998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09F4B8C5" w14:textId="77777777" w:rsidR="00D27EB9" w:rsidRPr="009B0536" w:rsidRDefault="00D27EB9" w:rsidP="00D27EB9">
          <w:pPr>
            <w:pStyle w:val="TOCHeading"/>
            <w:jc w:val="center"/>
            <w:rPr>
              <w:rFonts w:asciiTheme="majorBidi" w:hAnsiTheme="majorBidi"/>
              <w:b/>
              <w:bCs/>
              <w:color w:val="auto"/>
            </w:rPr>
          </w:pPr>
          <w:r w:rsidRPr="009B0536">
            <w:rPr>
              <w:rFonts w:asciiTheme="majorBidi" w:hAnsiTheme="majorBidi"/>
              <w:b/>
              <w:bCs/>
              <w:color w:val="auto"/>
            </w:rPr>
            <w:t>TABLE OF CONTENTS</w:t>
          </w:r>
        </w:p>
        <w:p w14:paraId="0C6126A0" w14:textId="77777777" w:rsidR="00D27EB9" w:rsidRPr="009B0536" w:rsidRDefault="00D27EB9" w:rsidP="00D27EB9">
          <w:pPr>
            <w:rPr>
              <w:rFonts w:asciiTheme="majorBidi" w:hAnsiTheme="majorBidi" w:cstheme="majorBidi"/>
            </w:rPr>
          </w:pPr>
        </w:p>
        <w:p w14:paraId="2FCAD555" w14:textId="4FD3716C" w:rsidR="00762042" w:rsidRDefault="00D27EB9">
          <w:pPr>
            <w:pStyle w:val="TOC1"/>
            <w:tabs>
              <w:tab w:val="left" w:pos="440"/>
              <w:tab w:val="right" w:leader="dot" w:pos="8746"/>
            </w:tabs>
            <w:rPr>
              <w:rFonts w:eastAsiaTheme="minorEastAsia"/>
              <w:noProof/>
              <w:lang w:val="en-GB" w:eastAsia="en-GB"/>
            </w:rPr>
          </w:pPr>
          <w:r w:rsidRPr="009B0536">
            <w:rPr>
              <w:rFonts w:asciiTheme="majorBidi" w:hAnsiTheme="majorBidi" w:cstheme="majorBidi"/>
              <w:b/>
              <w:bCs/>
              <w:noProof/>
            </w:rPr>
            <w:fldChar w:fldCharType="begin"/>
          </w:r>
          <w:r w:rsidRPr="009B0536">
            <w:rPr>
              <w:rFonts w:asciiTheme="majorBidi" w:hAnsiTheme="majorBidi" w:cstheme="majorBidi"/>
              <w:b/>
              <w:bCs/>
              <w:noProof/>
            </w:rPr>
            <w:instrText xml:space="preserve"> TOC \o "1-3" \h \z \u </w:instrText>
          </w:r>
          <w:r w:rsidRPr="009B0536">
            <w:rPr>
              <w:rFonts w:asciiTheme="majorBidi" w:hAnsiTheme="majorBidi" w:cstheme="majorBidi"/>
              <w:b/>
              <w:bCs/>
              <w:noProof/>
            </w:rPr>
            <w:fldChar w:fldCharType="separate"/>
          </w:r>
          <w:hyperlink w:anchor="_Toc103431421" w:history="1">
            <w:r w:rsidR="00762042" w:rsidRPr="0027380A">
              <w:rPr>
                <w:rStyle w:val="Hyperlink"/>
                <w:rFonts w:asciiTheme="majorBidi" w:hAnsiTheme="majorBidi"/>
                <w:noProof/>
              </w:rPr>
              <w:t>1.</w:t>
            </w:r>
            <w:r w:rsidR="00762042">
              <w:rPr>
                <w:rFonts w:eastAsiaTheme="minorEastAsia"/>
                <w:noProof/>
                <w:lang w:val="en-GB" w:eastAsia="en-GB"/>
              </w:rPr>
              <w:tab/>
            </w:r>
            <w:r w:rsidR="00762042" w:rsidRPr="0027380A">
              <w:rPr>
                <w:rStyle w:val="Hyperlink"/>
                <w:rFonts w:asciiTheme="majorBidi" w:hAnsiTheme="majorBidi"/>
                <w:noProof/>
              </w:rPr>
              <w:t>Cumulative sustainability assessment detailed results:</w:t>
            </w:r>
            <w:r w:rsidR="00762042">
              <w:rPr>
                <w:noProof/>
                <w:webHidden/>
              </w:rPr>
              <w:tab/>
            </w:r>
            <w:r w:rsidR="00762042">
              <w:rPr>
                <w:noProof/>
                <w:webHidden/>
              </w:rPr>
              <w:fldChar w:fldCharType="begin"/>
            </w:r>
            <w:r w:rsidR="00762042">
              <w:rPr>
                <w:noProof/>
                <w:webHidden/>
              </w:rPr>
              <w:instrText xml:space="preserve"> PAGEREF _Toc103431421 \h </w:instrText>
            </w:r>
            <w:r w:rsidR="00762042">
              <w:rPr>
                <w:noProof/>
                <w:webHidden/>
              </w:rPr>
            </w:r>
            <w:r w:rsidR="00762042">
              <w:rPr>
                <w:noProof/>
                <w:webHidden/>
              </w:rPr>
              <w:fldChar w:fldCharType="separate"/>
            </w:r>
            <w:r w:rsidR="00762042">
              <w:rPr>
                <w:noProof/>
                <w:webHidden/>
              </w:rPr>
              <w:t>3</w:t>
            </w:r>
            <w:r w:rsidR="00762042">
              <w:rPr>
                <w:noProof/>
                <w:webHidden/>
              </w:rPr>
              <w:fldChar w:fldCharType="end"/>
            </w:r>
          </w:hyperlink>
        </w:p>
        <w:p w14:paraId="1E804244" w14:textId="1366F2B3" w:rsidR="00D27EB9" w:rsidRPr="00855F84" w:rsidRDefault="00D27EB9" w:rsidP="00D27EB9">
          <w:pPr>
            <w:rPr>
              <w:rFonts w:ascii="Book Antiqua" w:hAnsi="Book Antiqua" w:cstheme="majorBidi"/>
            </w:rPr>
          </w:pPr>
          <w:r w:rsidRPr="009B0536">
            <w:rPr>
              <w:rFonts w:asciiTheme="majorBidi" w:hAnsiTheme="majorBidi" w:cstheme="majorBidi"/>
              <w:b/>
              <w:bCs/>
              <w:noProof/>
            </w:rPr>
            <w:fldChar w:fldCharType="end"/>
          </w:r>
        </w:p>
      </w:sdtContent>
    </w:sdt>
    <w:p w14:paraId="397ADA0F" w14:textId="77777777" w:rsidR="00D27EB9" w:rsidRPr="00855F84" w:rsidRDefault="00D27EB9" w:rsidP="00D27EB9">
      <w:pPr>
        <w:spacing w:after="0" w:line="276" w:lineRule="auto"/>
        <w:jc w:val="both"/>
        <w:rPr>
          <w:rFonts w:ascii="Book Antiqua" w:hAnsi="Book Antiqua" w:cstheme="majorBidi"/>
          <w:sz w:val="24"/>
          <w:szCs w:val="24"/>
        </w:rPr>
      </w:pPr>
    </w:p>
    <w:p w14:paraId="390C437F" w14:textId="77777777" w:rsidR="00D27EB9" w:rsidRPr="00855F84" w:rsidRDefault="00D27EB9" w:rsidP="00D27EB9">
      <w:pPr>
        <w:spacing w:after="0" w:line="276" w:lineRule="auto"/>
        <w:jc w:val="both"/>
        <w:rPr>
          <w:rFonts w:ascii="Book Antiqua" w:hAnsi="Book Antiqua" w:cstheme="majorBidi"/>
          <w:sz w:val="24"/>
          <w:szCs w:val="24"/>
        </w:rPr>
      </w:pPr>
    </w:p>
    <w:p w14:paraId="50516C98" w14:textId="485FF235" w:rsidR="00D27EB9" w:rsidRPr="00855F84" w:rsidRDefault="00D27EB9" w:rsidP="00D27EB9">
      <w:pPr>
        <w:pStyle w:val="NoSpacing"/>
        <w:rPr>
          <w:rFonts w:ascii="Book Antiqua" w:hAnsi="Book Antiqua"/>
        </w:rPr>
      </w:pPr>
    </w:p>
    <w:p w14:paraId="5EBFE4C6" w14:textId="77777777" w:rsidR="00D27EB9" w:rsidRPr="00855F84" w:rsidRDefault="00D27EB9">
      <w:pPr>
        <w:rPr>
          <w:rFonts w:ascii="Book Antiqua" w:hAnsi="Book Antiqua" w:cstheme="majorBidi"/>
          <w:b/>
          <w:bCs/>
          <w:sz w:val="24"/>
          <w:szCs w:val="24"/>
        </w:rPr>
      </w:pPr>
      <w:r w:rsidRPr="00855F84">
        <w:rPr>
          <w:rFonts w:ascii="Book Antiqua" w:hAnsi="Book Antiqua"/>
        </w:rPr>
        <w:br w:type="page"/>
      </w:r>
    </w:p>
    <w:p w14:paraId="6E8B46C1" w14:textId="75AAC7B0" w:rsidR="00BA6307" w:rsidRPr="00762042" w:rsidRDefault="002067C7" w:rsidP="00762042">
      <w:pPr>
        <w:pStyle w:val="Head1"/>
        <w:numPr>
          <w:ilvl w:val="0"/>
          <w:numId w:val="4"/>
        </w:numPr>
        <w:spacing w:line="480" w:lineRule="auto"/>
        <w:rPr>
          <w:rFonts w:asciiTheme="majorBidi" w:hAnsiTheme="majorBidi"/>
          <w:sz w:val="22"/>
          <w:szCs w:val="22"/>
        </w:rPr>
      </w:pPr>
      <w:bookmarkStart w:id="4" w:name="_Toc103431421"/>
      <w:r w:rsidRPr="00762042">
        <w:rPr>
          <w:rFonts w:asciiTheme="majorBidi" w:hAnsiTheme="majorBidi"/>
          <w:sz w:val="22"/>
          <w:szCs w:val="22"/>
        </w:rPr>
        <w:lastRenderedPageBreak/>
        <w:t>Cumulative sustainability assessment detailed results</w:t>
      </w:r>
      <w:r w:rsidR="00BA6307" w:rsidRPr="00762042">
        <w:rPr>
          <w:rFonts w:asciiTheme="majorBidi" w:hAnsiTheme="majorBidi"/>
          <w:sz w:val="22"/>
          <w:szCs w:val="22"/>
        </w:rPr>
        <w:t>:</w:t>
      </w:r>
      <w:bookmarkEnd w:id="4"/>
    </w:p>
    <w:p w14:paraId="066AD2E2" w14:textId="1C2A4E5C" w:rsidR="000531C4" w:rsidRDefault="00BA6307" w:rsidP="009B0536">
      <w:pPr>
        <w:spacing w:before="240" w:line="480" w:lineRule="auto"/>
        <w:ind w:firstLine="720"/>
        <w:jc w:val="both"/>
        <w:rPr>
          <w:rFonts w:asciiTheme="majorBidi" w:hAnsiTheme="majorBidi" w:cstheme="majorBidi"/>
        </w:rPr>
      </w:pPr>
      <w:r w:rsidRPr="006171F0">
        <w:rPr>
          <w:rFonts w:asciiTheme="majorBidi" w:hAnsiTheme="majorBidi" w:cstheme="majorBidi"/>
        </w:rPr>
        <w:t>The results in Table</w:t>
      </w:r>
      <w:r w:rsidR="00F857ED">
        <w:rPr>
          <w:rFonts w:asciiTheme="majorBidi" w:hAnsiTheme="majorBidi" w:cstheme="majorBidi"/>
        </w:rPr>
        <w:t>s</w:t>
      </w:r>
      <w:r w:rsidRPr="006171F0">
        <w:rPr>
          <w:rFonts w:asciiTheme="majorBidi" w:hAnsiTheme="majorBidi" w:cstheme="majorBidi"/>
        </w:rPr>
        <w:t xml:space="preserve"> </w:t>
      </w:r>
      <w:r w:rsidRPr="006E718A">
        <w:rPr>
          <w:rFonts w:asciiTheme="majorBidi" w:hAnsiTheme="majorBidi" w:cstheme="majorBidi"/>
        </w:rPr>
        <w:t>4</w:t>
      </w:r>
      <w:r w:rsidR="00F857ED">
        <w:rPr>
          <w:rFonts w:asciiTheme="majorBidi" w:hAnsiTheme="majorBidi" w:cstheme="majorBidi"/>
        </w:rPr>
        <w:t>, 5, and 6</w:t>
      </w:r>
      <w:r w:rsidRPr="006E718A">
        <w:rPr>
          <w:rFonts w:asciiTheme="majorBidi" w:hAnsiTheme="majorBidi" w:cstheme="majorBidi"/>
        </w:rPr>
        <w:t xml:space="preserve"> show </w:t>
      </w:r>
      <w:r w:rsidR="00F857ED">
        <w:rPr>
          <w:rFonts w:asciiTheme="majorBidi" w:hAnsiTheme="majorBidi" w:cstheme="majorBidi"/>
        </w:rPr>
        <w:t>each stage's negative and positive impacts</w:t>
      </w:r>
      <w:r w:rsidR="006E718A">
        <w:rPr>
          <w:rFonts w:asciiTheme="majorBidi" w:hAnsiTheme="majorBidi" w:cstheme="majorBidi"/>
        </w:rPr>
        <w:t xml:space="preserve"> in the LNG process chain</w:t>
      </w:r>
      <w:r w:rsidR="00F857ED">
        <w:rPr>
          <w:rFonts w:asciiTheme="majorBidi" w:hAnsiTheme="majorBidi" w:cstheme="majorBidi"/>
        </w:rPr>
        <w:t>, the contribution of each stage, and the final scoring</w:t>
      </w:r>
      <w:r w:rsidR="006E718A">
        <w:rPr>
          <w:rFonts w:asciiTheme="majorBidi" w:hAnsiTheme="majorBidi" w:cstheme="majorBidi"/>
        </w:rPr>
        <w:t>. The cumulative sus</w:t>
      </w:r>
      <w:r w:rsidR="00F857ED">
        <w:rPr>
          <w:rFonts w:asciiTheme="majorBidi" w:hAnsiTheme="majorBidi" w:cstheme="majorBidi"/>
        </w:rPr>
        <w:t>tai</w:t>
      </w:r>
      <w:r w:rsidR="006E718A">
        <w:rPr>
          <w:rFonts w:asciiTheme="majorBidi" w:hAnsiTheme="majorBidi" w:cstheme="majorBidi"/>
        </w:rPr>
        <w:t>nability asses</w:t>
      </w:r>
      <w:r w:rsidR="00F857ED">
        <w:rPr>
          <w:rFonts w:asciiTheme="majorBidi" w:hAnsiTheme="majorBidi" w:cstheme="majorBidi"/>
        </w:rPr>
        <w:t>smen</w:t>
      </w:r>
      <w:r w:rsidR="006E718A">
        <w:rPr>
          <w:rFonts w:asciiTheme="majorBidi" w:hAnsiTheme="majorBidi" w:cstheme="majorBidi"/>
        </w:rPr>
        <w:t>t method</w:t>
      </w:r>
      <w:r w:rsidR="00F857ED">
        <w:rPr>
          <w:rFonts w:asciiTheme="majorBidi" w:hAnsiTheme="majorBidi" w:cstheme="majorBidi"/>
        </w:rPr>
        <w:t>olog</w:t>
      </w:r>
      <w:r w:rsidR="006E718A">
        <w:rPr>
          <w:rFonts w:asciiTheme="majorBidi" w:hAnsiTheme="majorBidi" w:cstheme="majorBidi"/>
        </w:rPr>
        <w:t>y was followed</w:t>
      </w:r>
      <w:r w:rsidR="00F857ED">
        <w:rPr>
          <w:rFonts w:asciiTheme="majorBidi" w:hAnsiTheme="majorBidi" w:cstheme="majorBidi"/>
        </w:rPr>
        <w:t>,</w:t>
      </w:r>
      <w:r w:rsidR="006E718A">
        <w:rPr>
          <w:rFonts w:asciiTheme="majorBidi" w:hAnsiTheme="majorBidi" w:cstheme="majorBidi"/>
        </w:rPr>
        <w:t xml:space="preserve"> and </w:t>
      </w:r>
      <w:r w:rsidR="00F857ED">
        <w:rPr>
          <w:rFonts w:asciiTheme="majorBidi" w:hAnsiTheme="majorBidi" w:cstheme="majorBidi"/>
        </w:rPr>
        <w:t xml:space="preserve">the </w:t>
      </w:r>
      <w:r w:rsidR="006E718A">
        <w:rPr>
          <w:rFonts w:asciiTheme="majorBidi" w:hAnsiTheme="majorBidi" w:cstheme="majorBidi"/>
        </w:rPr>
        <w:t xml:space="preserve">following are </w:t>
      </w:r>
      <w:r w:rsidR="000531C4">
        <w:rPr>
          <w:rFonts w:asciiTheme="majorBidi" w:hAnsiTheme="majorBidi" w:cstheme="majorBidi"/>
        </w:rPr>
        <w:t xml:space="preserve">the main results. </w:t>
      </w:r>
      <w:r w:rsidR="000531C4">
        <w:rPr>
          <w:rFonts w:asciiTheme="majorBidi" w:hAnsiTheme="majorBidi" w:cstheme="majorBidi"/>
        </w:rPr>
        <w:br w:type="page"/>
      </w:r>
    </w:p>
    <w:p w14:paraId="77203338" w14:textId="77777777" w:rsidR="000531C4" w:rsidRDefault="000531C4">
      <w:pPr>
        <w:rPr>
          <w:rFonts w:asciiTheme="majorBidi" w:hAnsiTheme="majorBidi" w:cstheme="majorBidi"/>
        </w:rPr>
        <w:sectPr w:rsidR="000531C4" w:rsidSect="00874EF4">
          <w:footerReference w:type="default" r:id="rId8"/>
          <w:pgSz w:w="11906" w:h="16838"/>
          <w:pgMar w:top="1440" w:right="1800" w:bottom="1440" w:left="1350" w:header="706" w:footer="706" w:gutter="0"/>
          <w:cols w:space="708"/>
          <w:docGrid w:linePitch="360"/>
        </w:sectPr>
      </w:pPr>
    </w:p>
    <w:tbl>
      <w:tblPr>
        <w:tblStyle w:val="PlainTable2"/>
        <w:tblpPr w:leftFromText="180" w:rightFromText="180" w:tblpY="500"/>
        <w:tblW w:w="5000" w:type="pct"/>
        <w:tblLook w:val="04A0" w:firstRow="1" w:lastRow="0" w:firstColumn="1" w:lastColumn="0" w:noHBand="0" w:noVBand="1"/>
      </w:tblPr>
      <w:tblGrid>
        <w:gridCol w:w="2704"/>
        <w:gridCol w:w="1448"/>
        <w:gridCol w:w="1734"/>
        <w:gridCol w:w="1382"/>
        <w:gridCol w:w="1734"/>
        <w:gridCol w:w="1734"/>
        <w:gridCol w:w="1633"/>
        <w:gridCol w:w="1734"/>
        <w:gridCol w:w="1734"/>
        <w:gridCol w:w="1734"/>
        <w:gridCol w:w="1734"/>
        <w:gridCol w:w="1633"/>
      </w:tblGrid>
      <w:tr w:rsidR="000531C4" w:rsidRPr="003814FB" w14:paraId="431EFC6A" w14:textId="77777777" w:rsidTr="00BE39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pct"/>
            <w:noWrap/>
            <w:vAlign w:val="center"/>
            <w:hideMark/>
          </w:tcPr>
          <w:p w14:paraId="011A9495" w14:textId="77777777" w:rsidR="000531C4" w:rsidRPr="000531C4" w:rsidRDefault="000531C4" w:rsidP="00BE39F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46" w:type="pct"/>
            <w:noWrap/>
            <w:vAlign w:val="center"/>
            <w:hideMark/>
          </w:tcPr>
          <w:p w14:paraId="73C2C4DC" w14:textId="77777777" w:rsidR="000531C4" w:rsidRPr="000531C4" w:rsidRDefault="000531C4" w:rsidP="00BE39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Units</w:t>
            </w:r>
          </w:p>
        </w:tc>
        <w:tc>
          <w:tcPr>
            <w:tcW w:w="414" w:type="pct"/>
            <w:vAlign w:val="center"/>
            <w:hideMark/>
          </w:tcPr>
          <w:p w14:paraId="120716A0" w14:textId="77777777" w:rsidR="000531C4" w:rsidRPr="000531C4" w:rsidRDefault="000531C4" w:rsidP="00BE39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Natural gas extraction</w:t>
            </w:r>
          </w:p>
        </w:tc>
        <w:tc>
          <w:tcPr>
            <w:tcW w:w="330" w:type="pct"/>
            <w:vAlign w:val="center"/>
            <w:hideMark/>
          </w:tcPr>
          <w:p w14:paraId="34FBA9F4" w14:textId="77777777" w:rsidR="000531C4" w:rsidRPr="000531C4" w:rsidRDefault="000531C4" w:rsidP="00BE39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Pre-separation unit</w:t>
            </w:r>
          </w:p>
        </w:tc>
        <w:tc>
          <w:tcPr>
            <w:tcW w:w="414" w:type="pct"/>
            <w:vAlign w:val="center"/>
            <w:hideMark/>
          </w:tcPr>
          <w:p w14:paraId="35B3C777" w14:textId="77777777" w:rsidR="000531C4" w:rsidRPr="000531C4" w:rsidRDefault="000531C4" w:rsidP="00BE39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MDEA Sweetening unit</w:t>
            </w:r>
          </w:p>
        </w:tc>
        <w:tc>
          <w:tcPr>
            <w:tcW w:w="414" w:type="pct"/>
            <w:vAlign w:val="center"/>
            <w:hideMark/>
          </w:tcPr>
          <w:p w14:paraId="4CF7E131" w14:textId="77777777" w:rsidR="000531C4" w:rsidRPr="000531C4" w:rsidRDefault="000531C4" w:rsidP="00BE39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SRU and TGTU units</w:t>
            </w:r>
          </w:p>
        </w:tc>
        <w:tc>
          <w:tcPr>
            <w:tcW w:w="390" w:type="pct"/>
            <w:vAlign w:val="center"/>
            <w:hideMark/>
          </w:tcPr>
          <w:p w14:paraId="5C870125" w14:textId="77777777" w:rsidR="000531C4" w:rsidRPr="000531C4" w:rsidRDefault="000531C4" w:rsidP="00BE39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Dewatering unit</w:t>
            </w:r>
          </w:p>
        </w:tc>
        <w:tc>
          <w:tcPr>
            <w:tcW w:w="414" w:type="pct"/>
            <w:vAlign w:val="center"/>
            <w:hideMark/>
          </w:tcPr>
          <w:p w14:paraId="4243DB4F" w14:textId="77777777" w:rsidR="000531C4" w:rsidRPr="000531C4" w:rsidRDefault="000531C4" w:rsidP="00BE39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NGL recovery and fractionation units</w:t>
            </w:r>
          </w:p>
        </w:tc>
        <w:tc>
          <w:tcPr>
            <w:tcW w:w="414" w:type="pct"/>
            <w:vAlign w:val="center"/>
            <w:hideMark/>
          </w:tcPr>
          <w:p w14:paraId="40412AA2" w14:textId="77777777" w:rsidR="000531C4" w:rsidRPr="000531C4" w:rsidRDefault="000531C4" w:rsidP="00BE39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Liquefaction unit</w:t>
            </w:r>
          </w:p>
        </w:tc>
        <w:tc>
          <w:tcPr>
            <w:tcW w:w="414" w:type="pct"/>
            <w:vAlign w:val="center"/>
            <w:hideMark/>
          </w:tcPr>
          <w:p w14:paraId="1F0D66E4" w14:textId="77777777" w:rsidR="000531C4" w:rsidRPr="000531C4" w:rsidRDefault="000531C4" w:rsidP="00BE39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LNG loading (export terminal)</w:t>
            </w:r>
          </w:p>
        </w:tc>
        <w:tc>
          <w:tcPr>
            <w:tcW w:w="414" w:type="pct"/>
            <w:vAlign w:val="center"/>
            <w:hideMark/>
          </w:tcPr>
          <w:p w14:paraId="6030EABB" w14:textId="77777777" w:rsidR="000531C4" w:rsidRPr="000531C4" w:rsidRDefault="000531C4" w:rsidP="00BE39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LNG shipping</w:t>
            </w:r>
          </w:p>
        </w:tc>
        <w:tc>
          <w:tcPr>
            <w:tcW w:w="390" w:type="pct"/>
            <w:vAlign w:val="center"/>
            <w:hideMark/>
          </w:tcPr>
          <w:p w14:paraId="4FA9E0B9" w14:textId="77777777" w:rsidR="000531C4" w:rsidRPr="000531C4" w:rsidRDefault="000531C4" w:rsidP="00BE39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LNG receiving terminal</w:t>
            </w:r>
          </w:p>
        </w:tc>
      </w:tr>
      <w:tr w:rsidR="000531C4" w:rsidRPr="003814FB" w14:paraId="3F31D036" w14:textId="77777777" w:rsidTr="003814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12"/>
            <w:vAlign w:val="center"/>
            <w:hideMark/>
          </w:tcPr>
          <w:p w14:paraId="2F0DCB02" w14:textId="7E9F2AFF" w:rsidR="000531C4" w:rsidRPr="000531C4" w:rsidRDefault="000531C4" w:rsidP="003814FB">
            <w:pPr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Environmental indicators</w:t>
            </w:r>
            <w:r w:rsidR="003814FB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0531C4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(negative indicators)</w:t>
            </w:r>
          </w:p>
        </w:tc>
      </w:tr>
      <w:tr w:rsidR="000531C4" w:rsidRPr="003814FB" w14:paraId="17C3A97D" w14:textId="77777777" w:rsidTr="00BE39F5">
        <w:trPr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pct"/>
            <w:vAlign w:val="center"/>
            <w:hideMark/>
          </w:tcPr>
          <w:p w14:paraId="750D8234" w14:textId="62B7F6DB" w:rsidR="000531C4" w:rsidRPr="000531C4" w:rsidRDefault="000531C4" w:rsidP="00BE39F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Global Warming Potential</w:t>
            </w:r>
          </w:p>
        </w:tc>
        <w:tc>
          <w:tcPr>
            <w:tcW w:w="346" w:type="pct"/>
            <w:vAlign w:val="center"/>
            <w:hideMark/>
          </w:tcPr>
          <w:p w14:paraId="2248F5E2" w14:textId="77777777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kg CO</w:t>
            </w:r>
            <w:r w:rsidRPr="00BF5B7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vertAlign w:val="subscript"/>
                <w:lang w:val="en-GB" w:eastAsia="en-GB"/>
              </w:rPr>
              <w:t>2</w:t>
            </w: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-eq.</w:t>
            </w:r>
          </w:p>
        </w:tc>
        <w:tc>
          <w:tcPr>
            <w:tcW w:w="414" w:type="pct"/>
            <w:noWrap/>
            <w:vAlign w:val="center"/>
            <w:hideMark/>
          </w:tcPr>
          <w:p w14:paraId="640DB5A4" w14:textId="293551C6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53,648,395.34</w:t>
            </w:r>
          </w:p>
        </w:tc>
        <w:tc>
          <w:tcPr>
            <w:tcW w:w="330" w:type="pct"/>
            <w:noWrap/>
            <w:vAlign w:val="center"/>
            <w:hideMark/>
          </w:tcPr>
          <w:p w14:paraId="7CFE4CE9" w14:textId="6AE29C56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3,630,834.41</w:t>
            </w:r>
          </w:p>
        </w:tc>
        <w:tc>
          <w:tcPr>
            <w:tcW w:w="414" w:type="pct"/>
            <w:noWrap/>
            <w:vAlign w:val="center"/>
            <w:hideMark/>
          </w:tcPr>
          <w:p w14:paraId="42D97BE8" w14:textId="68C894BA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25,414,306,084.39</w:t>
            </w:r>
          </w:p>
        </w:tc>
        <w:tc>
          <w:tcPr>
            <w:tcW w:w="414" w:type="pct"/>
            <w:noWrap/>
            <w:vAlign w:val="center"/>
            <w:hideMark/>
          </w:tcPr>
          <w:p w14:paraId="2C735776" w14:textId="4EE6AB3C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569,820,482.48</w:t>
            </w:r>
          </w:p>
        </w:tc>
        <w:tc>
          <w:tcPr>
            <w:tcW w:w="390" w:type="pct"/>
            <w:noWrap/>
            <w:vAlign w:val="center"/>
            <w:hideMark/>
          </w:tcPr>
          <w:p w14:paraId="5FEF1E16" w14:textId="03232ADC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9,591,964,940.34</w:t>
            </w:r>
          </w:p>
        </w:tc>
        <w:tc>
          <w:tcPr>
            <w:tcW w:w="414" w:type="pct"/>
            <w:noWrap/>
            <w:vAlign w:val="center"/>
            <w:hideMark/>
          </w:tcPr>
          <w:p w14:paraId="7362121F" w14:textId="0257A5E3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65,316,380.97</w:t>
            </w:r>
          </w:p>
        </w:tc>
        <w:tc>
          <w:tcPr>
            <w:tcW w:w="414" w:type="pct"/>
            <w:noWrap/>
            <w:vAlign w:val="center"/>
            <w:hideMark/>
          </w:tcPr>
          <w:p w14:paraId="145E3131" w14:textId="119BAFBA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21,012,275,442.69</w:t>
            </w:r>
          </w:p>
        </w:tc>
        <w:tc>
          <w:tcPr>
            <w:tcW w:w="414" w:type="pct"/>
            <w:noWrap/>
            <w:vAlign w:val="center"/>
            <w:hideMark/>
          </w:tcPr>
          <w:p w14:paraId="7C91D713" w14:textId="551E543C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42,201,635,518.84</w:t>
            </w:r>
          </w:p>
        </w:tc>
        <w:tc>
          <w:tcPr>
            <w:tcW w:w="414" w:type="pct"/>
            <w:noWrap/>
            <w:vAlign w:val="center"/>
            <w:hideMark/>
          </w:tcPr>
          <w:p w14:paraId="01F4EF8A" w14:textId="1619FF25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742,164,478.68</w:t>
            </w:r>
          </w:p>
        </w:tc>
        <w:tc>
          <w:tcPr>
            <w:tcW w:w="390" w:type="pct"/>
            <w:noWrap/>
            <w:vAlign w:val="center"/>
            <w:hideMark/>
          </w:tcPr>
          <w:p w14:paraId="2C962985" w14:textId="76F514E5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4,933,090,400.29</w:t>
            </w:r>
          </w:p>
        </w:tc>
      </w:tr>
      <w:tr w:rsidR="000531C4" w:rsidRPr="003814FB" w14:paraId="57E8A224" w14:textId="77777777" w:rsidTr="00BE39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pct"/>
            <w:vAlign w:val="center"/>
            <w:hideMark/>
          </w:tcPr>
          <w:p w14:paraId="4849E68B" w14:textId="701DD0BB" w:rsidR="000531C4" w:rsidRPr="000531C4" w:rsidRDefault="000531C4" w:rsidP="00BE39F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Particulate Matter Formation Potential</w:t>
            </w:r>
          </w:p>
        </w:tc>
        <w:tc>
          <w:tcPr>
            <w:tcW w:w="346" w:type="pct"/>
            <w:vAlign w:val="center"/>
            <w:hideMark/>
          </w:tcPr>
          <w:p w14:paraId="561E3CEF" w14:textId="77777777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kg PM</w:t>
            </w:r>
            <w:r w:rsidRPr="00BF5B7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vertAlign w:val="subscript"/>
                <w:lang w:val="en-GB" w:eastAsia="en-GB"/>
              </w:rPr>
              <w:t>2.5</w:t>
            </w: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-eq.</w:t>
            </w:r>
          </w:p>
        </w:tc>
        <w:tc>
          <w:tcPr>
            <w:tcW w:w="414" w:type="pct"/>
            <w:noWrap/>
            <w:vAlign w:val="center"/>
            <w:hideMark/>
          </w:tcPr>
          <w:p w14:paraId="61147FE1" w14:textId="44800A0F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7,740.91</w:t>
            </w:r>
          </w:p>
        </w:tc>
        <w:tc>
          <w:tcPr>
            <w:tcW w:w="330" w:type="pct"/>
            <w:noWrap/>
            <w:vAlign w:val="center"/>
            <w:hideMark/>
          </w:tcPr>
          <w:p w14:paraId="6A7AB985" w14:textId="71930A4E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1,308,947.10</w:t>
            </w:r>
          </w:p>
        </w:tc>
        <w:tc>
          <w:tcPr>
            <w:tcW w:w="414" w:type="pct"/>
            <w:noWrap/>
            <w:vAlign w:val="center"/>
            <w:hideMark/>
          </w:tcPr>
          <w:p w14:paraId="012C1AE8" w14:textId="4B902697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67,015,269.55</w:t>
            </w:r>
          </w:p>
        </w:tc>
        <w:tc>
          <w:tcPr>
            <w:tcW w:w="414" w:type="pct"/>
            <w:noWrap/>
            <w:vAlign w:val="center"/>
            <w:hideMark/>
          </w:tcPr>
          <w:p w14:paraId="1410E5DD" w14:textId="557C852C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1,483,250,846.87</w:t>
            </w:r>
          </w:p>
        </w:tc>
        <w:tc>
          <w:tcPr>
            <w:tcW w:w="390" w:type="pct"/>
            <w:noWrap/>
            <w:vAlign w:val="center"/>
            <w:hideMark/>
          </w:tcPr>
          <w:p w14:paraId="674F0FDF" w14:textId="1C1A68C6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40,551,701.60</w:t>
            </w:r>
          </w:p>
        </w:tc>
        <w:tc>
          <w:tcPr>
            <w:tcW w:w="414" w:type="pct"/>
            <w:noWrap/>
            <w:vAlign w:val="center"/>
            <w:hideMark/>
          </w:tcPr>
          <w:p w14:paraId="5F20D961" w14:textId="6F23A427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33,094.41</w:t>
            </w:r>
          </w:p>
        </w:tc>
        <w:tc>
          <w:tcPr>
            <w:tcW w:w="414" w:type="pct"/>
            <w:noWrap/>
            <w:vAlign w:val="center"/>
            <w:hideMark/>
          </w:tcPr>
          <w:p w14:paraId="0A404E09" w14:textId="2961694C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79,849,788.70</w:t>
            </w:r>
          </w:p>
        </w:tc>
        <w:tc>
          <w:tcPr>
            <w:tcW w:w="414" w:type="pct"/>
            <w:noWrap/>
            <w:vAlign w:val="center"/>
            <w:hideMark/>
          </w:tcPr>
          <w:p w14:paraId="5FFE630B" w14:textId="4AB2CAAF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177,395,647.88</w:t>
            </w:r>
          </w:p>
        </w:tc>
        <w:tc>
          <w:tcPr>
            <w:tcW w:w="414" w:type="pct"/>
            <w:noWrap/>
            <w:vAlign w:val="center"/>
            <w:hideMark/>
          </w:tcPr>
          <w:p w14:paraId="3D2A8A8B" w14:textId="1EC32AC8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925,655.30</w:t>
            </w:r>
          </w:p>
        </w:tc>
        <w:tc>
          <w:tcPr>
            <w:tcW w:w="390" w:type="pct"/>
            <w:noWrap/>
            <w:vAlign w:val="center"/>
            <w:hideMark/>
          </w:tcPr>
          <w:p w14:paraId="2411BF67" w14:textId="61EE04CF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20,803,647.24</w:t>
            </w:r>
          </w:p>
        </w:tc>
      </w:tr>
      <w:tr w:rsidR="000531C4" w:rsidRPr="003814FB" w14:paraId="2096DE33" w14:textId="77777777" w:rsidTr="00BE39F5">
        <w:trPr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pct"/>
            <w:vAlign w:val="center"/>
            <w:hideMark/>
          </w:tcPr>
          <w:p w14:paraId="12A1231C" w14:textId="10A1C73A" w:rsidR="000531C4" w:rsidRPr="000531C4" w:rsidRDefault="000531C4" w:rsidP="00BE39F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Photochemical Oxidant Formation Potential</w:t>
            </w:r>
          </w:p>
        </w:tc>
        <w:tc>
          <w:tcPr>
            <w:tcW w:w="346" w:type="pct"/>
            <w:vAlign w:val="center"/>
            <w:hideMark/>
          </w:tcPr>
          <w:p w14:paraId="4ACCAF74" w14:textId="77777777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kg NO</w:t>
            </w:r>
            <w:r w:rsidRPr="00BF5B7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vertAlign w:val="subscript"/>
                <w:lang w:val="en-GB" w:eastAsia="en-GB"/>
              </w:rPr>
              <w:t>x</w:t>
            </w: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-eq.</w:t>
            </w:r>
          </w:p>
        </w:tc>
        <w:tc>
          <w:tcPr>
            <w:tcW w:w="414" w:type="pct"/>
            <w:noWrap/>
            <w:vAlign w:val="center"/>
            <w:hideMark/>
          </w:tcPr>
          <w:p w14:paraId="2973DD84" w14:textId="15B6DAC4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78,932.64</w:t>
            </w:r>
          </w:p>
        </w:tc>
        <w:tc>
          <w:tcPr>
            <w:tcW w:w="330" w:type="pct"/>
            <w:noWrap/>
            <w:vAlign w:val="center"/>
            <w:hideMark/>
          </w:tcPr>
          <w:p w14:paraId="5D05EBC4" w14:textId="69C9CDF2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14,129.75</w:t>
            </w:r>
          </w:p>
        </w:tc>
        <w:tc>
          <w:tcPr>
            <w:tcW w:w="414" w:type="pct"/>
            <w:noWrap/>
            <w:vAlign w:val="center"/>
            <w:hideMark/>
          </w:tcPr>
          <w:p w14:paraId="47329DBD" w14:textId="45E93279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367,511,207.61</w:t>
            </w:r>
          </w:p>
        </w:tc>
        <w:tc>
          <w:tcPr>
            <w:tcW w:w="414" w:type="pct"/>
            <w:noWrap/>
            <w:vAlign w:val="center"/>
            <w:hideMark/>
          </w:tcPr>
          <w:p w14:paraId="7BDA25D6" w14:textId="6C2C43B5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50,239,730.24</w:t>
            </w:r>
          </w:p>
        </w:tc>
        <w:tc>
          <w:tcPr>
            <w:tcW w:w="390" w:type="pct"/>
            <w:noWrap/>
            <w:vAlign w:val="center"/>
            <w:hideMark/>
          </w:tcPr>
          <w:p w14:paraId="7AEA7C33" w14:textId="057CB36E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226,246,569.61</w:t>
            </w:r>
          </w:p>
        </w:tc>
        <w:tc>
          <w:tcPr>
            <w:tcW w:w="414" w:type="pct"/>
            <w:noWrap/>
            <w:vAlign w:val="center"/>
            <w:hideMark/>
          </w:tcPr>
          <w:p w14:paraId="10AB9B4E" w14:textId="34068C47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118,701.79</w:t>
            </w:r>
          </w:p>
        </w:tc>
        <w:tc>
          <w:tcPr>
            <w:tcW w:w="414" w:type="pct"/>
            <w:noWrap/>
            <w:vAlign w:val="center"/>
            <w:hideMark/>
          </w:tcPr>
          <w:p w14:paraId="2271ACAB" w14:textId="0F098C91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469,812,499.27</w:t>
            </w:r>
          </w:p>
        </w:tc>
        <w:tc>
          <w:tcPr>
            <w:tcW w:w="414" w:type="pct"/>
            <w:noWrap/>
            <w:vAlign w:val="center"/>
            <w:hideMark/>
          </w:tcPr>
          <w:p w14:paraId="7DF9F1D6" w14:textId="60761AD7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1,043,728,533.51</w:t>
            </w:r>
          </w:p>
        </w:tc>
        <w:tc>
          <w:tcPr>
            <w:tcW w:w="414" w:type="pct"/>
            <w:noWrap/>
            <w:vAlign w:val="center"/>
            <w:hideMark/>
          </w:tcPr>
          <w:p w14:paraId="78BF9726" w14:textId="019D8E96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1,522,491.68</w:t>
            </w:r>
          </w:p>
        </w:tc>
        <w:tc>
          <w:tcPr>
            <w:tcW w:w="390" w:type="pct"/>
            <w:noWrap/>
            <w:vAlign w:val="center"/>
            <w:hideMark/>
          </w:tcPr>
          <w:p w14:paraId="6916891C" w14:textId="38938E5F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122,400,674.00</w:t>
            </w:r>
          </w:p>
        </w:tc>
      </w:tr>
      <w:tr w:rsidR="000531C4" w:rsidRPr="003814FB" w14:paraId="5787BF74" w14:textId="77777777" w:rsidTr="00BE39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pct"/>
            <w:vAlign w:val="center"/>
            <w:hideMark/>
          </w:tcPr>
          <w:p w14:paraId="56D71B00" w14:textId="01542A9D" w:rsidR="000531C4" w:rsidRPr="000531C4" w:rsidRDefault="000531C4" w:rsidP="00BE39F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 xml:space="preserve">Energy Consumption </w:t>
            </w:r>
          </w:p>
        </w:tc>
        <w:tc>
          <w:tcPr>
            <w:tcW w:w="346" w:type="pct"/>
            <w:vAlign w:val="center"/>
            <w:hideMark/>
          </w:tcPr>
          <w:p w14:paraId="1533ABFD" w14:textId="77777777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TJ</w:t>
            </w:r>
          </w:p>
        </w:tc>
        <w:tc>
          <w:tcPr>
            <w:tcW w:w="414" w:type="pct"/>
            <w:noWrap/>
            <w:vAlign w:val="center"/>
            <w:hideMark/>
          </w:tcPr>
          <w:p w14:paraId="7A59CC58" w14:textId="44CDB286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2,838.52</w:t>
            </w:r>
          </w:p>
        </w:tc>
        <w:tc>
          <w:tcPr>
            <w:tcW w:w="330" w:type="pct"/>
            <w:noWrap/>
            <w:vAlign w:val="center"/>
            <w:hideMark/>
          </w:tcPr>
          <w:p w14:paraId="62013817" w14:textId="09FCB07E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0.02</w:t>
            </w:r>
          </w:p>
        </w:tc>
        <w:tc>
          <w:tcPr>
            <w:tcW w:w="414" w:type="pct"/>
            <w:noWrap/>
            <w:vAlign w:val="center"/>
            <w:hideMark/>
          </w:tcPr>
          <w:p w14:paraId="63D1A863" w14:textId="599F49F5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0.05</w:t>
            </w:r>
          </w:p>
        </w:tc>
        <w:tc>
          <w:tcPr>
            <w:tcW w:w="414" w:type="pct"/>
            <w:noWrap/>
            <w:vAlign w:val="center"/>
            <w:hideMark/>
          </w:tcPr>
          <w:p w14:paraId="7D35DC97" w14:textId="4749FCB5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0.00</w:t>
            </w:r>
          </w:p>
        </w:tc>
        <w:tc>
          <w:tcPr>
            <w:tcW w:w="390" w:type="pct"/>
            <w:noWrap/>
            <w:vAlign w:val="center"/>
            <w:hideMark/>
          </w:tcPr>
          <w:p w14:paraId="165C8C03" w14:textId="03D8E8DC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0.02</w:t>
            </w:r>
          </w:p>
        </w:tc>
        <w:tc>
          <w:tcPr>
            <w:tcW w:w="414" w:type="pct"/>
            <w:noWrap/>
            <w:vAlign w:val="center"/>
            <w:hideMark/>
          </w:tcPr>
          <w:p w14:paraId="77740C01" w14:textId="036ED8F0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107.49</w:t>
            </w:r>
          </w:p>
        </w:tc>
        <w:tc>
          <w:tcPr>
            <w:tcW w:w="414" w:type="pct"/>
            <w:noWrap/>
            <w:vAlign w:val="center"/>
            <w:hideMark/>
          </w:tcPr>
          <w:p w14:paraId="39FD760E" w14:textId="62BDFA61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0.06</w:t>
            </w:r>
          </w:p>
        </w:tc>
        <w:tc>
          <w:tcPr>
            <w:tcW w:w="414" w:type="pct"/>
            <w:noWrap/>
            <w:vAlign w:val="center"/>
            <w:hideMark/>
          </w:tcPr>
          <w:p w14:paraId="4BA6BBF2" w14:textId="55AEF812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0.17</w:t>
            </w:r>
          </w:p>
        </w:tc>
        <w:tc>
          <w:tcPr>
            <w:tcW w:w="414" w:type="pct"/>
            <w:noWrap/>
            <w:vAlign w:val="center"/>
            <w:hideMark/>
          </w:tcPr>
          <w:p w14:paraId="568509FB" w14:textId="3CE78D8B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0.17</w:t>
            </w:r>
          </w:p>
        </w:tc>
        <w:tc>
          <w:tcPr>
            <w:tcW w:w="390" w:type="pct"/>
            <w:noWrap/>
            <w:vAlign w:val="center"/>
            <w:hideMark/>
          </w:tcPr>
          <w:p w14:paraId="48DCBE92" w14:textId="6FA30DCE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0.17</w:t>
            </w:r>
          </w:p>
        </w:tc>
      </w:tr>
      <w:tr w:rsidR="000531C4" w:rsidRPr="003814FB" w14:paraId="2759317D" w14:textId="77777777" w:rsidTr="00BE39F5">
        <w:trPr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pct"/>
            <w:vAlign w:val="center"/>
            <w:hideMark/>
          </w:tcPr>
          <w:p w14:paraId="0DC8ABDF" w14:textId="77777777" w:rsidR="000531C4" w:rsidRPr="000531C4" w:rsidRDefault="000531C4" w:rsidP="00BE39F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Land Used</w:t>
            </w:r>
          </w:p>
        </w:tc>
        <w:tc>
          <w:tcPr>
            <w:tcW w:w="346" w:type="pct"/>
            <w:vAlign w:val="center"/>
            <w:hideMark/>
          </w:tcPr>
          <w:p w14:paraId="66763E9C" w14:textId="77777777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Km</w:t>
            </w:r>
            <w:r w:rsidRPr="00BF5B7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vertAlign w:val="superscript"/>
                <w:lang w:val="en-GB" w:eastAsia="en-GB"/>
              </w:rPr>
              <w:t>2</w:t>
            </w:r>
          </w:p>
        </w:tc>
        <w:tc>
          <w:tcPr>
            <w:tcW w:w="414" w:type="pct"/>
            <w:noWrap/>
            <w:vAlign w:val="center"/>
            <w:hideMark/>
          </w:tcPr>
          <w:p w14:paraId="614CD424" w14:textId="376BCCBE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1.93</w:t>
            </w:r>
          </w:p>
        </w:tc>
        <w:tc>
          <w:tcPr>
            <w:tcW w:w="330" w:type="pct"/>
            <w:noWrap/>
            <w:vAlign w:val="center"/>
            <w:hideMark/>
          </w:tcPr>
          <w:p w14:paraId="5B735161" w14:textId="68654869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0.08</w:t>
            </w:r>
          </w:p>
        </w:tc>
        <w:tc>
          <w:tcPr>
            <w:tcW w:w="414" w:type="pct"/>
            <w:noWrap/>
            <w:vAlign w:val="center"/>
            <w:hideMark/>
          </w:tcPr>
          <w:p w14:paraId="7205CA15" w14:textId="2E4B1A11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0.47</w:t>
            </w:r>
          </w:p>
        </w:tc>
        <w:tc>
          <w:tcPr>
            <w:tcW w:w="414" w:type="pct"/>
            <w:noWrap/>
            <w:vAlign w:val="center"/>
            <w:hideMark/>
          </w:tcPr>
          <w:p w14:paraId="63266B48" w14:textId="665DEC61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0.46</w:t>
            </w:r>
          </w:p>
        </w:tc>
        <w:tc>
          <w:tcPr>
            <w:tcW w:w="390" w:type="pct"/>
            <w:noWrap/>
            <w:vAlign w:val="center"/>
            <w:hideMark/>
          </w:tcPr>
          <w:p w14:paraId="53EE9979" w14:textId="5127A2FF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0.03</w:t>
            </w:r>
          </w:p>
        </w:tc>
        <w:tc>
          <w:tcPr>
            <w:tcW w:w="414" w:type="pct"/>
            <w:noWrap/>
            <w:vAlign w:val="center"/>
            <w:hideMark/>
          </w:tcPr>
          <w:p w14:paraId="03829B84" w14:textId="6948818D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7.37</w:t>
            </w:r>
          </w:p>
        </w:tc>
        <w:tc>
          <w:tcPr>
            <w:tcW w:w="414" w:type="pct"/>
            <w:noWrap/>
            <w:vAlign w:val="center"/>
            <w:hideMark/>
          </w:tcPr>
          <w:p w14:paraId="4494C14A" w14:textId="75548722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5.38</w:t>
            </w:r>
          </w:p>
        </w:tc>
        <w:tc>
          <w:tcPr>
            <w:tcW w:w="414" w:type="pct"/>
            <w:noWrap/>
            <w:vAlign w:val="center"/>
            <w:hideMark/>
          </w:tcPr>
          <w:p w14:paraId="19C7FF6A" w14:textId="5D45B340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18.50</w:t>
            </w:r>
          </w:p>
        </w:tc>
        <w:tc>
          <w:tcPr>
            <w:tcW w:w="414" w:type="pct"/>
            <w:noWrap/>
            <w:vAlign w:val="center"/>
            <w:hideMark/>
          </w:tcPr>
          <w:p w14:paraId="289E3C95" w14:textId="05DDB085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1,390.20</w:t>
            </w:r>
          </w:p>
        </w:tc>
        <w:tc>
          <w:tcPr>
            <w:tcW w:w="390" w:type="pct"/>
            <w:noWrap/>
            <w:vAlign w:val="center"/>
            <w:hideMark/>
          </w:tcPr>
          <w:p w14:paraId="5986E703" w14:textId="66606E18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8.20</w:t>
            </w:r>
          </w:p>
        </w:tc>
      </w:tr>
      <w:tr w:rsidR="000531C4" w:rsidRPr="003814FB" w14:paraId="7EFFBBB6" w14:textId="77777777" w:rsidTr="00BE39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pct"/>
            <w:vAlign w:val="center"/>
            <w:hideMark/>
          </w:tcPr>
          <w:p w14:paraId="23CC4242" w14:textId="77777777" w:rsidR="000531C4" w:rsidRPr="000531C4" w:rsidRDefault="000531C4" w:rsidP="00BE39F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The Use of Water</w:t>
            </w:r>
          </w:p>
        </w:tc>
        <w:tc>
          <w:tcPr>
            <w:tcW w:w="346" w:type="pct"/>
            <w:vAlign w:val="center"/>
            <w:hideMark/>
          </w:tcPr>
          <w:p w14:paraId="6E169A24" w14:textId="77777777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m</w:t>
            </w:r>
            <w:r w:rsidRPr="00BF5B7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vertAlign w:val="superscript"/>
                <w:lang w:val="en-GB" w:eastAsia="en-GB"/>
              </w:rPr>
              <w:t>3</w:t>
            </w:r>
          </w:p>
        </w:tc>
        <w:tc>
          <w:tcPr>
            <w:tcW w:w="414" w:type="pct"/>
            <w:noWrap/>
            <w:vAlign w:val="center"/>
            <w:hideMark/>
          </w:tcPr>
          <w:p w14:paraId="742451CF" w14:textId="089D48F9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0.10</w:t>
            </w:r>
          </w:p>
        </w:tc>
        <w:tc>
          <w:tcPr>
            <w:tcW w:w="330" w:type="pct"/>
            <w:noWrap/>
            <w:vAlign w:val="center"/>
            <w:hideMark/>
          </w:tcPr>
          <w:p w14:paraId="3063606C" w14:textId="057E3E74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2,933,491.53</w:t>
            </w:r>
          </w:p>
        </w:tc>
        <w:tc>
          <w:tcPr>
            <w:tcW w:w="414" w:type="pct"/>
            <w:noWrap/>
            <w:vAlign w:val="center"/>
            <w:hideMark/>
          </w:tcPr>
          <w:p w14:paraId="6F76CA33" w14:textId="315FB638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11,842,116,930.54</w:t>
            </w:r>
          </w:p>
        </w:tc>
        <w:tc>
          <w:tcPr>
            <w:tcW w:w="414" w:type="pct"/>
            <w:noWrap/>
            <w:vAlign w:val="center"/>
            <w:hideMark/>
          </w:tcPr>
          <w:p w14:paraId="3B3804DB" w14:textId="4F1BF8E9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1,046,177,060.68</w:t>
            </w:r>
          </w:p>
        </w:tc>
        <w:tc>
          <w:tcPr>
            <w:tcW w:w="390" w:type="pct"/>
            <w:noWrap/>
            <w:vAlign w:val="center"/>
            <w:hideMark/>
          </w:tcPr>
          <w:p w14:paraId="6F1F28FC" w14:textId="6003972C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7,489,438.16</w:t>
            </w:r>
          </w:p>
        </w:tc>
        <w:tc>
          <w:tcPr>
            <w:tcW w:w="414" w:type="pct"/>
            <w:noWrap/>
            <w:vAlign w:val="center"/>
            <w:hideMark/>
          </w:tcPr>
          <w:p w14:paraId="19744D2D" w14:textId="06F00516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3,195,927,235.24</w:t>
            </w:r>
          </w:p>
        </w:tc>
        <w:tc>
          <w:tcPr>
            <w:tcW w:w="414" w:type="pct"/>
            <w:noWrap/>
            <w:vAlign w:val="center"/>
            <w:hideMark/>
          </w:tcPr>
          <w:p w14:paraId="1DC1741E" w14:textId="30C51F14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0.00</w:t>
            </w:r>
          </w:p>
        </w:tc>
        <w:tc>
          <w:tcPr>
            <w:tcW w:w="414" w:type="pct"/>
            <w:noWrap/>
            <w:vAlign w:val="center"/>
            <w:hideMark/>
          </w:tcPr>
          <w:p w14:paraId="2190624A" w14:textId="3AC5AB1B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0.00</w:t>
            </w:r>
          </w:p>
        </w:tc>
        <w:tc>
          <w:tcPr>
            <w:tcW w:w="414" w:type="pct"/>
            <w:noWrap/>
            <w:vAlign w:val="center"/>
            <w:hideMark/>
          </w:tcPr>
          <w:p w14:paraId="3B177DFC" w14:textId="1B406B69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1,306,193.88</w:t>
            </w:r>
          </w:p>
        </w:tc>
        <w:tc>
          <w:tcPr>
            <w:tcW w:w="390" w:type="pct"/>
            <w:noWrap/>
            <w:vAlign w:val="center"/>
            <w:hideMark/>
          </w:tcPr>
          <w:p w14:paraId="0F4902DE" w14:textId="7965DA53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0.00</w:t>
            </w:r>
          </w:p>
        </w:tc>
      </w:tr>
      <w:tr w:rsidR="000531C4" w:rsidRPr="003814FB" w14:paraId="29D2E1BC" w14:textId="77777777" w:rsidTr="00BE39F5">
        <w:trPr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pct"/>
            <w:vAlign w:val="center"/>
            <w:hideMark/>
          </w:tcPr>
          <w:p w14:paraId="33D136BF" w14:textId="77777777" w:rsidR="000531C4" w:rsidRPr="000531C4" w:rsidRDefault="000531C4" w:rsidP="00BE39F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Removal of water</w:t>
            </w:r>
          </w:p>
        </w:tc>
        <w:tc>
          <w:tcPr>
            <w:tcW w:w="346" w:type="pct"/>
            <w:vAlign w:val="center"/>
            <w:hideMark/>
          </w:tcPr>
          <w:p w14:paraId="7C2DFA26" w14:textId="77777777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m</w:t>
            </w:r>
            <w:r w:rsidRPr="00BF5B7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vertAlign w:val="superscript"/>
                <w:lang w:val="en-GB" w:eastAsia="en-GB"/>
              </w:rPr>
              <w:t>3</w:t>
            </w:r>
          </w:p>
        </w:tc>
        <w:tc>
          <w:tcPr>
            <w:tcW w:w="414" w:type="pct"/>
            <w:noWrap/>
            <w:vAlign w:val="center"/>
            <w:hideMark/>
          </w:tcPr>
          <w:p w14:paraId="0AE28FED" w14:textId="5FF130B0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0.42</w:t>
            </w:r>
          </w:p>
        </w:tc>
        <w:tc>
          <w:tcPr>
            <w:tcW w:w="330" w:type="pct"/>
            <w:noWrap/>
            <w:vAlign w:val="center"/>
            <w:hideMark/>
          </w:tcPr>
          <w:p w14:paraId="30B81DFD" w14:textId="017DD426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1,257,210.66</w:t>
            </w:r>
          </w:p>
        </w:tc>
        <w:tc>
          <w:tcPr>
            <w:tcW w:w="414" w:type="pct"/>
            <w:noWrap/>
            <w:vAlign w:val="center"/>
            <w:hideMark/>
          </w:tcPr>
          <w:p w14:paraId="226330CE" w14:textId="67507522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5,075,192,970.23</w:t>
            </w:r>
          </w:p>
        </w:tc>
        <w:tc>
          <w:tcPr>
            <w:tcW w:w="414" w:type="pct"/>
            <w:noWrap/>
            <w:vAlign w:val="center"/>
            <w:hideMark/>
          </w:tcPr>
          <w:p w14:paraId="525403A9" w14:textId="6AF22662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448,361,597.43</w:t>
            </w:r>
          </w:p>
        </w:tc>
        <w:tc>
          <w:tcPr>
            <w:tcW w:w="390" w:type="pct"/>
            <w:noWrap/>
            <w:vAlign w:val="center"/>
            <w:hideMark/>
          </w:tcPr>
          <w:p w14:paraId="7C1D4667" w14:textId="26233373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3,209,759.21</w:t>
            </w:r>
          </w:p>
        </w:tc>
        <w:tc>
          <w:tcPr>
            <w:tcW w:w="414" w:type="pct"/>
            <w:noWrap/>
            <w:vAlign w:val="center"/>
            <w:hideMark/>
          </w:tcPr>
          <w:p w14:paraId="0A22DFB9" w14:textId="657D61F6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1,369,683,100.82</w:t>
            </w:r>
          </w:p>
        </w:tc>
        <w:tc>
          <w:tcPr>
            <w:tcW w:w="414" w:type="pct"/>
            <w:noWrap/>
            <w:vAlign w:val="center"/>
            <w:hideMark/>
          </w:tcPr>
          <w:p w14:paraId="76ED6AE2" w14:textId="7C5F46CB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0.00</w:t>
            </w:r>
          </w:p>
        </w:tc>
        <w:tc>
          <w:tcPr>
            <w:tcW w:w="414" w:type="pct"/>
            <w:noWrap/>
            <w:vAlign w:val="center"/>
            <w:hideMark/>
          </w:tcPr>
          <w:p w14:paraId="0D2A6687" w14:textId="22A5B8FD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0.00</w:t>
            </w:r>
          </w:p>
        </w:tc>
        <w:tc>
          <w:tcPr>
            <w:tcW w:w="414" w:type="pct"/>
            <w:noWrap/>
            <w:vAlign w:val="center"/>
            <w:hideMark/>
          </w:tcPr>
          <w:p w14:paraId="2EABF76D" w14:textId="59F7ECA1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870,795.92</w:t>
            </w:r>
          </w:p>
        </w:tc>
        <w:tc>
          <w:tcPr>
            <w:tcW w:w="390" w:type="pct"/>
            <w:noWrap/>
            <w:vAlign w:val="center"/>
            <w:hideMark/>
          </w:tcPr>
          <w:p w14:paraId="163FD4C9" w14:textId="365D3C9E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3,354,545.97</w:t>
            </w:r>
          </w:p>
        </w:tc>
      </w:tr>
      <w:tr w:rsidR="000531C4" w:rsidRPr="003814FB" w14:paraId="3F9ECA6E" w14:textId="77777777" w:rsidTr="00D55B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12"/>
            <w:vAlign w:val="center"/>
            <w:hideMark/>
          </w:tcPr>
          <w:p w14:paraId="6A545070" w14:textId="3B416FC6" w:rsidR="000531C4" w:rsidRPr="000531C4" w:rsidRDefault="000531C4" w:rsidP="00BE39F5">
            <w:pPr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Social indicators (positive indicators)</w:t>
            </w:r>
          </w:p>
        </w:tc>
      </w:tr>
      <w:tr w:rsidR="000531C4" w:rsidRPr="003814FB" w14:paraId="28E773C0" w14:textId="77777777" w:rsidTr="00BE39F5">
        <w:trPr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pct"/>
            <w:vAlign w:val="center"/>
            <w:hideMark/>
          </w:tcPr>
          <w:p w14:paraId="49C8AD76" w14:textId="77777777" w:rsidR="000531C4" w:rsidRPr="000531C4" w:rsidRDefault="000531C4" w:rsidP="00BE39F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Employment</w:t>
            </w:r>
          </w:p>
        </w:tc>
        <w:tc>
          <w:tcPr>
            <w:tcW w:w="346" w:type="pct"/>
            <w:vAlign w:val="center"/>
            <w:hideMark/>
          </w:tcPr>
          <w:p w14:paraId="32B356FE" w14:textId="77777777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person</w:t>
            </w:r>
          </w:p>
        </w:tc>
        <w:tc>
          <w:tcPr>
            <w:tcW w:w="414" w:type="pct"/>
            <w:noWrap/>
            <w:vAlign w:val="center"/>
            <w:hideMark/>
          </w:tcPr>
          <w:p w14:paraId="251D20EC" w14:textId="1D6A5437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2,329.48</w:t>
            </w:r>
          </w:p>
        </w:tc>
        <w:tc>
          <w:tcPr>
            <w:tcW w:w="330" w:type="pct"/>
            <w:noWrap/>
            <w:vAlign w:val="center"/>
            <w:hideMark/>
          </w:tcPr>
          <w:p w14:paraId="6984BE9F" w14:textId="56B724DC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262.00</w:t>
            </w:r>
          </w:p>
        </w:tc>
        <w:tc>
          <w:tcPr>
            <w:tcW w:w="414" w:type="pct"/>
            <w:noWrap/>
            <w:vAlign w:val="center"/>
            <w:hideMark/>
          </w:tcPr>
          <w:p w14:paraId="2491BF24" w14:textId="6E76840B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88.00</w:t>
            </w:r>
          </w:p>
        </w:tc>
        <w:tc>
          <w:tcPr>
            <w:tcW w:w="414" w:type="pct"/>
            <w:noWrap/>
            <w:vAlign w:val="center"/>
            <w:hideMark/>
          </w:tcPr>
          <w:p w14:paraId="065E98B4" w14:textId="52FF631A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175.00</w:t>
            </w:r>
          </w:p>
        </w:tc>
        <w:tc>
          <w:tcPr>
            <w:tcW w:w="390" w:type="pct"/>
            <w:noWrap/>
            <w:vAlign w:val="center"/>
            <w:hideMark/>
          </w:tcPr>
          <w:p w14:paraId="7614F5F2" w14:textId="7F680898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175.00</w:t>
            </w:r>
          </w:p>
        </w:tc>
        <w:tc>
          <w:tcPr>
            <w:tcW w:w="414" w:type="pct"/>
            <w:noWrap/>
            <w:vAlign w:val="center"/>
            <w:hideMark/>
          </w:tcPr>
          <w:p w14:paraId="1D2C4CD6" w14:textId="151175D9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524.00</w:t>
            </w:r>
          </w:p>
        </w:tc>
        <w:tc>
          <w:tcPr>
            <w:tcW w:w="414" w:type="pct"/>
            <w:noWrap/>
            <w:vAlign w:val="center"/>
            <w:hideMark/>
          </w:tcPr>
          <w:p w14:paraId="478C7466" w14:textId="6D5E55AA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88.00</w:t>
            </w:r>
          </w:p>
        </w:tc>
        <w:tc>
          <w:tcPr>
            <w:tcW w:w="414" w:type="pct"/>
            <w:noWrap/>
            <w:vAlign w:val="center"/>
            <w:hideMark/>
          </w:tcPr>
          <w:p w14:paraId="725A51E8" w14:textId="1D01C065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88.00</w:t>
            </w:r>
          </w:p>
        </w:tc>
        <w:tc>
          <w:tcPr>
            <w:tcW w:w="414" w:type="pct"/>
            <w:noWrap/>
            <w:vAlign w:val="center"/>
            <w:hideMark/>
          </w:tcPr>
          <w:p w14:paraId="0E051DDB" w14:textId="69ABC36B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216.70</w:t>
            </w:r>
          </w:p>
        </w:tc>
        <w:tc>
          <w:tcPr>
            <w:tcW w:w="390" w:type="pct"/>
            <w:noWrap/>
            <w:vAlign w:val="center"/>
            <w:hideMark/>
          </w:tcPr>
          <w:p w14:paraId="755715AD" w14:textId="03052148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88.00</w:t>
            </w:r>
          </w:p>
        </w:tc>
      </w:tr>
      <w:tr w:rsidR="000531C4" w:rsidRPr="003814FB" w14:paraId="6E5B2640" w14:textId="77777777" w:rsidTr="00BE39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pct"/>
            <w:vAlign w:val="center"/>
            <w:hideMark/>
          </w:tcPr>
          <w:p w14:paraId="525067C9" w14:textId="77777777" w:rsidR="000531C4" w:rsidRPr="000531C4" w:rsidRDefault="000531C4" w:rsidP="00BE39F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Compensation of employment</w:t>
            </w:r>
          </w:p>
        </w:tc>
        <w:tc>
          <w:tcPr>
            <w:tcW w:w="346" w:type="pct"/>
            <w:vAlign w:val="center"/>
            <w:hideMark/>
          </w:tcPr>
          <w:p w14:paraId="71AA7E75" w14:textId="77777777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USD</w:t>
            </w:r>
          </w:p>
        </w:tc>
        <w:tc>
          <w:tcPr>
            <w:tcW w:w="414" w:type="pct"/>
            <w:noWrap/>
            <w:vAlign w:val="center"/>
            <w:hideMark/>
          </w:tcPr>
          <w:p w14:paraId="34C232AF" w14:textId="3917CE13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2,875,972.32</w:t>
            </w:r>
          </w:p>
        </w:tc>
        <w:tc>
          <w:tcPr>
            <w:tcW w:w="330" w:type="pct"/>
            <w:noWrap/>
            <w:vAlign w:val="center"/>
            <w:hideMark/>
          </w:tcPr>
          <w:p w14:paraId="191F37DF" w14:textId="5CD0758A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2,871,232.88</w:t>
            </w:r>
          </w:p>
        </w:tc>
        <w:tc>
          <w:tcPr>
            <w:tcW w:w="414" w:type="pct"/>
            <w:noWrap/>
            <w:vAlign w:val="center"/>
            <w:hideMark/>
          </w:tcPr>
          <w:p w14:paraId="5DAF26C0" w14:textId="037C72DB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964,383.56</w:t>
            </w:r>
          </w:p>
        </w:tc>
        <w:tc>
          <w:tcPr>
            <w:tcW w:w="414" w:type="pct"/>
            <w:noWrap/>
            <w:vAlign w:val="center"/>
            <w:hideMark/>
          </w:tcPr>
          <w:p w14:paraId="236E6B32" w14:textId="653554F6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1,917,808.22</w:t>
            </w:r>
          </w:p>
        </w:tc>
        <w:tc>
          <w:tcPr>
            <w:tcW w:w="390" w:type="pct"/>
            <w:noWrap/>
            <w:vAlign w:val="center"/>
            <w:hideMark/>
          </w:tcPr>
          <w:p w14:paraId="5E130FAA" w14:textId="5FD22AAF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964,383.56</w:t>
            </w:r>
          </w:p>
        </w:tc>
        <w:tc>
          <w:tcPr>
            <w:tcW w:w="414" w:type="pct"/>
            <w:noWrap/>
            <w:vAlign w:val="center"/>
            <w:hideMark/>
          </w:tcPr>
          <w:p w14:paraId="1C4CD6EF" w14:textId="7FFD56FD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5,742,465.75</w:t>
            </w:r>
          </w:p>
        </w:tc>
        <w:tc>
          <w:tcPr>
            <w:tcW w:w="414" w:type="pct"/>
            <w:noWrap/>
            <w:vAlign w:val="center"/>
            <w:hideMark/>
          </w:tcPr>
          <w:p w14:paraId="4ADE510F" w14:textId="38C753E8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964,383.56</w:t>
            </w:r>
          </w:p>
        </w:tc>
        <w:tc>
          <w:tcPr>
            <w:tcW w:w="414" w:type="pct"/>
            <w:noWrap/>
            <w:vAlign w:val="center"/>
            <w:hideMark/>
          </w:tcPr>
          <w:p w14:paraId="4DD89C2B" w14:textId="372BA157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964,383.56</w:t>
            </w:r>
          </w:p>
        </w:tc>
        <w:tc>
          <w:tcPr>
            <w:tcW w:w="414" w:type="pct"/>
            <w:noWrap/>
            <w:vAlign w:val="center"/>
            <w:hideMark/>
          </w:tcPr>
          <w:p w14:paraId="09EBF0CC" w14:textId="6E84478B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26,004,221.13</w:t>
            </w:r>
          </w:p>
        </w:tc>
        <w:tc>
          <w:tcPr>
            <w:tcW w:w="390" w:type="pct"/>
            <w:noWrap/>
            <w:vAlign w:val="center"/>
            <w:hideMark/>
          </w:tcPr>
          <w:p w14:paraId="3B81670D" w14:textId="62E88B15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964,383.56</w:t>
            </w:r>
          </w:p>
        </w:tc>
      </w:tr>
      <w:tr w:rsidR="000531C4" w:rsidRPr="003814FB" w14:paraId="0FC5FF2E" w14:textId="77777777" w:rsidTr="00BE39F5">
        <w:trPr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pct"/>
            <w:vAlign w:val="center"/>
            <w:hideMark/>
          </w:tcPr>
          <w:p w14:paraId="39D75EDC" w14:textId="77777777" w:rsidR="000531C4" w:rsidRPr="000531C4" w:rsidRDefault="000531C4" w:rsidP="00BE39F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Total Tax</w:t>
            </w:r>
          </w:p>
        </w:tc>
        <w:tc>
          <w:tcPr>
            <w:tcW w:w="346" w:type="pct"/>
            <w:vAlign w:val="center"/>
            <w:hideMark/>
          </w:tcPr>
          <w:p w14:paraId="165EF045" w14:textId="77777777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USD</w:t>
            </w:r>
          </w:p>
        </w:tc>
        <w:tc>
          <w:tcPr>
            <w:tcW w:w="414" w:type="pct"/>
            <w:noWrap/>
            <w:vAlign w:val="center"/>
            <w:hideMark/>
          </w:tcPr>
          <w:p w14:paraId="53345272" w14:textId="5C3330CF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1,859,175.01</w:t>
            </w:r>
          </w:p>
        </w:tc>
        <w:tc>
          <w:tcPr>
            <w:tcW w:w="330" w:type="pct"/>
            <w:noWrap/>
            <w:vAlign w:val="center"/>
            <w:hideMark/>
          </w:tcPr>
          <w:p w14:paraId="194BAEEA" w14:textId="7B6B67CB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7,297,074.47</w:t>
            </w:r>
          </w:p>
        </w:tc>
        <w:tc>
          <w:tcPr>
            <w:tcW w:w="414" w:type="pct"/>
            <w:noWrap/>
            <w:vAlign w:val="center"/>
            <w:hideMark/>
          </w:tcPr>
          <w:p w14:paraId="07821623" w14:textId="76942178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6,193,032,165.03</w:t>
            </w:r>
          </w:p>
        </w:tc>
        <w:tc>
          <w:tcPr>
            <w:tcW w:w="414" w:type="pct"/>
            <w:noWrap/>
            <w:vAlign w:val="center"/>
            <w:hideMark/>
          </w:tcPr>
          <w:p w14:paraId="2497E900" w14:textId="21543EB9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2,731,463,859.54</w:t>
            </w:r>
          </w:p>
        </w:tc>
        <w:tc>
          <w:tcPr>
            <w:tcW w:w="390" w:type="pct"/>
            <w:noWrap/>
            <w:vAlign w:val="center"/>
            <w:hideMark/>
          </w:tcPr>
          <w:p w14:paraId="72D265E3" w14:textId="193604D3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41,522,207.00</w:t>
            </w:r>
          </w:p>
        </w:tc>
        <w:tc>
          <w:tcPr>
            <w:tcW w:w="414" w:type="pct"/>
            <w:noWrap/>
            <w:vAlign w:val="center"/>
            <w:hideMark/>
          </w:tcPr>
          <w:p w14:paraId="0C9B9AD9" w14:textId="38B17AC5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3,917,033,188.99</w:t>
            </w:r>
          </w:p>
        </w:tc>
        <w:tc>
          <w:tcPr>
            <w:tcW w:w="414" w:type="pct"/>
            <w:noWrap/>
            <w:vAlign w:val="center"/>
            <w:hideMark/>
          </w:tcPr>
          <w:p w14:paraId="4890212B" w14:textId="53E05622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529,534,366.83</w:t>
            </w:r>
          </w:p>
        </w:tc>
        <w:tc>
          <w:tcPr>
            <w:tcW w:w="414" w:type="pct"/>
            <w:noWrap/>
            <w:vAlign w:val="center"/>
            <w:hideMark/>
          </w:tcPr>
          <w:p w14:paraId="5C553A26" w14:textId="415CDFFF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4,649,571,342.77</w:t>
            </w:r>
          </w:p>
        </w:tc>
        <w:tc>
          <w:tcPr>
            <w:tcW w:w="414" w:type="pct"/>
            <w:noWrap/>
            <w:vAlign w:val="center"/>
            <w:hideMark/>
          </w:tcPr>
          <w:p w14:paraId="4CA4A13D" w14:textId="539A2C80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1,178,042,556.48</w:t>
            </w:r>
          </w:p>
        </w:tc>
        <w:tc>
          <w:tcPr>
            <w:tcW w:w="390" w:type="pct"/>
            <w:noWrap/>
            <w:vAlign w:val="center"/>
            <w:hideMark/>
          </w:tcPr>
          <w:p w14:paraId="62CA8E67" w14:textId="049D0AF1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233,942,880.48</w:t>
            </w:r>
          </w:p>
        </w:tc>
      </w:tr>
      <w:tr w:rsidR="000531C4" w:rsidRPr="003814FB" w14:paraId="7CE778E8" w14:textId="77777777" w:rsidTr="00BE39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pct"/>
            <w:vAlign w:val="center"/>
            <w:hideMark/>
          </w:tcPr>
          <w:p w14:paraId="39DB418E" w14:textId="77777777" w:rsidR="000531C4" w:rsidRPr="000531C4" w:rsidRDefault="000531C4" w:rsidP="00BE39F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Man Hours</w:t>
            </w:r>
          </w:p>
        </w:tc>
        <w:tc>
          <w:tcPr>
            <w:tcW w:w="346" w:type="pct"/>
            <w:vAlign w:val="center"/>
            <w:hideMark/>
          </w:tcPr>
          <w:p w14:paraId="2B6EC71E" w14:textId="77777777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hrs</w:t>
            </w:r>
          </w:p>
        </w:tc>
        <w:tc>
          <w:tcPr>
            <w:tcW w:w="414" w:type="pct"/>
            <w:noWrap/>
            <w:vAlign w:val="center"/>
            <w:hideMark/>
          </w:tcPr>
          <w:p w14:paraId="53D99E44" w14:textId="3F5C5247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4,774,176.64</w:t>
            </w:r>
          </w:p>
        </w:tc>
        <w:tc>
          <w:tcPr>
            <w:tcW w:w="330" w:type="pct"/>
            <w:noWrap/>
            <w:vAlign w:val="center"/>
            <w:hideMark/>
          </w:tcPr>
          <w:p w14:paraId="5E9984C5" w14:textId="04534E43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568,632.00</w:t>
            </w:r>
          </w:p>
        </w:tc>
        <w:tc>
          <w:tcPr>
            <w:tcW w:w="414" w:type="pct"/>
            <w:noWrap/>
            <w:vAlign w:val="center"/>
            <w:hideMark/>
          </w:tcPr>
          <w:p w14:paraId="42877340" w14:textId="69EE30EF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198,120.00</w:t>
            </w:r>
          </w:p>
        </w:tc>
        <w:tc>
          <w:tcPr>
            <w:tcW w:w="414" w:type="pct"/>
            <w:noWrap/>
            <w:vAlign w:val="center"/>
            <w:hideMark/>
          </w:tcPr>
          <w:p w14:paraId="615D377D" w14:textId="0BF68CC0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377,496.00</w:t>
            </w:r>
          </w:p>
        </w:tc>
        <w:tc>
          <w:tcPr>
            <w:tcW w:w="390" w:type="pct"/>
            <w:noWrap/>
            <w:vAlign w:val="center"/>
            <w:hideMark/>
          </w:tcPr>
          <w:p w14:paraId="50269D10" w14:textId="7FCFDAF2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222,144.00</w:t>
            </w:r>
          </w:p>
        </w:tc>
        <w:tc>
          <w:tcPr>
            <w:tcW w:w="414" w:type="pct"/>
            <w:noWrap/>
            <w:vAlign w:val="center"/>
            <w:hideMark/>
          </w:tcPr>
          <w:p w14:paraId="746442CE" w14:textId="3E618399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1,130,040.00</w:t>
            </w:r>
          </w:p>
        </w:tc>
        <w:tc>
          <w:tcPr>
            <w:tcW w:w="414" w:type="pct"/>
            <w:noWrap/>
            <w:vAlign w:val="center"/>
            <w:hideMark/>
          </w:tcPr>
          <w:p w14:paraId="4563CA6D" w14:textId="7977A33A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212,568.00</w:t>
            </w:r>
          </w:p>
        </w:tc>
        <w:tc>
          <w:tcPr>
            <w:tcW w:w="414" w:type="pct"/>
            <w:noWrap/>
            <w:vAlign w:val="center"/>
            <w:hideMark/>
          </w:tcPr>
          <w:p w14:paraId="20599F87" w14:textId="76B8D773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464,400.00</w:t>
            </w:r>
          </w:p>
        </w:tc>
        <w:tc>
          <w:tcPr>
            <w:tcW w:w="414" w:type="pct"/>
            <w:noWrap/>
            <w:vAlign w:val="center"/>
            <w:hideMark/>
          </w:tcPr>
          <w:p w14:paraId="2949AF0C" w14:textId="09612636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780,126.63</w:t>
            </w:r>
          </w:p>
        </w:tc>
        <w:tc>
          <w:tcPr>
            <w:tcW w:w="390" w:type="pct"/>
            <w:noWrap/>
            <w:vAlign w:val="center"/>
            <w:hideMark/>
          </w:tcPr>
          <w:p w14:paraId="0ACD3142" w14:textId="75B0BAEF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88.00</w:t>
            </w:r>
          </w:p>
        </w:tc>
      </w:tr>
      <w:tr w:rsidR="000531C4" w:rsidRPr="003814FB" w14:paraId="37908B35" w14:textId="77777777" w:rsidTr="00D55BF9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12"/>
            <w:vAlign w:val="center"/>
            <w:hideMark/>
          </w:tcPr>
          <w:p w14:paraId="26C6E6CA" w14:textId="5869D193" w:rsidR="000531C4" w:rsidRPr="000531C4" w:rsidRDefault="000531C4" w:rsidP="00BE39F5">
            <w:pPr>
              <w:rPr>
                <w:rFonts w:asciiTheme="majorBidi" w:eastAsia="Times New Roman" w:hAnsiTheme="majorBidi" w:cstheme="majorBidi"/>
                <w:i/>
                <w:iCs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Social indicators (negative indicators)</w:t>
            </w:r>
          </w:p>
        </w:tc>
      </w:tr>
      <w:tr w:rsidR="000531C4" w:rsidRPr="003814FB" w14:paraId="38ECDBAE" w14:textId="77777777" w:rsidTr="00BE39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pct"/>
            <w:vAlign w:val="center"/>
            <w:hideMark/>
          </w:tcPr>
          <w:p w14:paraId="3F393018" w14:textId="77777777" w:rsidR="000531C4" w:rsidRPr="000531C4" w:rsidRDefault="000531C4" w:rsidP="00BE39F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Human Health</w:t>
            </w:r>
          </w:p>
        </w:tc>
        <w:tc>
          <w:tcPr>
            <w:tcW w:w="346" w:type="pct"/>
            <w:vAlign w:val="center"/>
            <w:hideMark/>
          </w:tcPr>
          <w:p w14:paraId="0FF6D945" w14:textId="481C23E7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DALY</w:t>
            </w:r>
          </w:p>
        </w:tc>
        <w:tc>
          <w:tcPr>
            <w:tcW w:w="414" w:type="pct"/>
            <w:noWrap/>
            <w:vAlign w:val="center"/>
            <w:hideMark/>
          </w:tcPr>
          <w:p w14:paraId="0BF9E9A9" w14:textId="50765E07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54.73</w:t>
            </w:r>
          </w:p>
        </w:tc>
        <w:tc>
          <w:tcPr>
            <w:tcW w:w="330" w:type="pct"/>
            <w:noWrap/>
            <w:vAlign w:val="center"/>
            <w:hideMark/>
          </w:tcPr>
          <w:p w14:paraId="0D85B7B6" w14:textId="3411A136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826.71</w:t>
            </w:r>
          </w:p>
        </w:tc>
        <w:tc>
          <w:tcPr>
            <w:tcW w:w="414" w:type="pct"/>
            <w:noWrap/>
            <w:vAlign w:val="center"/>
            <w:hideMark/>
          </w:tcPr>
          <w:p w14:paraId="5DE58740" w14:textId="105A0585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66,071.52</w:t>
            </w:r>
          </w:p>
        </w:tc>
        <w:tc>
          <w:tcPr>
            <w:tcW w:w="414" w:type="pct"/>
            <w:noWrap/>
            <w:vAlign w:val="center"/>
            <w:hideMark/>
          </w:tcPr>
          <w:p w14:paraId="49827CB0" w14:textId="53A41A6E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933,539.29</w:t>
            </w:r>
          </w:p>
        </w:tc>
        <w:tc>
          <w:tcPr>
            <w:tcW w:w="390" w:type="pct"/>
            <w:noWrap/>
            <w:vAlign w:val="center"/>
            <w:hideMark/>
          </w:tcPr>
          <w:p w14:paraId="2DF64EFE" w14:textId="073703C3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34,614.25</w:t>
            </w:r>
          </w:p>
        </w:tc>
        <w:tc>
          <w:tcPr>
            <w:tcW w:w="414" w:type="pct"/>
            <w:noWrap/>
            <w:vAlign w:val="center"/>
            <w:hideMark/>
          </w:tcPr>
          <w:p w14:paraId="5D41450E" w14:textId="377EE3B1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81.54</w:t>
            </w:r>
          </w:p>
        </w:tc>
        <w:tc>
          <w:tcPr>
            <w:tcW w:w="414" w:type="pct"/>
            <w:noWrap/>
            <w:vAlign w:val="center"/>
            <w:hideMark/>
          </w:tcPr>
          <w:p w14:paraId="2C0321AC" w14:textId="6DDFF15C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70,152.44</w:t>
            </w:r>
          </w:p>
        </w:tc>
        <w:tc>
          <w:tcPr>
            <w:tcW w:w="414" w:type="pct"/>
            <w:noWrap/>
            <w:vAlign w:val="center"/>
            <w:hideMark/>
          </w:tcPr>
          <w:p w14:paraId="0F2F996E" w14:textId="548B7FE9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151,694.77</w:t>
            </w:r>
          </w:p>
        </w:tc>
        <w:tc>
          <w:tcPr>
            <w:tcW w:w="414" w:type="pct"/>
            <w:noWrap/>
            <w:vAlign w:val="center"/>
            <w:hideMark/>
          </w:tcPr>
          <w:p w14:paraId="301DD18D" w14:textId="33E95A0E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835.68</w:t>
            </w:r>
          </w:p>
        </w:tc>
        <w:tc>
          <w:tcPr>
            <w:tcW w:w="390" w:type="pct"/>
            <w:noWrap/>
            <w:vAlign w:val="center"/>
            <w:hideMark/>
          </w:tcPr>
          <w:p w14:paraId="02FCD7BB" w14:textId="5359F621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17,774.79</w:t>
            </w:r>
          </w:p>
        </w:tc>
      </w:tr>
      <w:tr w:rsidR="000531C4" w:rsidRPr="003814FB" w14:paraId="6D9C1CE0" w14:textId="77777777" w:rsidTr="00D55BF9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12"/>
            <w:vAlign w:val="center"/>
            <w:hideMark/>
          </w:tcPr>
          <w:p w14:paraId="7E611629" w14:textId="6E99DBA7" w:rsidR="000531C4" w:rsidRPr="000531C4" w:rsidRDefault="000531C4" w:rsidP="00BE39F5">
            <w:pPr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Economic indicators (positive indicators)</w:t>
            </w:r>
          </w:p>
        </w:tc>
      </w:tr>
      <w:tr w:rsidR="000531C4" w:rsidRPr="003814FB" w14:paraId="4F7E5AC2" w14:textId="77777777" w:rsidTr="00BE39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pct"/>
            <w:vAlign w:val="center"/>
            <w:hideMark/>
          </w:tcPr>
          <w:p w14:paraId="190CB27E" w14:textId="02CEB87E" w:rsidR="000531C4" w:rsidRPr="000531C4" w:rsidRDefault="000531C4" w:rsidP="00BE39F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Gross Operating Surplus</w:t>
            </w:r>
          </w:p>
        </w:tc>
        <w:tc>
          <w:tcPr>
            <w:tcW w:w="346" w:type="pct"/>
            <w:vAlign w:val="center"/>
            <w:hideMark/>
          </w:tcPr>
          <w:p w14:paraId="17283BA8" w14:textId="77777777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USD</w:t>
            </w:r>
          </w:p>
        </w:tc>
        <w:tc>
          <w:tcPr>
            <w:tcW w:w="414" w:type="pct"/>
            <w:noWrap/>
            <w:vAlign w:val="center"/>
            <w:hideMark/>
          </w:tcPr>
          <w:p w14:paraId="7D855220" w14:textId="4174B182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41,865,062,658.20</w:t>
            </w:r>
          </w:p>
        </w:tc>
        <w:tc>
          <w:tcPr>
            <w:tcW w:w="330" w:type="pct"/>
            <w:noWrap/>
            <w:vAlign w:val="center"/>
            <w:hideMark/>
          </w:tcPr>
          <w:p w14:paraId="7EAC9B5E" w14:textId="5EFCDDB9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72,970,744.73</w:t>
            </w:r>
          </w:p>
        </w:tc>
        <w:tc>
          <w:tcPr>
            <w:tcW w:w="414" w:type="pct"/>
            <w:noWrap/>
            <w:vAlign w:val="center"/>
            <w:hideMark/>
          </w:tcPr>
          <w:p w14:paraId="3ED16E31" w14:textId="26F9F6E5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61,930,321,650.33</w:t>
            </w:r>
          </w:p>
        </w:tc>
        <w:tc>
          <w:tcPr>
            <w:tcW w:w="414" w:type="pct"/>
            <w:noWrap/>
            <w:vAlign w:val="center"/>
            <w:hideMark/>
          </w:tcPr>
          <w:p w14:paraId="037D3030" w14:textId="253745D9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27,314,638,595.40</w:t>
            </w:r>
          </w:p>
        </w:tc>
        <w:tc>
          <w:tcPr>
            <w:tcW w:w="390" w:type="pct"/>
            <w:noWrap/>
            <w:vAlign w:val="center"/>
            <w:hideMark/>
          </w:tcPr>
          <w:p w14:paraId="74AE4181" w14:textId="32712A45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415,222,070.00</w:t>
            </w:r>
          </w:p>
        </w:tc>
        <w:tc>
          <w:tcPr>
            <w:tcW w:w="414" w:type="pct"/>
            <w:noWrap/>
            <w:vAlign w:val="center"/>
            <w:hideMark/>
          </w:tcPr>
          <w:p w14:paraId="5C13E82C" w14:textId="5D33E702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39,170,331,889.94</w:t>
            </w:r>
          </w:p>
        </w:tc>
        <w:tc>
          <w:tcPr>
            <w:tcW w:w="414" w:type="pct"/>
            <w:noWrap/>
            <w:vAlign w:val="center"/>
            <w:hideMark/>
          </w:tcPr>
          <w:p w14:paraId="02BED8FF" w14:textId="3D511CE5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5,295,343,668.33</w:t>
            </w:r>
          </w:p>
        </w:tc>
        <w:tc>
          <w:tcPr>
            <w:tcW w:w="414" w:type="pct"/>
            <w:noWrap/>
            <w:vAlign w:val="center"/>
            <w:hideMark/>
          </w:tcPr>
          <w:p w14:paraId="6E976F86" w14:textId="67F8C80A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46,495,713,427.72</w:t>
            </w:r>
          </w:p>
        </w:tc>
        <w:tc>
          <w:tcPr>
            <w:tcW w:w="414" w:type="pct"/>
            <w:noWrap/>
            <w:vAlign w:val="center"/>
            <w:hideMark/>
          </w:tcPr>
          <w:p w14:paraId="429E4D0F" w14:textId="190C33AA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11,780,425,564.78</w:t>
            </w:r>
          </w:p>
        </w:tc>
        <w:tc>
          <w:tcPr>
            <w:tcW w:w="390" w:type="pct"/>
            <w:noWrap/>
            <w:vAlign w:val="center"/>
            <w:hideMark/>
          </w:tcPr>
          <w:p w14:paraId="4DFF2013" w14:textId="5B6FF862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2,339,428,804.76</w:t>
            </w:r>
          </w:p>
        </w:tc>
      </w:tr>
      <w:tr w:rsidR="000531C4" w:rsidRPr="003814FB" w14:paraId="7B48FE90" w14:textId="77777777" w:rsidTr="00BE39F5">
        <w:trPr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pct"/>
            <w:vAlign w:val="center"/>
            <w:hideMark/>
          </w:tcPr>
          <w:p w14:paraId="3D6CA6DC" w14:textId="77777777" w:rsidR="000531C4" w:rsidRPr="000531C4" w:rsidRDefault="000531C4" w:rsidP="00BE39F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Salvage value (End of life)</w:t>
            </w:r>
          </w:p>
        </w:tc>
        <w:tc>
          <w:tcPr>
            <w:tcW w:w="346" w:type="pct"/>
            <w:vAlign w:val="center"/>
            <w:hideMark/>
          </w:tcPr>
          <w:p w14:paraId="0C4A0C5C" w14:textId="77777777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USD</w:t>
            </w:r>
          </w:p>
        </w:tc>
        <w:tc>
          <w:tcPr>
            <w:tcW w:w="414" w:type="pct"/>
            <w:noWrap/>
            <w:vAlign w:val="center"/>
            <w:hideMark/>
          </w:tcPr>
          <w:p w14:paraId="0FC8CF03" w14:textId="07DDB912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6,556,063,549.40</w:t>
            </w:r>
          </w:p>
        </w:tc>
        <w:tc>
          <w:tcPr>
            <w:tcW w:w="330" w:type="pct"/>
            <w:noWrap/>
            <w:vAlign w:val="center"/>
            <w:hideMark/>
          </w:tcPr>
          <w:p w14:paraId="25BA524D" w14:textId="1F2CB1DA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5,705,827.07</w:t>
            </w:r>
          </w:p>
        </w:tc>
        <w:tc>
          <w:tcPr>
            <w:tcW w:w="414" w:type="pct"/>
            <w:noWrap/>
            <w:vAlign w:val="center"/>
            <w:hideMark/>
          </w:tcPr>
          <w:p w14:paraId="77F40DE4" w14:textId="3F006FA8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1,016,908,617.63</w:t>
            </w:r>
          </w:p>
        </w:tc>
        <w:tc>
          <w:tcPr>
            <w:tcW w:w="414" w:type="pct"/>
            <w:noWrap/>
            <w:vAlign w:val="center"/>
            <w:hideMark/>
          </w:tcPr>
          <w:p w14:paraId="68C5CD53" w14:textId="35C821B9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1,163,670,729.50</w:t>
            </w:r>
          </w:p>
        </w:tc>
        <w:tc>
          <w:tcPr>
            <w:tcW w:w="390" w:type="pct"/>
            <w:noWrap/>
            <w:vAlign w:val="center"/>
            <w:hideMark/>
          </w:tcPr>
          <w:p w14:paraId="0762DFC5" w14:textId="14235BD1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1,483,983.39</w:t>
            </w:r>
          </w:p>
        </w:tc>
        <w:tc>
          <w:tcPr>
            <w:tcW w:w="414" w:type="pct"/>
            <w:noWrap/>
            <w:vAlign w:val="center"/>
            <w:hideMark/>
          </w:tcPr>
          <w:p w14:paraId="772F2A48" w14:textId="51E0840E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1,734,728,535.17</w:t>
            </w:r>
          </w:p>
        </w:tc>
        <w:tc>
          <w:tcPr>
            <w:tcW w:w="414" w:type="pct"/>
            <w:noWrap/>
            <w:vAlign w:val="center"/>
            <w:hideMark/>
          </w:tcPr>
          <w:p w14:paraId="67760251" w14:textId="2F039B3C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610,557,120.08</w:t>
            </w:r>
          </w:p>
        </w:tc>
        <w:tc>
          <w:tcPr>
            <w:tcW w:w="414" w:type="pct"/>
            <w:noWrap/>
            <w:vAlign w:val="center"/>
            <w:hideMark/>
          </w:tcPr>
          <w:p w14:paraId="3543C880" w14:textId="67AC939C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852,238.00</w:t>
            </w:r>
          </w:p>
        </w:tc>
        <w:tc>
          <w:tcPr>
            <w:tcW w:w="414" w:type="pct"/>
            <w:noWrap/>
            <w:vAlign w:val="center"/>
            <w:hideMark/>
          </w:tcPr>
          <w:p w14:paraId="046F9FA2" w14:textId="57390A3D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386,967,576.32</w:t>
            </w:r>
          </w:p>
        </w:tc>
        <w:tc>
          <w:tcPr>
            <w:tcW w:w="390" w:type="pct"/>
            <w:noWrap/>
            <w:vAlign w:val="center"/>
            <w:hideMark/>
          </w:tcPr>
          <w:p w14:paraId="494BC81E" w14:textId="463ED6C6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949,242.00</w:t>
            </w:r>
          </w:p>
        </w:tc>
      </w:tr>
      <w:tr w:rsidR="000531C4" w:rsidRPr="003814FB" w14:paraId="688AF0AA" w14:textId="77777777" w:rsidTr="00D55B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12"/>
            <w:vAlign w:val="center"/>
            <w:hideMark/>
          </w:tcPr>
          <w:p w14:paraId="6D441949" w14:textId="1F8C7B0C" w:rsidR="000531C4" w:rsidRPr="000531C4" w:rsidRDefault="000531C4" w:rsidP="00BE39F5">
            <w:pPr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Economic indicators (negative indicators)</w:t>
            </w:r>
          </w:p>
        </w:tc>
      </w:tr>
      <w:tr w:rsidR="000531C4" w:rsidRPr="003814FB" w14:paraId="2D72342B" w14:textId="77777777" w:rsidTr="00BE39F5">
        <w:trPr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pct"/>
            <w:vAlign w:val="center"/>
            <w:hideMark/>
          </w:tcPr>
          <w:p w14:paraId="353FA05F" w14:textId="7F999F3D" w:rsidR="000531C4" w:rsidRPr="000531C4" w:rsidRDefault="000531C4" w:rsidP="00BE39F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 xml:space="preserve">Operational Cost </w:t>
            </w:r>
          </w:p>
        </w:tc>
        <w:tc>
          <w:tcPr>
            <w:tcW w:w="346" w:type="pct"/>
            <w:vAlign w:val="center"/>
            <w:hideMark/>
          </w:tcPr>
          <w:p w14:paraId="64F82497" w14:textId="77777777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USD</w:t>
            </w:r>
          </w:p>
        </w:tc>
        <w:tc>
          <w:tcPr>
            <w:tcW w:w="414" w:type="pct"/>
            <w:noWrap/>
            <w:vAlign w:val="center"/>
            <w:hideMark/>
          </w:tcPr>
          <w:p w14:paraId="1EA0AB05" w14:textId="64C56EEE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10,584,000.00</w:t>
            </w:r>
          </w:p>
        </w:tc>
        <w:tc>
          <w:tcPr>
            <w:tcW w:w="330" w:type="pct"/>
            <w:noWrap/>
            <w:vAlign w:val="center"/>
            <w:hideMark/>
          </w:tcPr>
          <w:p w14:paraId="14CDA374" w14:textId="233EC580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3,546,411.99</w:t>
            </w:r>
          </w:p>
        </w:tc>
        <w:tc>
          <w:tcPr>
            <w:tcW w:w="414" w:type="pct"/>
            <w:noWrap/>
            <w:vAlign w:val="center"/>
            <w:hideMark/>
          </w:tcPr>
          <w:p w14:paraId="30045B4E" w14:textId="312B83E1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6,937,933,632.82</w:t>
            </w:r>
          </w:p>
        </w:tc>
        <w:tc>
          <w:tcPr>
            <w:tcW w:w="414" w:type="pct"/>
            <w:noWrap/>
            <w:vAlign w:val="center"/>
            <w:hideMark/>
          </w:tcPr>
          <w:p w14:paraId="322F81B9" w14:textId="5B973165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2,325,693,306.95</w:t>
            </w:r>
          </w:p>
        </w:tc>
        <w:tc>
          <w:tcPr>
            <w:tcW w:w="390" w:type="pct"/>
            <w:noWrap/>
            <w:vAlign w:val="center"/>
            <w:hideMark/>
          </w:tcPr>
          <w:p w14:paraId="63906D7F" w14:textId="351766C0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20,020,317.22</w:t>
            </w:r>
          </w:p>
        </w:tc>
        <w:tc>
          <w:tcPr>
            <w:tcW w:w="414" w:type="pct"/>
            <w:noWrap/>
            <w:vAlign w:val="center"/>
            <w:hideMark/>
          </w:tcPr>
          <w:p w14:paraId="36C5926E" w14:textId="3433666E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3,394,922,207.94</w:t>
            </w:r>
          </w:p>
        </w:tc>
        <w:tc>
          <w:tcPr>
            <w:tcW w:w="414" w:type="pct"/>
            <w:noWrap/>
            <w:vAlign w:val="center"/>
            <w:hideMark/>
          </w:tcPr>
          <w:p w14:paraId="548F5203" w14:textId="54436D5F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55,597,005.62</w:t>
            </w:r>
          </w:p>
        </w:tc>
        <w:tc>
          <w:tcPr>
            <w:tcW w:w="414" w:type="pct"/>
            <w:noWrap/>
            <w:vAlign w:val="center"/>
            <w:hideMark/>
          </w:tcPr>
          <w:p w14:paraId="194A24F1" w14:textId="40CC3142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508,846,930.00</w:t>
            </w:r>
          </w:p>
        </w:tc>
        <w:tc>
          <w:tcPr>
            <w:tcW w:w="414" w:type="pct"/>
            <w:noWrap/>
            <w:vAlign w:val="center"/>
            <w:hideMark/>
          </w:tcPr>
          <w:p w14:paraId="4C7801F3" w14:textId="022483CB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2,355,957,653.32</w:t>
            </w:r>
          </w:p>
        </w:tc>
        <w:tc>
          <w:tcPr>
            <w:tcW w:w="390" w:type="pct"/>
            <w:noWrap/>
            <w:vAlign w:val="center"/>
            <w:hideMark/>
          </w:tcPr>
          <w:p w14:paraId="32EF9D4C" w14:textId="3DC49C86" w:rsidR="000531C4" w:rsidRPr="000531C4" w:rsidRDefault="000531C4" w:rsidP="00BE3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33,647,280.00</w:t>
            </w:r>
          </w:p>
        </w:tc>
      </w:tr>
      <w:tr w:rsidR="000531C4" w:rsidRPr="003814FB" w14:paraId="1B57DC2B" w14:textId="77777777" w:rsidTr="00BE39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pct"/>
            <w:vAlign w:val="center"/>
            <w:hideMark/>
          </w:tcPr>
          <w:p w14:paraId="11481B02" w14:textId="77777777" w:rsidR="000531C4" w:rsidRPr="000531C4" w:rsidRDefault="000531C4" w:rsidP="00BE39F5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Equipment Cost</w:t>
            </w:r>
          </w:p>
        </w:tc>
        <w:tc>
          <w:tcPr>
            <w:tcW w:w="346" w:type="pct"/>
            <w:vAlign w:val="center"/>
            <w:hideMark/>
          </w:tcPr>
          <w:p w14:paraId="1640D6D9" w14:textId="77777777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USD</w:t>
            </w:r>
          </w:p>
        </w:tc>
        <w:tc>
          <w:tcPr>
            <w:tcW w:w="414" w:type="pct"/>
            <w:noWrap/>
            <w:vAlign w:val="center"/>
            <w:hideMark/>
          </w:tcPr>
          <w:p w14:paraId="507F025F" w14:textId="63A8157A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26,224,254,197.58</w:t>
            </w:r>
          </w:p>
        </w:tc>
        <w:tc>
          <w:tcPr>
            <w:tcW w:w="330" w:type="pct"/>
            <w:noWrap/>
            <w:vAlign w:val="center"/>
            <w:hideMark/>
          </w:tcPr>
          <w:p w14:paraId="338AD18D" w14:textId="1B03B2BA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28,529,135.36</w:t>
            </w:r>
          </w:p>
        </w:tc>
        <w:tc>
          <w:tcPr>
            <w:tcW w:w="414" w:type="pct"/>
            <w:noWrap/>
            <w:vAlign w:val="center"/>
            <w:hideMark/>
          </w:tcPr>
          <w:p w14:paraId="6F95DC4C" w14:textId="3D929FA9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5,084,543,088.13</w:t>
            </w:r>
          </w:p>
        </w:tc>
        <w:tc>
          <w:tcPr>
            <w:tcW w:w="414" w:type="pct"/>
            <w:noWrap/>
            <w:vAlign w:val="center"/>
            <w:hideMark/>
          </w:tcPr>
          <w:p w14:paraId="633133C9" w14:textId="5A608843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5,818,353,647.50</w:t>
            </w:r>
          </w:p>
        </w:tc>
        <w:tc>
          <w:tcPr>
            <w:tcW w:w="390" w:type="pct"/>
            <w:noWrap/>
            <w:vAlign w:val="center"/>
            <w:hideMark/>
          </w:tcPr>
          <w:p w14:paraId="719CA0AD" w14:textId="0C1E7EFD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163,115,540.32</w:t>
            </w:r>
          </w:p>
        </w:tc>
        <w:tc>
          <w:tcPr>
            <w:tcW w:w="414" w:type="pct"/>
            <w:noWrap/>
            <w:vAlign w:val="center"/>
            <w:hideMark/>
          </w:tcPr>
          <w:p w14:paraId="20CCF3F4" w14:textId="080BA6EB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8,052,653,996.44</w:t>
            </w:r>
          </w:p>
        </w:tc>
        <w:tc>
          <w:tcPr>
            <w:tcW w:w="414" w:type="pct"/>
            <w:noWrap/>
            <w:vAlign w:val="center"/>
            <w:hideMark/>
          </w:tcPr>
          <w:p w14:paraId="71B788B7" w14:textId="5C3B778E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3,052,785,600.38</w:t>
            </w:r>
          </w:p>
        </w:tc>
        <w:tc>
          <w:tcPr>
            <w:tcW w:w="414" w:type="pct"/>
            <w:noWrap/>
            <w:vAlign w:val="center"/>
            <w:hideMark/>
          </w:tcPr>
          <w:p w14:paraId="2904D3B6" w14:textId="24DFF1A6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26,704,261,190.00</w:t>
            </w:r>
          </w:p>
        </w:tc>
        <w:tc>
          <w:tcPr>
            <w:tcW w:w="414" w:type="pct"/>
            <w:noWrap/>
            <w:vAlign w:val="center"/>
            <w:hideMark/>
          </w:tcPr>
          <w:p w14:paraId="393AB114" w14:textId="23C06631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1,547,870,305.30</w:t>
            </w:r>
          </w:p>
        </w:tc>
        <w:tc>
          <w:tcPr>
            <w:tcW w:w="390" w:type="pct"/>
            <w:noWrap/>
            <w:vAlign w:val="center"/>
            <w:hideMark/>
          </w:tcPr>
          <w:p w14:paraId="1BA81C71" w14:textId="258A25FF" w:rsidR="000531C4" w:rsidRPr="000531C4" w:rsidRDefault="000531C4" w:rsidP="00BE3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0531C4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1,304,448,960.00</w:t>
            </w:r>
          </w:p>
        </w:tc>
      </w:tr>
    </w:tbl>
    <w:p w14:paraId="7796C44A" w14:textId="1E6FB95C" w:rsidR="000531C4" w:rsidRDefault="00BE39F5" w:rsidP="00BE39F5">
      <w:pPr>
        <w:jc w:val="center"/>
        <w:rPr>
          <w:rFonts w:asciiTheme="majorBidi" w:hAnsiTheme="majorBidi" w:cstheme="majorBidi"/>
        </w:rPr>
      </w:pPr>
      <w:r w:rsidRPr="00762042">
        <w:rPr>
          <w:rFonts w:asciiTheme="majorBidi" w:hAnsiTheme="majorBidi" w:cstheme="majorBidi"/>
          <w:b/>
          <w:bCs/>
        </w:rPr>
        <w:t xml:space="preserve">Table </w:t>
      </w:r>
      <w:r w:rsidR="00762042" w:rsidRPr="00762042">
        <w:rPr>
          <w:rFonts w:asciiTheme="majorBidi" w:hAnsiTheme="majorBidi" w:cstheme="majorBidi"/>
          <w:b/>
          <w:bCs/>
        </w:rPr>
        <w:t>1</w:t>
      </w:r>
      <w:r w:rsidRPr="00762042">
        <w:rPr>
          <w:rFonts w:asciiTheme="majorBidi" w:hAnsiTheme="majorBidi" w:cstheme="majorBidi"/>
          <w:b/>
          <w:bCs/>
        </w:rPr>
        <w:t xml:space="preserve">. </w:t>
      </w:r>
      <w:r>
        <w:rPr>
          <w:rFonts w:asciiTheme="majorBidi" w:hAnsiTheme="majorBidi" w:cstheme="majorBidi"/>
        </w:rPr>
        <w:t xml:space="preserve">Negative and positive LCA, LCC, and SLCA </w:t>
      </w:r>
      <w:r w:rsidRPr="00BE39F5">
        <w:rPr>
          <w:rFonts w:asciiTheme="majorBidi" w:hAnsiTheme="majorBidi" w:cstheme="majorBidi"/>
        </w:rPr>
        <w:t xml:space="preserve">results related to </w:t>
      </w:r>
      <w:r w:rsidR="00963F9E">
        <w:rPr>
          <w:rFonts w:asciiTheme="majorBidi" w:hAnsiTheme="majorBidi" w:cstheme="majorBidi"/>
        </w:rPr>
        <w:t xml:space="preserve">the </w:t>
      </w:r>
      <w:r w:rsidRPr="00BE39F5">
        <w:rPr>
          <w:rFonts w:asciiTheme="majorBidi" w:hAnsiTheme="majorBidi" w:cstheme="majorBidi"/>
        </w:rPr>
        <w:t>LNG process chain.</w:t>
      </w:r>
      <w:r w:rsidR="000531C4">
        <w:rPr>
          <w:rFonts w:asciiTheme="majorBidi" w:hAnsiTheme="majorBidi" w:cstheme="majorBidi"/>
        </w:rPr>
        <w:br w:type="page"/>
      </w:r>
    </w:p>
    <w:p w14:paraId="1731C599" w14:textId="71EF3FE4" w:rsidR="00BE39F5" w:rsidRDefault="00880FF6" w:rsidP="003814FB">
      <w:pPr>
        <w:spacing w:before="240" w:after="0" w:line="480" w:lineRule="auto"/>
        <w:ind w:firstLine="720"/>
        <w:jc w:val="center"/>
        <w:rPr>
          <w:rFonts w:asciiTheme="majorBidi" w:hAnsiTheme="majorBidi" w:cstheme="majorBidi"/>
        </w:rPr>
      </w:pPr>
      <w:r w:rsidRPr="00762042">
        <w:rPr>
          <w:rFonts w:asciiTheme="majorBidi" w:hAnsiTheme="majorBidi" w:cstheme="majorBidi"/>
          <w:b/>
          <w:bCs/>
        </w:rPr>
        <w:lastRenderedPageBreak/>
        <w:t xml:space="preserve">Table </w:t>
      </w:r>
      <w:r w:rsidR="00762042">
        <w:rPr>
          <w:rFonts w:asciiTheme="majorBidi" w:hAnsiTheme="majorBidi" w:cstheme="majorBidi"/>
          <w:b/>
          <w:bCs/>
        </w:rPr>
        <w:t>2</w:t>
      </w:r>
      <w:r w:rsidRPr="00762042">
        <w:rPr>
          <w:rFonts w:asciiTheme="majorBidi" w:hAnsiTheme="majorBidi" w:cstheme="majorBidi"/>
          <w:b/>
          <w:bCs/>
        </w:rPr>
        <w:t>.</w:t>
      </w:r>
      <w:r w:rsidRPr="00BE39F5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Contribution (%) of each LCI among the others throughout the </w:t>
      </w:r>
      <w:r w:rsidRPr="00BE39F5">
        <w:rPr>
          <w:rFonts w:asciiTheme="majorBidi" w:hAnsiTheme="majorBidi" w:cstheme="majorBidi"/>
        </w:rPr>
        <w:t>LNG process chain.</w:t>
      </w:r>
    </w:p>
    <w:tbl>
      <w:tblPr>
        <w:tblStyle w:val="PlainTable2"/>
        <w:tblW w:w="5000" w:type="pct"/>
        <w:tblLook w:val="04A0" w:firstRow="1" w:lastRow="0" w:firstColumn="1" w:lastColumn="0" w:noHBand="0" w:noVBand="1"/>
      </w:tblPr>
      <w:tblGrid>
        <w:gridCol w:w="3443"/>
        <w:gridCol w:w="1751"/>
        <w:gridCol w:w="1751"/>
        <w:gridCol w:w="1751"/>
        <w:gridCol w:w="1750"/>
        <w:gridCol w:w="1750"/>
        <w:gridCol w:w="1750"/>
        <w:gridCol w:w="1750"/>
        <w:gridCol w:w="1750"/>
        <w:gridCol w:w="1750"/>
        <w:gridCol w:w="1742"/>
      </w:tblGrid>
      <w:tr w:rsidR="00880FF6" w:rsidRPr="00880FF6" w14:paraId="3435B9EA" w14:textId="77777777" w:rsidTr="00880F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noWrap/>
            <w:vAlign w:val="center"/>
            <w:hideMark/>
          </w:tcPr>
          <w:p w14:paraId="6FF9B9A9" w14:textId="77777777" w:rsidR="00880FF6" w:rsidRPr="00880FF6" w:rsidRDefault="00880FF6" w:rsidP="00880FF6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18" w:type="pct"/>
            <w:vAlign w:val="center"/>
            <w:hideMark/>
          </w:tcPr>
          <w:p w14:paraId="5A5482D3" w14:textId="77777777" w:rsidR="00880FF6" w:rsidRPr="00880FF6" w:rsidRDefault="00880FF6" w:rsidP="00880F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Natural gas extraction</w:t>
            </w:r>
          </w:p>
        </w:tc>
        <w:tc>
          <w:tcPr>
            <w:tcW w:w="418" w:type="pct"/>
            <w:vAlign w:val="center"/>
            <w:hideMark/>
          </w:tcPr>
          <w:p w14:paraId="772BD15C" w14:textId="77777777" w:rsidR="00880FF6" w:rsidRPr="00880FF6" w:rsidRDefault="00880FF6" w:rsidP="00880F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Pre-separation unit</w:t>
            </w:r>
          </w:p>
        </w:tc>
        <w:tc>
          <w:tcPr>
            <w:tcW w:w="418" w:type="pct"/>
            <w:vAlign w:val="center"/>
            <w:hideMark/>
          </w:tcPr>
          <w:p w14:paraId="670BA829" w14:textId="77777777" w:rsidR="00880FF6" w:rsidRPr="00880FF6" w:rsidRDefault="00880FF6" w:rsidP="00880F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MDEA Sweetening unit</w:t>
            </w:r>
          </w:p>
        </w:tc>
        <w:tc>
          <w:tcPr>
            <w:tcW w:w="418" w:type="pct"/>
            <w:vAlign w:val="center"/>
            <w:hideMark/>
          </w:tcPr>
          <w:p w14:paraId="453F22E8" w14:textId="77777777" w:rsidR="00880FF6" w:rsidRPr="00880FF6" w:rsidRDefault="00880FF6" w:rsidP="00880F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SRU and TGTU units</w:t>
            </w:r>
          </w:p>
        </w:tc>
        <w:tc>
          <w:tcPr>
            <w:tcW w:w="418" w:type="pct"/>
            <w:vAlign w:val="center"/>
            <w:hideMark/>
          </w:tcPr>
          <w:p w14:paraId="222AFB58" w14:textId="77777777" w:rsidR="00880FF6" w:rsidRPr="00880FF6" w:rsidRDefault="00880FF6" w:rsidP="00880F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Dewatering unit</w:t>
            </w:r>
          </w:p>
        </w:tc>
        <w:tc>
          <w:tcPr>
            <w:tcW w:w="418" w:type="pct"/>
            <w:vAlign w:val="center"/>
            <w:hideMark/>
          </w:tcPr>
          <w:p w14:paraId="65F9295F" w14:textId="77777777" w:rsidR="00880FF6" w:rsidRPr="00880FF6" w:rsidRDefault="00880FF6" w:rsidP="00880F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NGL recovery and fractionation units</w:t>
            </w:r>
          </w:p>
        </w:tc>
        <w:tc>
          <w:tcPr>
            <w:tcW w:w="418" w:type="pct"/>
            <w:vAlign w:val="center"/>
            <w:hideMark/>
          </w:tcPr>
          <w:p w14:paraId="22B50984" w14:textId="77777777" w:rsidR="00880FF6" w:rsidRPr="00880FF6" w:rsidRDefault="00880FF6" w:rsidP="00880F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Liquefaction unit</w:t>
            </w:r>
          </w:p>
        </w:tc>
        <w:tc>
          <w:tcPr>
            <w:tcW w:w="418" w:type="pct"/>
            <w:vAlign w:val="center"/>
            <w:hideMark/>
          </w:tcPr>
          <w:p w14:paraId="163AC4ED" w14:textId="77777777" w:rsidR="00880FF6" w:rsidRPr="00880FF6" w:rsidRDefault="00880FF6" w:rsidP="00880F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LNG loading (export terminal)</w:t>
            </w:r>
          </w:p>
        </w:tc>
        <w:tc>
          <w:tcPr>
            <w:tcW w:w="418" w:type="pct"/>
            <w:vAlign w:val="center"/>
            <w:hideMark/>
          </w:tcPr>
          <w:p w14:paraId="67A185DF" w14:textId="77777777" w:rsidR="00880FF6" w:rsidRPr="00880FF6" w:rsidRDefault="00880FF6" w:rsidP="00880F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LNG shipping</w:t>
            </w:r>
          </w:p>
        </w:tc>
        <w:tc>
          <w:tcPr>
            <w:tcW w:w="416" w:type="pct"/>
            <w:vAlign w:val="center"/>
            <w:hideMark/>
          </w:tcPr>
          <w:p w14:paraId="3A99AAAE" w14:textId="77777777" w:rsidR="00880FF6" w:rsidRPr="00880FF6" w:rsidRDefault="00880FF6" w:rsidP="00880F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LNG receiving terminal</w:t>
            </w:r>
          </w:p>
        </w:tc>
      </w:tr>
      <w:tr w:rsidR="00880FF6" w:rsidRPr="003814FB" w14:paraId="12374D06" w14:textId="77777777" w:rsidTr="00D55B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11"/>
            <w:vAlign w:val="center"/>
            <w:hideMark/>
          </w:tcPr>
          <w:p w14:paraId="2AD3963C" w14:textId="0BD71E41" w:rsidR="00880FF6" w:rsidRPr="00880FF6" w:rsidRDefault="00880FF6" w:rsidP="00880FF6">
            <w:pPr>
              <w:rPr>
                <w:rFonts w:asciiTheme="majorBidi" w:eastAsia="Times New Roman" w:hAnsiTheme="majorBidi" w:cstheme="majorBidi"/>
                <w:i/>
                <w:iCs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Environmental indicators (negative indicators)</w:t>
            </w:r>
          </w:p>
        </w:tc>
      </w:tr>
      <w:tr w:rsidR="00880FF6" w:rsidRPr="00880FF6" w14:paraId="05E81217" w14:textId="77777777" w:rsidTr="00880FF6">
        <w:trPr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Align w:val="center"/>
            <w:hideMark/>
          </w:tcPr>
          <w:p w14:paraId="6E928EC2" w14:textId="3AF04DB8" w:rsidR="00880FF6" w:rsidRPr="00880FF6" w:rsidRDefault="00880FF6" w:rsidP="00880FF6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 xml:space="preserve">Global Warming Potential </w:t>
            </w:r>
          </w:p>
        </w:tc>
        <w:tc>
          <w:tcPr>
            <w:tcW w:w="418" w:type="pct"/>
            <w:noWrap/>
            <w:vAlign w:val="center"/>
            <w:hideMark/>
          </w:tcPr>
          <w:p w14:paraId="077B8F6F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2A3A389E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169ACE15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60%</w:t>
            </w:r>
          </w:p>
        </w:tc>
        <w:tc>
          <w:tcPr>
            <w:tcW w:w="418" w:type="pct"/>
            <w:noWrap/>
            <w:vAlign w:val="center"/>
            <w:hideMark/>
          </w:tcPr>
          <w:p w14:paraId="4BE0B672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1%</w:t>
            </w:r>
          </w:p>
        </w:tc>
        <w:tc>
          <w:tcPr>
            <w:tcW w:w="418" w:type="pct"/>
            <w:noWrap/>
            <w:vAlign w:val="center"/>
            <w:hideMark/>
          </w:tcPr>
          <w:p w14:paraId="06C423CF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23%</w:t>
            </w:r>
          </w:p>
        </w:tc>
        <w:tc>
          <w:tcPr>
            <w:tcW w:w="418" w:type="pct"/>
            <w:noWrap/>
            <w:vAlign w:val="center"/>
            <w:hideMark/>
          </w:tcPr>
          <w:p w14:paraId="2D9E815C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34D57300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50%</w:t>
            </w:r>
          </w:p>
        </w:tc>
        <w:tc>
          <w:tcPr>
            <w:tcW w:w="418" w:type="pct"/>
            <w:noWrap/>
            <w:vAlign w:val="center"/>
            <w:hideMark/>
          </w:tcPr>
          <w:p w14:paraId="7BA992E6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100%</w:t>
            </w:r>
          </w:p>
        </w:tc>
        <w:tc>
          <w:tcPr>
            <w:tcW w:w="418" w:type="pct"/>
            <w:noWrap/>
            <w:vAlign w:val="center"/>
            <w:hideMark/>
          </w:tcPr>
          <w:p w14:paraId="337581D5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2%</w:t>
            </w:r>
          </w:p>
        </w:tc>
        <w:tc>
          <w:tcPr>
            <w:tcW w:w="416" w:type="pct"/>
            <w:noWrap/>
            <w:vAlign w:val="center"/>
            <w:hideMark/>
          </w:tcPr>
          <w:p w14:paraId="3E02A105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12%</w:t>
            </w:r>
          </w:p>
        </w:tc>
      </w:tr>
      <w:tr w:rsidR="00880FF6" w:rsidRPr="00880FF6" w14:paraId="365C968C" w14:textId="77777777" w:rsidTr="00880F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Align w:val="center"/>
            <w:hideMark/>
          </w:tcPr>
          <w:p w14:paraId="330AA498" w14:textId="1DE1B0ED" w:rsidR="00880FF6" w:rsidRPr="00880FF6" w:rsidRDefault="00880FF6" w:rsidP="00880FF6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Particulate Matter Formation Potential</w:t>
            </w:r>
          </w:p>
        </w:tc>
        <w:tc>
          <w:tcPr>
            <w:tcW w:w="418" w:type="pct"/>
            <w:noWrap/>
            <w:vAlign w:val="center"/>
            <w:hideMark/>
          </w:tcPr>
          <w:p w14:paraId="3A592373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08B1D084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28991459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5%</w:t>
            </w:r>
          </w:p>
        </w:tc>
        <w:tc>
          <w:tcPr>
            <w:tcW w:w="418" w:type="pct"/>
            <w:noWrap/>
            <w:vAlign w:val="center"/>
            <w:hideMark/>
          </w:tcPr>
          <w:p w14:paraId="13AE5D3F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100%</w:t>
            </w:r>
          </w:p>
        </w:tc>
        <w:tc>
          <w:tcPr>
            <w:tcW w:w="418" w:type="pct"/>
            <w:noWrap/>
            <w:vAlign w:val="center"/>
            <w:hideMark/>
          </w:tcPr>
          <w:p w14:paraId="233BF53B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3%</w:t>
            </w:r>
          </w:p>
        </w:tc>
        <w:tc>
          <w:tcPr>
            <w:tcW w:w="418" w:type="pct"/>
            <w:noWrap/>
            <w:vAlign w:val="center"/>
            <w:hideMark/>
          </w:tcPr>
          <w:p w14:paraId="4E3BACE1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62640269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5%</w:t>
            </w:r>
          </w:p>
        </w:tc>
        <w:tc>
          <w:tcPr>
            <w:tcW w:w="418" w:type="pct"/>
            <w:noWrap/>
            <w:vAlign w:val="center"/>
            <w:hideMark/>
          </w:tcPr>
          <w:p w14:paraId="31BD6BB5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12%</w:t>
            </w:r>
          </w:p>
        </w:tc>
        <w:tc>
          <w:tcPr>
            <w:tcW w:w="418" w:type="pct"/>
            <w:noWrap/>
            <w:vAlign w:val="center"/>
            <w:hideMark/>
          </w:tcPr>
          <w:p w14:paraId="4AD9D85E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6" w:type="pct"/>
            <w:noWrap/>
            <w:vAlign w:val="center"/>
            <w:hideMark/>
          </w:tcPr>
          <w:p w14:paraId="224E7148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1%</w:t>
            </w:r>
          </w:p>
        </w:tc>
      </w:tr>
      <w:tr w:rsidR="00880FF6" w:rsidRPr="00880FF6" w14:paraId="3EBD8911" w14:textId="77777777" w:rsidTr="00880FF6">
        <w:trPr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Align w:val="center"/>
            <w:hideMark/>
          </w:tcPr>
          <w:p w14:paraId="190845F7" w14:textId="30274F61" w:rsidR="00880FF6" w:rsidRPr="00880FF6" w:rsidRDefault="00880FF6" w:rsidP="00880FF6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 xml:space="preserve">Photochemical Oxidant Formation Potential </w:t>
            </w:r>
          </w:p>
        </w:tc>
        <w:tc>
          <w:tcPr>
            <w:tcW w:w="418" w:type="pct"/>
            <w:noWrap/>
            <w:vAlign w:val="center"/>
            <w:hideMark/>
          </w:tcPr>
          <w:p w14:paraId="6D70C4AF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1A365102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30CE6EB4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35%</w:t>
            </w:r>
          </w:p>
        </w:tc>
        <w:tc>
          <w:tcPr>
            <w:tcW w:w="418" w:type="pct"/>
            <w:noWrap/>
            <w:vAlign w:val="center"/>
            <w:hideMark/>
          </w:tcPr>
          <w:p w14:paraId="7A79B2F9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5%</w:t>
            </w:r>
          </w:p>
        </w:tc>
        <w:tc>
          <w:tcPr>
            <w:tcW w:w="418" w:type="pct"/>
            <w:noWrap/>
            <w:vAlign w:val="center"/>
            <w:hideMark/>
          </w:tcPr>
          <w:p w14:paraId="29D3F484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22%</w:t>
            </w:r>
          </w:p>
        </w:tc>
        <w:tc>
          <w:tcPr>
            <w:tcW w:w="418" w:type="pct"/>
            <w:noWrap/>
            <w:vAlign w:val="center"/>
            <w:hideMark/>
          </w:tcPr>
          <w:p w14:paraId="435841BF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2BDF1567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45%</w:t>
            </w:r>
          </w:p>
        </w:tc>
        <w:tc>
          <w:tcPr>
            <w:tcW w:w="418" w:type="pct"/>
            <w:noWrap/>
            <w:vAlign w:val="center"/>
            <w:hideMark/>
          </w:tcPr>
          <w:p w14:paraId="2844E22B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100%</w:t>
            </w:r>
          </w:p>
        </w:tc>
        <w:tc>
          <w:tcPr>
            <w:tcW w:w="418" w:type="pct"/>
            <w:noWrap/>
            <w:vAlign w:val="center"/>
            <w:hideMark/>
          </w:tcPr>
          <w:p w14:paraId="75A5459D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6" w:type="pct"/>
            <w:noWrap/>
            <w:vAlign w:val="center"/>
            <w:hideMark/>
          </w:tcPr>
          <w:p w14:paraId="606C8880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12%</w:t>
            </w:r>
          </w:p>
        </w:tc>
      </w:tr>
      <w:tr w:rsidR="00880FF6" w:rsidRPr="00880FF6" w14:paraId="4BE0B3E9" w14:textId="77777777" w:rsidTr="00880F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Align w:val="center"/>
            <w:hideMark/>
          </w:tcPr>
          <w:p w14:paraId="0840209A" w14:textId="7BEB3E84" w:rsidR="00880FF6" w:rsidRPr="00880FF6" w:rsidRDefault="00880FF6" w:rsidP="00880FF6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 xml:space="preserve">Energy Consumption </w:t>
            </w:r>
          </w:p>
        </w:tc>
        <w:tc>
          <w:tcPr>
            <w:tcW w:w="418" w:type="pct"/>
            <w:noWrap/>
            <w:vAlign w:val="center"/>
            <w:hideMark/>
          </w:tcPr>
          <w:p w14:paraId="1F2F7C1B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100%</w:t>
            </w:r>
          </w:p>
        </w:tc>
        <w:tc>
          <w:tcPr>
            <w:tcW w:w="418" w:type="pct"/>
            <w:noWrap/>
            <w:vAlign w:val="center"/>
            <w:hideMark/>
          </w:tcPr>
          <w:p w14:paraId="7BB8C835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7AE5A67E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573118BF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118F43A9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40236FEE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4%</w:t>
            </w:r>
          </w:p>
        </w:tc>
        <w:tc>
          <w:tcPr>
            <w:tcW w:w="418" w:type="pct"/>
            <w:noWrap/>
            <w:vAlign w:val="center"/>
            <w:hideMark/>
          </w:tcPr>
          <w:p w14:paraId="2A89C685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0291939E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25D8C9D3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6" w:type="pct"/>
            <w:noWrap/>
            <w:vAlign w:val="center"/>
            <w:hideMark/>
          </w:tcPr>
          <w:p w14:paraId="08C36AB1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</w:tr>
      <w:tr w:rsidR="00880FF6" w:rsidRPr="00880FF6" w14:paraId="01FFD008" w14:textId="77777777" w:rsidTr="00880FF6">
        <w:trPr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Align w:val="center"/>
            <w:hideMark/>
          </w:tcPr>
          <w:p w14:paraId="0662C08C" w14:textId="77777777" w:rsidR="00880FF6" w:rsidRPr="00880FF6" w:rsidRDefault="00880FF6" w:rsidP="00880FF6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Land Used</w:t>
            </w:r>
          </w:p>
        </w:tc>
        <w:tc>
          <w:tcPr>
            <w:tcW w:w="418" w:type="pct"/>
            <w:noWrap/>
            <w:vAlign w:val="center"/>
            <w:hideMark/>
          </w:tcPr>
          <w:p w14:paraId="1581789A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22FC7933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4AC2576B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1CA07F10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54373E76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666410CD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1%</w:t>
            </w:r>
          </w:p>
        </w:tc>
        <w:tc>
          <w:tcPr>
            <w:tcW w:w="418" w:type="pct"/>
            <w:noWrap/>
            <w:vAlign w:val="center"/>
            <w:hideMark/>
          </w:tcPr>
          <w:p w14:paraId="27E583CE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2AFE4EED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1%</w:t>
            </w:r>
          </w:p>
        </w:tc>
        <w:tc>
          <w:tcPr>
            <w:tcW w:w="418" w:type="pct"/>
            <w:noWrap/>
            <w:vAlign w:val="center"/>
            <w:hideMark/>
          </w:tcPr>
          <w:p w14:paraId="7926B2CF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100%</w:t>
            </w:r>
          </w:p>
        </w:tc>
        <w:tc>
          <w:tcPr>
            <w:tcW w:w="416" w:type="pct"/>
            <w:noWrap/>
            <w:vAlign w:val="center"/>
            <w:hideMark/>
          </w:tcPr>
          <w:p w14:paraId="5CA6B1CC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1%</w:t>
            </w:r>
          </w:p>
        </w:tc>
      </w:tr>
      <w:tr w:rsidR="00880FF6" w:rsidRPr="00880FF6" w14:paraId="6BF06D53" w14:textId="77777777" w:rsidTr="00880F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Align w:val="center"/>
            <w:hideMark/>
          </w:tcPr>
          <w:p w14:paraId="4DDC6C1E" w14:textId="77777777" w:rsidR="00880FF6" w:rsidRPr="00880FF6" w:rsidRDefault="00880FF6" w:rsidP="00880FF6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The Use of Water</w:t>
            </w:r>
          </w:p>
        </w:tc>
        <w:tc>
          <w:tcPr>
            <w:tcW w:w="418" w:type="pct"/>
            <w:noWrap/>
            <w:vAlign w:val="center"/>
            <w:hideMark/>
          </w:tcPr>
          <w:p w14:paraId="1C2C90FF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74C345CC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0259A809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100%</w:t>
            </w:r>
          </w:p>
        </w:tc>
        <w:tc>
          <w:tcPr>
            <w:tcW w:w="418" w:type="pct"/>
            <w:noWrap/>
            <w:vAlign w:val="center"/>
            <w:hideMark/>
          </w:tcPr>
          <w:p w14:paraId="44901DBD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9%</w:t>
            </w:r>
          </w:p>
        </w:tc>
        <w:tc>
          <w:tcPr>
            <w:tcW w:w="418" w:type="pct"/>
            <w:noWrap/>
            <w:vAlign w:val="center"/>
            <w:hideMark/>
          </w:tcPr>
          <w:p w14:paraId="67D1A58A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70C893B8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27%</w:t>
            </w:r>
          </w:p>
        </w:tc>
        <w:tc>
          <w:tcPr>
            <w:tcW w:w="418" w:type="pct"/>
            <w:noWrap/>
            <w:vAlign w:val="center"/>
            <w:hideMark/>
          </w:tcPr>
          <w:p w14:paraId="59D7EBF5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4B84086B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2343D8B9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6" w:type="pct"/>
            <w:noWrap/>
            <w:vAlign w:val="center"/>
            <w:hideMark/>
          </w:tcPr>
          <w:p w14:paraId="7CDE019A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</w:tr>
      <w:tr w:rsidR="00880FF6" w:rsidRPr="00880FF6" w14:paraId="0F636D2B" w14:textId="77777777" w:rsidTr="00880FF6">
        <w:trPr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Align w:val="center"/>
            <w:hideMark/>
          </w:tcPr>
          <w:p w14:paraId="019EF714" w14:textId="77777777" w:rsidR="00880FF6" w:rsidRPr="00880FF6" w:rsidRDefault="00880FF6" w:rsidP="00880FF6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Removal of water</w:t>
            </w:r>
          </w:p>
        </w:tc>
        <w:tc>
          <w:tcPr>
            <w:tcW w:w="418" w:type="pct"/>
            <w:noWrap/>
            <w:vAlign w:val="center"/>
            <w:hideMark/>
          </w:tcPr>
          <w:p w14:paraId="4A79595C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2C6606E0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61228641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100%</w:t>
            </w:r>
          </w:p>
        </w:tc>
        <w:tc>
          <w:tcPr>
            <w:tcW w:w="418" w:type="pct"/>
            <w:noWrap/>
            <w:vAlign w:val="center"/>
            <w:hideMark/>
          </w:tcPr>
          <w:p w14:paraId="04856560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9%</w:t>
            </w:r>
          </w:p>
        </w:tc>
        <w:tc>
          <w:tcPr>
            <w:tcW w:w="418" w:type="pct"/>
            <w:noWrap/>
            <w:vAlign w:val="center"/>
            <w:hideMark/>
          </w:tcPr>
          <w:p w14:paraId="0C8ECDB9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5D76EE5F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27%</w:t>
            </w:r>
          </w:p>
        </w:tc>
        <w:tc>
          <w:tcPr>
            <w:tcW w:w="418" w:type="pct"/>
            <w:noWrap/>
            <w:vAlign w:val="center"/>
            <w:hideMark/>
          </w:tcPr>
          <w:p w14:paraId="36A3AD3F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403A1198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0EC1C78B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6" w:type="pct"/>
            <w:noWrap/>
            <w:vAlign w:val="center"/>
            <w:hideMark/>
          </w:tcPr>
          <w:p w14:paraId="3B10D25F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</w:tr>
      <w:tr w:rsidR="00880FF6" w:rsidRPr="003814FB" w14:paraId="1579EE1F" w14:textId="77777777" w:rsidTr="00D55B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11"/>
            <w:vAlign w:val="center"/>
            <w:hideMark/>
          </w:tcPr>
          <w:p w14:paraId="08ADFAC4" w14:textId="6E26ADCE" w:rsidR="00880FF6" w:rsidRPr="00880FF6" w:rsidRDefault="00880FF6" w:rsidP="00880FF6">
            <w:pPr>
              <w:rPr>
                <w:rFonts w:asciiTheme="majorBidi" w:eastAsia="Times New Roman" w:hAnsiTheme="majorBidi" w:cstheme="majorBidi"/>
                <w:i/>
                <w:iCs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Social indicators (positive indicators)</w:t>
            </w:r>
          </w:p>
        </w:tc>
      </w:tr>
      <w:tr w:rsidR="00880FF6" w:rsidRPr="00880FF6" w14:paraId="543C3BDB" w14:textId="77777777" w:rsidTr="00880FF6">
        <w:trPr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Align w:val="center"/>
            <w:hideMark/>
          </w:tcPr>
          <w:p w14:paraId="01B0E898" w14:textId="77777777" w:rsidR="00880FF6" w:rsidRPr="00880FF6" w:rsidRDefault="00880FF6" w:rsidP="00880FF6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Employment</w:t>
            </w:r>
          </w:p>
        </w:tc>
        <w:tc>
          <w:tcPr>
            <w:tcW w:w="418" w:type="pct"/>
            <w:noWrap/>
            <w:vAlign w:val="center"/>
            <w:hideMark/>
          </w:tcPr>
          <w:p w14:paraId="7AD7ADB6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100%</w:t>
            </w:r>
          </w:p>
        </w:tc>
        <w:tc>
          <w:tcPr>
            <w:tcW w:w="418" w:type="pct"/>
            <w:noWrap/>
            <w:vAlign w:val="center"/>
            <w:hideMark/>
          </w:tcPr>
          <w:p w14:paraId="3F301C8D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11%</w:t>
            </w:r>
          </w:p>
        </w:tc>
        <w:tc>
          <w:tcPr>
            <w:tcW w:w="418" w:type="pct"/>
            <w:noWrap/>
            <w:vAlign w:val="center"/>
            <w:hideMark/>
          </w:tcPr>
          <w:p w14:paraId="33C41A53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4%</w:t>
            </w:r>
          </w:p>
        </w:tc>
        <w:tc>
          <w:tcPr>
            <w:tcW w:w="418" w:type="pct"/>
            <w:noWrap/>
            <w:vAlign w:val="center"/>
            <w:hideMark/>
          </w:tcPr>
          <w:p w14:paraId="0532B879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8%</w:t>
            </w:r>
          </w:p>
        </w:tc>
        <w:tc>
          <w:tcPr>
            <w:tcW w:w="418" w:type="pct"/>
            <w:noWrap/>
            <w:vAlign w:val="center"/>
            <w:hideMark/>
          </w:tcPr>
          <w:p w14:paraId="05DBB707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8%</w:t>
            </w:r>
          </w:p>
        </w:tc>
        <w:tc>
          <w:tcPr>
            <w:tcW w:w="418" w:type="pct"/>
            <w:noWrap/>
            <w:vAlign w:val="center"/>
            <w:hideMark/>
          </w:tcPr>
          <w:p w14:paraId="59093C71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22%</w:t>
            </w:r>
          </w:p>
        </w:tc>
        <w:tc>
          <w:tcPr>
            <w:tcW w:w="418" w:type="pct"/>
            <w:noWrap/>
            <w:vAlign w:val="center"/>
            <w:hideMark/>
          </w:tcPr>
          <w:p w14:paraId="52609E08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4%</w:t>
            </w:r>
          </w:p>
        </w:tc>
        <w:tc>
          <w:tcPr>
            <w:tcW w:w="418" w:type="pct"/>
            <w:noWrap/>
            <w:vAlign w:val="center"/>
            <w:hideMark/>
          </w:tcPr>
          <w:p w14:paraId="5F9B70B8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4%</w:t>
            </w:r>
          </w:p>
        </w:tc>
        <w:tc>
          <w:tcPr>
            <w:tcW w:w="418" w:type="pct"/>
            <w:noWrap/>
            <w:vAlign w:val="center"/>
            <w:hideMark/>
          </w:tcPr>
          <w:p w14:paraId="69403E8C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9%</w:t>
            </w:r>
          </w:p>
        </w:tc>
        <w:tc>
          <w:tcPr>
            <w:tcW w:w="416" w:type="pct"/>
            <w:noWrap/>
            <w:vAlign w:val="center"/>
            <w:hideMark/>
          </w:tcPr>
          <w:p w14:paraId="60AC7CCA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4%</w:t>
            </w:r>
          </w:p>
        </w:tc>
      </w:tr>
      <w:tr w:rsidR="00880FF6" w:rsidRPr="00880FF6" w14:paraId="16443154" w14:textId="77777777" w:rsidTr="00880F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Align w:val="center"/>
            <w:hideMark/>
          </w:tcPr>
          <w:p w14:paraId="25D11EAC" w14:textId="77777777" w:rsidR="00880FF6" w:rsidRPr="00880FF6" w:rsidRDefault="00880FF6" w:rsidP="00880FF6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Compensation of employment</w:t>
            </w:r>
          </w:p>
        </w:tc>
        <w:tc>
          <w:tcPr>
            <w:tcW w:w="418" w:type="pct"/>
            <w:noWrap/>
            <w:vAlign w:val="center"/>
            <w:hideMark/>
          </w:tcPr>
          <w:p w14:paraId="6292655A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11%</w:t>
            </w:r>
          </w:p>
        </w:tc>
        <w:tc>
          <w:tcPr>
            <w:tcW w:w="418" w:type="pct"/>
            <w:noWrap/>
            <w:vAlign w:val="center"/>
            <w:hideMark/>
          </w:tcPr>
          <w:p w14:paraId="254728BB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11%</w:t>
            </w:r>
          </w:p>
        </w:tc>
        <w:tc>
          <w:tcPr>
            <w:tcW w:w="418" w:type="pct"/>
            <w:noWrap/>
            <w:vAlign w:val="center"/>
            <w:hideMark/>
          </w:tcPr>
          <w:p w14:paraId="35F24B27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4%</w:t>
            </w:r>
          </w:p>
        </w:tc>
        <w:tc>
          <w:tcPr>
            <w:tcW w:w="418" w:type="pct"/>
            <w:noWrap/>
            <w:vAlign w:val="center"/>
            <w:hideMark/>
          </w:tcPr>
          <w:p w14:paraId="2B39DA01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7%</w:t>
            </w:r>
          </w:p>
        </w:tc>
        <w:tc>
          <w:tcPr>
            <w:tcW w:w="418" w:type="pct"/>
            <w:noWrap/>
            <w:vAlign w:val="center"/>
            <w:hideMark/>
          </w:tcPr>
          <w:p w14:paraId="656D3319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4%</w:t>
            </w:r>
          </w:p>
        </w:tc>
        <w:tc>
          <w:tcPr>
            <w:tcW w:w="418" w:type="pct"/>
            <w:noWrap/>
            <w:vAlign w:val="center"/>
            <w:hideMark/>
          </w:tcPr>
          <w:p w14:paraId="294E4503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22%</w:t>
            </w:r>
          </w:p>
        </w:tc>
        <w:tc>
          <w:tcPr>
            <w:tcW w:w="418" w:type="pct"/>
            <w:noWrap/>
            <w:vAlign w:val="center"/>
            <w:hideMark/>
          </w:tcPr>
          <w:p w14:paraId="3ABA5264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4%</w:t>
            </w:r>
          </w:p>
        </w:tc>
        <w:tc>
          <w:tcPr>
            <w:tcW w:w="418" w:type="pct"/>
            <w:noWrap/>
            <w:vAlign w:val="center"/>
            <w:hideMark/>
          </w:tcPr>
          <w:p w14:paraId="18F7990D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4%</w:t>
            </w:r>
          </w:p>
        </w:tc>
        <w:tc>
          <w:tcPr>
            <w:tcW w:w="418" w:type="pct"/>
            <w:noWrap/>
            <w:vAlign w:val="center"/>
            <w:hideMark/>
          </w:tcPr>
          <w:p w14:paraId="6DB74F94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100%</w:t>
            </w:r>
          </w:p>
        </w:tc>
        <w:tc>
          <w:tcPr>
            <w:tcW w:w="416" w:type="pct"/>
            <w:noWrap/>
            <w:vAlign w:val="center"/>
            <w:hideMark/>
          </w:tcPr>
          <w:p w14:paraId="2C74C206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4%</w:t>
            </w:r>
          </w:p>
        </w:tc>
      </w:tr>
      <w:tr w:rsidR="00880FF6" w:rsidRPr="00880FF6" w14:paraId="39EB36B7" w14:textId="77777777" w:rsidTr="00880FF6">
        <w:trPr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Align w:val="center"/>
            <w:hideMark/>
          </w:tcPr>
          <w:p w14:paraId="5125327D" w14:textId="77777777" w:rsidR="00880FF6" w:rsidRPr="00880FF6" w:rsidRDefault="00880FF6" w:rsidP="00880FF6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Total Tax</w:t>
            </w:r>
          </w:p>
        </w:tc>
        <w:tc>
          <w:tcPr>
            <w:tcW w:w="418" w:type="pct"/>
            <w:noWrap/>
            <w:vAlign w:val="center"/>
            <w:hideMark/>
          </w:tcPr>
          <w:p w14:paraId="1B0ED07C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2260EE2E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7B9E18F9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100%</w:t>
            </w:r>
          </w:p>
        </w:tc>
        <w:tc>
          <w:tcPr>
            <w:tcW w:w="418" w:type="pct"/>
            <w:noWrap/>
            <w:vAlign w:val="center"/>
            <w:hideMark/>
          </w:tcPr>
          <w:p w14:paraId="7B31067C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44%</w:t>
            </w:r>
          </w:p>
        </w:tc>
        <w:tc>
          <w:tcPr>
            <w:tcW w:w="418" w:type="pct"/>
            <w:noWrap/>
            <w:vAlign w:val="center"/>
            <w:hideMark/>
          </w:tcPr>
          <w:p w14:paraId="22D2B0F8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1%</w:t>
            </w:r>
          </w:p>
        </w:tc>
        <w:tc>
          <w:tcPr>
            <w:tcW w:w="418" w:type="pct"/>
            <w:noWrap/>
            <w:vAlign w:val="center"/>
            <w:hideMark/>
          </w:tcPr>
          <w:p w14:paraId="07DBDF8E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63%</w:t>
            </w:r>
          </w:p>
        </w:tc>
        <w:tc>
          <w:tcPr>
            <w:tcW w:w="418" w:type="pct"/>
            <w:noWrap/>
            <w:vAlign w:val="center"/>
            <w:hideMark/>
          </w:tcPr>
          <w:p w14:paraId="191C0CAD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9%</w:t>
            </w:r>
          </w:p>
        </w:tc>
        <w:tc>
          <w:tcPr>
            <w:tcW w:w="418" w:type="pct"/>
            <w:noWrap/>
            <w:vAlign w:val="center"/>
            <w:hideMark/>
          </w:tcPr>
          <w:p w14:paraId="641F0444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75%</w:t>
            </w:r>
          </w:p>
        </w:tc>
        <w:tc>
          <w:tcPr>
            <w:tcW w:w="418" w:type="pct"/>
            <w:noWrap/>
            <w:vAlign w:val="center"/>
            <w:hideMark/>
          </w:tcPr>
          <w:p w14:paraId="14F3801E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19%</w:t>
            </w:r>
          </w:p>
        </w:tc>
        <w:tc>
          <w:tcPr>
            <w:tcW w:w="416" w:type="pct"/>
            <w:noWrap/>
            <w:vAlign w:val="center"/>
            <w:hideMark/>
          </w:tcPr>
          <w:p w14:paraId="5C86C973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4%</w:t>
            </w:r>
          </w:p>
        </w:tc>
      </w:tr>
      <w:tr w:rsidR="00880FF6" w:rsidRPr="00880FF6" w14:paraId="67DC6769" w14:textId="77777777" w:rsidTr="00880F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Align w:val="center"/>
            <w:hideMark/>
          </w:tcPr>
          <w:p w14:paraId="0F9EE094" w14:textId="77777777" w:rsidR="00880FF6" w:rsidRPr="00880FF6" w:rsidRDefault="00880FF6" w:rsidP="00880FF6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Man Hours</w:t>
            </w:r>
          </w:p>
        </w:tc>
        <w:tc>
          <w:tcPr>
            <w:tcW w:w="418" w:type="pct"/>
            <w:noWrap/>
            <w:vAlign w:val="center"/>
            <w:hideMark/>
          </w:tcPr>
          <w:p w14:paraId="5D1A35ED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100%</w:t>
            </w:r>
          </w:p>
        </w:tc>
        <w:tc>
          <w:tcPr>
            <w:tcW w:w="418" w:type="pct"/>
            <w:noWrap/>
            <w:vAlign w:val="center"/>
            <w:hideMark/>
          </w:tcPr>
          <w:p w14:paraId="5193ACB9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12%</w:t>
            </w:r>
          </w:p>
        </w:tc>
        <w:tc>
          <w:tcPr>
            <w:tcW w:w="418" w:type="pct"/>
            <w:noWrap/>
            <w:vAlign w:val="center"/>
            <w:hideMark/>
          </w:tcPr>
          <w:p w14:paraId="29561711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4%</w:t>
            </w:r>
          </w:p>
        </w:tc>
        <w:tc>
          <w:tcPr>
            <w:tcW w:w="418" w:type="pct"/>
            <w:noWrap/>
            <w:vAlign w:val="center"/>
            <w:hideMark/>
          </w:tcPr>
          <w:p w14:paraId="66BFA331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8%</w:t>
            </w:r>
          </w:p>
        </w:tc>
        <w:tc>
          <w:tcPr>
            <w:tcW w:w="418" w:type="pct"/>
            <w:noWrap/>
            <w:vAlign w:val="center"/>
            <w:hideMark/>
          </w:tcPr>
          <w:p w14:paraId="60E47B98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5%</w:t>
            </w:r>
          </w:p>
        </w:tc>
        <w:tc>
          <w:tcPr>
            <w:tcW w:w="418" w:type="pct"/>
            <w:noWrap/>
            <w:vAlign w:val="center"/>
            <w:hideMark/>
          </w:tcPr>
          <w:p w14:paraId="38666C88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24%</w:t>
            </w:r>
          </w:p>
        </w:tc>
        <w:tc>
          <w:tcPr>
            <w:tcW w:w="418" w:type="pct"/>
            <w:noWrap/>
            <w:vAlign w:val="center"/>
            <w:hideMark/>
          </w:tcPr>
          <w:p w14:paraId="4C5E6FFA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4%</w:t>
            </w:r>
          </w:p>
        </w:tc>
        <w:tc>
          <w:tcPr>
            <w:tcW w:w="418" w:type="pct"/>
            <w:noWrap/>
            <w:vAlign w:val="center"/>
            <w:hideMark/>
          </w:tcPr>
          <w:p w14:paraId="5DFAAA1A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10%</w:t>
            </w:r>
          </w:p>
        </w:tc>
        <w:tc>
          <w:tcPr>
            <w:tcW w:w="418" w:type="pct"/>
            <w:noWrap/>
            <w:vAlign w:val="center"/>
            <w:hideMark/>
          </w:tcPr>
          <w:p w14:paraId="745C90F1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16%</w:t>
            </w:r>
          </w:p>
        </w:tc>
        <w:tc>
          <w:tcPr>
            <w:tcW w:w="416" w:type="pct"/>
            <w:noWrap/>
            <w:vAlign w:val="center"/>
            <w:hideMark/>
          </w:tcPr>
          <w:p w14:paraId="1E31642A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</w:tr>
      <w:tr w:rsidR="00880FF6" w:rsidRPr="003814FB" w14:paraId="6135397C" w14:textId="77777777" w:rsidTr="00D55BF9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11"/>
            <w:vAlign w:val="center"/>
            <w:hideMark/>
          </w:tcPr>
          <w:p w14:paraId="623332EB" w14:textId="17D36971" w:rsidR="00880FF6" w:rsidRPr="00880FF6" w:rsidRDefault="00880FF6" w:rsidP="00880FF6">
            <w:pPr>
              <w:rPr>
                <w:rFonts w:asciiTheme="majorBidi" w:eastAsia="Times New Roman" w:hAnsiTheme="majorBidi" w:cstheme="majorBidi"/>
                <w:i/>
                <w:iCs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Social indicators (negative indicators)</w:t>
            </w:r>
          </w:p>
        </w:tc>
      </w:tr>
      <w:tr w:rsidR="00880FF6" w:rsidRPr="00880FF6" w14:paraId="2BC1D2C3" w14:textId="77777777" w:rsidTr="00880F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Align w:val="center"/>
            <w:hideMark/>
          </w:tcPr>
          <w:p w14:paraId="51EB3B43" w14:textId="77777777" w:rsidR="00880FF6" w:rsidRPr="00880FF6" w:rsidRDefault="00880FF6" w:rsidP="00880FF6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Human Health</w:t>
            </w:r>
          </w:p>
        </w:tc>
        <w:tc>
          <w:tcPr>
            <w:tcW w:w="418" w:type="pct"/>
            <w:noWrap/>
            <w:vAlign w:val="center"/>
            <w:hideMark/>
          </w:tcPr>
          <w:p w14:paraId="484D64C9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5C205EFD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60E9064C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7%</w:t>
            </w:r>
          </w:p>
        </w:tc>
        <w:tc>
          <w:tcPr>
            <w:tcW w:w="418" w:type="pct"/>
            <w:noWrap/>
            <w:vAlign w:val="center"/>
            <w:hideMark/>
          </w:tcPr>
          <w:p w14:paraId="66A36B26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100%</w:t>
            </w:r>
          </w:p>
        </w:tc>
        <w:tc>
          <w:tcPr>
            <w:tcW w:w="418" w:type="pct"/>
            <w:noWrap/>
            <w:vAlign w:val="center"/>
            <w:hideMark/>
          </w:tcPr>
          <w:p w14:paraId="26526CF8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4%</w:t>
            </w:r>
          </w:p>
        </w:tc>
        <w:tc>
          <w:tcPr>
            <w:tcW w:w="418" w:type="pct"/>
            <w:noWrap/>
            <w:vAlign w:val="center"/>
            <w:hideMark/>
          </w:tcPr>
          <w:p w14:paraId="432B299B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69E7EC08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8%</w:t>
            </w:r>
          </w:p>
        </w:tc>
        <w:tc>
          <w:tcPr>
            <w:tcW w:w="418" w:type="pct"/>
            <w:noWrap/>
            <w:vAlign w:val="center"/>
            <w:hideMark/>
          </w:tcPr>
          <w:p w14:paraId="0156EF1D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16%</w:t>
            </w:r>
          </w:p>
        </w:tc>
        <w:tc>
          <w:tcPr>
            <w:tcW w:w="418" w:type="pct"/>
            <w:noWrap/>
            <w:vAlign w:val="center"/>
            <w:hideMark/>
          </w:tcPr>
          <w:p w14:paraId="7F1FD6D7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6" w:type="pct"/>
            <w:noWrap/>
            <w:vAlign w:val="center"/>
            <w:hideMark/>
          </w:tcPr>
          <w:p w14:paraId="0381F5DD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2%</w:t>
            </w:r>
          </w:p>
        </w:tc>
      </w:tr>
      <w:tr w:rsidR="00880FF6" w:rsidRPr="003814FB" w14:paraId="4BBF0814" w14:textId="77777777" w:rsidTr="00D55BF9">
        <w:trPr>
          <w:trHeight w:val="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11"/>
            <w:vAlign w:val="center"/>
            <w:hideMark/>
          </w:tcPr>
          <w:p w14:paraId="366B4190" w14:textId="52BC20F4" w:rsidR="00880FF6" w:rsidRPr="00880FF6" w:rsidRDefault="00880FF6" w:rsidP="00880FF6">
            <w:pPr>
              <w:rPr>
                <w:rFonts w:asciiTheme="majorBidi" w:eastAsia="Times New Roman" w:hAnsiTheme="majorBidi" w:cstheme="majorBidi"/>
                <w:i/>
                <w:iCs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Economic indicators (positive indicators)</w:t>
            </w:r>
          </w:p>
        </w:tc>
      </w:tr>
      <w:tr w:rsidR="00880FF6" w:rsidRPr="00880FF6" w14:paraId="333F7DC2" w14:textId="77777777" w:rsidTr="00880F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Align w:val="center"/>
            <w:hideMark/>
          </w:tcPr>
          <w:p w14:paraId="7AA5CE24" w14:textId="5F2F710A" w:rsidR="00880FF6" w:rsidRPr="00880FF6" w:rsidRDefault="00880FF6" w:rsidP="00880FF6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Gross Operating Surplus</w:t>
            </w:r>
          </w:p>
        </w:tc>
        <w:tc>
          <w:tcPr>
            <w:tcW w:w="418" w:type="pct"/>
            <w:noWrap/>
            <w:vAlign w:val="center"/>
            <w:hideMark/>
          </w:tcPr>
          <w:p w14:paraId="45E223FA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68%</w:t>
            </w:r>
          </w:p>
        </w:tc>
        <w:tc>
          <w:tcPr>
            <w:tcW w:w="418" w:type="pct"/>
            <w:noWrap/>
            <w:vAlign w:val="center"/>
            <w:hideMark/>
          </w:tcPr>
          <w:p w14:paraId="0F8B130D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65669C68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100%</w:t>
            </w:r>
          </w:p>
        </w:tc>
        <w:tc>
          <w:tcPr>
            <w:tcW w:w="418" w:type="pct"/>
            <w:noWrap/>
            <w:vAlign w:val="center"/>
            <w:hideMark/>
          </w:tcPr>
          <w:p w14:paraId="2C8B34F3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44%</w:t>
            </w:r>
          </w:p>
        </w:tc>
        <w:tc>
          <w:tcPr>
            <w:tcW w:w="418" w:type="pct"/>
            <w:noWrap/>
            <w:vAlign w:val="center"/>
            <w:hideMark/>
          </w:tcPr>
          <w:p w14:paraId="737B08B8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1%</w:t>
            </w:r>
          </w:p>
        </w:tc>
        <w:tc>
          <w:tcPr>
            <w:tcW w:w="418" w:type="pct"/>
            <w:noWrap/>
            <w:vAlign w:val="center"/>
            <w:hideMark/>
          </w:tcPr>
          <w:p w14:paraId="520A6EC2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63%</w:t>
            </w:r>
          </w:p>
        </w:tc>
        <w:tc>
          <w:tcPr>
            <w:tcW w:w="418" w:type="pct"/>
            <w:noWrap/>
            <w:vAlign w:val="center"/>
            <w:hideMark/>
          </w:tcPr>
          <w:p w14:paraId="7547E250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9%</w:t>
            </w:r>
          </w:p>
        </w:tc>
        <w:tc>
          <w:tcPr>
            <w:tcW w:w="418" w:type="pct"/>
            <w:noWrap/>
            <w:vAlign w:val="center"/>
            <w:hideMark/>
          </w:tcPr>
          <w:p w14:paraId="61C20F19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75%</w:t>
            </w:r>
          </w:p>
        </w:tc>
        <w:tc>
          <w:tcPr>
            <w:tcW w:w="418" w:type="pct"/>
            <w:noWrap/>
            <w:vAlign w:val="center"/>
            <w:hideMark/>
          </w:tcPr>
          <w:p w14:paraId="6CCA0B9E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19%</w:t>
            </w:r>
          </w:p>
        </w:tc>
        <w:tc>
          <w:tcPr>
            <w:tcW w:w="416" w:type="pct"/>
            <w:noWrap/>
            <w:vAlign w:val="center"/>
            <w:hideMark/>
          </w:tcPr>
          <w:p w14:paraId="1E2CAEED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4%</w:t>
            </w:r>
          </w:p>
        </w:tc>
      </w:tr>
      <w:tr w:rsidR="00880FF6" w:rsidRPr="00880FF6" w14:paraId="6446598C" w14:textId="77777777" w:rsidTr="00880FF6">
        <w:trPr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Align w:val="center"/>
            <w:hideMark/>
          </w:tcPr>
          <w:p w14:paraId="25C85624" w14:textId="77777777" w:rsidR="00880FF6" w:rsidRPr="00880FF6" w:rsidRDefault="00880FF6" w:rsidP="00880FF6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Salvage value (End of life)</w:t>
            </w:r>
          </w:p>
        </w:tc>
        <w:tc>
          <w:tcPr>
            <w:tcW w:w="418" w:type="pct"/>
            <w:noWrap/>
            <w:vAlign w:val="center"/>
            <w:hideMark/>
          </w:tcPr>
          <w:p w14:paraId="119D74AE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100%</w:t>
            </w:r>
          </w:p>
        </w:tc>
        <w:tc>
          <w:tcPr>
            <w:tcW w:w="418" w:type="pct"/>
            <w:noWrap/>
            <w:vAlign w:val="center"/>
            <w:hideMark/>
          </w:tcPr>
          <w:p w14:paraId="6091E344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57C8A069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16%</w:t>
            </w:r>
          </w:p>
        </w:tc>
        <w:tc>
          <w:tcPr>
            <w:tcW w:w="418" w:type="pct"/>
            <w:noWrap/>
            <w:vAlign w:val="center"/>
            <w:hideMark/>
          </w:tcPr>
          <w:p w14:paraId="46BECDE3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18%</w:t>
            </w:r>
          </w:p>
        </w:tc>
        <w:tc>
          <w:tcPr>
            <w:tcW w:w="418" w:type="pct"/>
            <w:noWrap/>
            <w:vAlign w:val="center"/>
            <w:hideMark/>
          </w:tcPr>
          <w:p w14:paraId="20ED4CF7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4AAE6EDB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26%</w:t>
            </w:r>
          </w:p>
        </w:tc>
        <w:tc>
          <w:tcPr>
            <w:tcW w:w="418" w:type="pct"/>
            <w:noWrap/>
            <w:vAlign w:val="center"/>
            <w:hideMark/>
          </w:tcPr>
          <w:p w14:paraId="20DF9A35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9%</w:t>
            </w:r>
          </w:p>
        </w:tc>
        <w:tc>
          <w:tcPr>
            <w:tcW w:w="418" w:type="pct"/>
            <w:noWrap/>
            <w:vAlign w:val="center"/>
            <w:hideMark/>
          </w:tcPr>
          <w:p w14:paraId="3D2BA424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4E44DE75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6%</w:t>
            </w:r>
          </w:p>
        </w:tc>
        <w:tc>
          <w:tcPr>
            <w:tcW w:w="416" w:type="pct"/>
            <w:noWrap/>
            <w:vAlign w:val="center"/>
            <w:hideMark/>
          </w:tcPr>
          <w:p w14:paraId="4316FF20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</w:tr>
      <w:tr w:rsidR="00880FF6" w:rsidRPr="003814FB" w14:paraId="152A18C6" w14:textId="77777777" w:rsidTr="00D55B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11"/>
            <w:vAlign w:val="center"/>
            <w:hideMark/>
          </w:tcPr>
          <w:p w14:paraId="7E5B71CF" w14:textId="2CE76A91" w:rsidR="00880FF6" w:rsidRPr="00880FF6" w:rsidRDefault="00880FF6" w:rsidP="00880FF6">
            <w:pPr>
              <w:rPr>
                <w:rFonts w:asciiTheme="majorBidi" w:eastAsia="Times New Roman" w:hAnsiTheme="majorBidi" w:cstheme="majorBidi"/>
                <w:i/>
                <w:iCs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Economic indicators (negative indicators)</w:t>
            </w:r>
          </w:p>
        </w:tc>
      </w:tr>
      <w:tr w:rsidR="00880FF6" w:rsidRPr="00880FF6" w14:paraId="77D6FD7F" w14:textId="77777777" w:rsidTr="00880FF6">
        <w:trPr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Align w:val="center"/>
            <w:hideMark/>
          </w:tcPr>
          <w:p w14:paraId="0B05201A" w14:textId="144DB1B2" w:rsidR="00880FF6" w:rsidRPr="00880FF6" w:rsidRDefault="00880FF6" w:rsidP="00880FF6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 xml:space="preserve">Operational Cost </w:t>
            </w:r>
          </w:p>
        </w:tc>
        <w:tc>
          <w:tcPr>
            <w:tcW w:w="418" w:type="pct"/>
            <w:noWrap/>
            <w:vAlign w:val="center"/>
            <w:hideMark/>
          </w:tcPr>
          <w:p w14:paraId="5EAD3373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359BB0D9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30DC4827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100%</w:t>
            </w:r>
          </w:p>
        </w:tc>
        <w:tc>
          <w:tcPr>
            <w:tcW w:w="418" w:type="pct"/>
            <w:noWrap/>
            <w:vAlign w:val="center"/>
            <w:hideMark/>
          </w:tcPr>
          <w:p w14:paraId="0DC8D969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34%</w:t>
            </w:r>
          </w:p>
        </w:tc>
        <w:tc>
          <w:tcPr>
            <w:tcW w:w="418" w:type="pct"/>
            <w:noWrap/>
            <w:vAlign w:val="center"/>
            <w:hideMark/>
          </w:tcPr>
          <w:p w14:paraId="6D49516E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30C5E352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49%</w:t>
            </w:r>
          </w:p>
        </w:tc>
        <w:tc>
          <w:tcPr>
            <w:tcW w:w="418" w:type="pct"/>
            <w:noWrap/>
            <w:vAlign w:val="center"/>
            <w:hideMark/>
          </w:tcPr>
          <w:p w14:paraId="32AE8C18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1%</w:t>
            </w:r>
          </w:p>
        </w:tc>
        <w:tc>
          <w:tcPr>
            <w:tcW w:w="418" w:type="pct"/>
            <w:noWrap/>
            <w:vAlign w:val="center"/>
            <w:hideMark/>
          </w:tcPr>
          <w:p w14:paraId="6D413D3F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7%</w:t>
            </w:r>
          </w:p>
        </w:tc>
        <w:tc>
          <w:tcPr>
            <w:tcW w:w="418" w:type="pct"/>
            <w:noWrap/>
            <w:vAlign w:val="center"/>
            <w:hideMark/>
          </w:tcPr>
          <w:p w14:paraId="7AD7937E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34%</w:t>
            </w:r>
          </w:p>
        </w:tc>
        <w:tc>
          <w:tcPr>
            <w:tcW w:w="416" w:type="pct"/>
            <w:noWrap/>
            <w:vAlign w:val="center"/>
            <w:hideMark/>
          </w:tcPr>
          <w:p w14:paraId="3B42417C" w14:textId="77777777" w:rsidR="00880FF6" w:rsidRPr="00880FF6" w:rsidRDefault="00880FF6" w:rsidP="00880F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</w:tr>
      <w:tr w:rsidR="00880FF6" w:rsidRPr="00880FF6" w14:paraId="4926E0A9" w14:textId="77777777" w:rsidTr="00880F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Align w:val="center"/>
            <w:hideMark/>
          </w:tcPr>
          <w:p w14:paraId="0DC7EDF8" w14:textId="77777777" w:rsidR="00880FF6" w:rsidRPr="00880FF6" w:rsidRDefault="00880FF6" w:rsidP="00880FF6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Equipment Cost</w:t>
            </w:r>
          </w:p>
        </w:tc>
        <w:tc>
          <w:tcPr>
            <w:tcW w:w="418" w:type="pct"/>
            <w:noWrap/>
            <w:vAlign w:val="center"/>
            <w:hideMark/>
          </w:tcPr>
          <w:p w14:paraId="4A010E3F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98%</w:t>
            </w:r>
          </w:p>
        </w:tc>
        <w:tc>
          <w:tcPr>
            <w:tcW w:w="418" w:type="pct"/>
            <w:noWrap/>
            <w:vAlign w:val="center"/>
            <w:hideMark/>
          </w:tcPr>
          <w:p w14:paraId="258C67D9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0%</w:t>
            </w:r>
          </w:p>
        </w:tc>
        <w:tc>
          <w:tcPr>
            <w:tcW w:w="418" w:type="pct"/>
            <w:noWrap/>
            <w:vAlign w:val="center"/>
            <w:hideMark/>
          </w:tcPr>
          <w:p w14:paraId="1678A4F6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19%</w:t>
            </w:r>
          </w:p>
        </w:tc>
        <w:tc>
          <w:tcPr>
            <w:tcW w:w="418" w:type="pct"/>
            <w:noWrap/>
            <w:vAlign w:val="center"/>
            <w:hideMark/>
          </w:tcPr>
          <w:p w14:paraId="2D5D1C87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22%</w:t>
            </w:r>
          </w:p>
        </w:tc>
        <w:tc>
          <w:tcPr>
            <w:tcW w:w="418" w:type="pct"/>
            <w:noWrap/>
            <w:vAlign w:val="center"/>
            <w:hideMark/>
          </w:tcPr>
          <w:p w14:paraId="681C327E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1%</w:t>
            </w:r>
          </w:p>
        </w:tc>
        <w:tc>
          <w:tcPr>
            <w:tcW w:w="418" w:type="pct"/>
            <w:noWrap/>
            <w:vAlign w:val="center"/>
            <w:hideMark/>
          </w:tcPr>
          <w:p w14:paraId="1CCA089B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30%</w:t>
            </w:r>
          </w:p>
        </w:tc>
        <w:tc>
          <w:tcPr>
            <w:tcW w:w="418" w:type="pct"/>
            <w:noWrap/>
            <w:vAlign w:val="center"/>
            <w:hideMark/>
          </w:tcPr>
          <w:p w14:paraId="0DB8ED51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11%</w:t>
            </w:r>
          </w:p>
        </w:tc>
        <w:tc>
          <w:tcPr>
            <w:tcW w:w="418" w:type="pct"/>
            <w:noWrap/>
            <w:vAlign w:val="center"/>
            <w:hideMark/>
          </w:tcPr>
          <w:p w14:paraId="0A74E916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100%</w:t>
            </w:r>
          </w:p>
        </w:tc>
        <w:tc>
          <w:tcPr>
            <w:tcW w:w="418" w:type="pct"/>
            <w:noWrap/>
            <w:vAlign w:val="center"/>
            <w:hideMark/>
          </w:tcPr>
          <w:p w14:paraId="421EAE5C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6%</w:t>
            </w:r>
          </w:p>
        </w:tc>
        <w:tc>
          <w:tcPr>
            <w:tcW w:w="416" w:type="pct"/>
            <w:noWrap/>
            <w:vAlign w:val="center"/>
            <w:hideMark/>
          </w:tcPr>
          <w:p w14:paraId="2E13D032" w14:textId="77777777" w:rsidR="00880FF6" w:rsidRPr="00880FF6" w:rsidRDefault="00880FF6" w:rsidP="00880F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880FF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5%</w:t>
            </w:r>
          </w:p>
        </w:tc>
      </w:tr>
    </w:tbl>
    <w:p w14:paraId="3C3F239F" w14:textId="3962365B" w:rsidR="00880FF6" w:rsidRDefault="00880FF6" w:rsidP="00BA6307">
      <w:pPr>
        <w:spacing w:before="240" w:line="480" w:lineRule="auto"/>
        <w:ind w:firstLine="720"/>
        <w:jc w:val="both"/>
        <w:rPr>
          <w:rFonts w:asciiTheme="majorBidi" w:hAnsiTheme="majorBidi" w:cstheme="majorBidi"/>
        </w:rPr>
      </w:pPr>
    </w:p>
    <w:p w14:paraId="07CC2637" w14:textId="77777777" w:rsidR="00D55BF9" w:rsidRDefault="00D55BF9" w:rsidP="00BA6307">
      <w:pPr>
        <w:spacing w:before="240" w:line="480" w:lineRule="auto"/>
        <w:ind w:firstLine="720"/>
        <w:jc w:val="both"/>
        <w:rPr>
          <w:rFonts w:asciiTheme="majorBidi" w:hAnsiTheme="majorBidi" w:cstheme="majorBidi"/>
        </w:rPr>
      </w:pPr>
    </w:p>
    <w:p w14:paraId="559E3AB7" w14:textId="4DC530B9" w:rsidR="003814FB" w:rsidRDefault="003814FB" w:rsidP="00D55BF9">
      <w:pPr>
        <w:spacing w:after="0" w:line="480" w:lineRule="auto"/>
        <w:ind w:firstLine="720"/>
        <w:jc w:val="center"/>
        <w:rPr>
          <w:rFonts w:asciiTheme="majorBidi" w:hAnsiTheme="majorBidi" w:cstheme="majorBidi"/>
        </w:rPr>
      </w:pPr>
      <w:r w:rsidRPr="00762042">
        <w:rPr>
          <w:rFonts w:asciiTheme="majorBidi" w:hAnsiTheme="majorBidi" w:cstheme="majorBidi"/>
          <w:b/>
          <w:bCs/>
        </w:rPr>
        <w:lastRenderedPageBreak/>
        <w:t xml:space="preserve">Table </w:t>
      </w:r>
      <w:r w:rsidR="00762042">
        <w:rPr>
          <w:rFonts w:asciiTheme="majorBidi" w:hAnsiTheme="majorBidi" w:cstheme="majorBidi"/>
          <w:b/>
          <w:bCs/>
        </w:rPr>
        <w:t>3</w:t>
      </w:r>
      <w:r w:rsidRPr="00762042">
        <w:rPr>
          <w:rFonts w:asciiTheme="majorBidi" w:hAnsiTheme="majorBidi" w:cstheme="majorBidi"/>
          <w:b/>
          <w:bCs/>
        </w:rPr>
        <w:t>.</w:t>
      </w:r>
      <w:r w:rsidRPr="00BE39F5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Scoring of each LCI</w:t>
      </w:r>
      <w:r w:rsidRPr="00BE39F5">
        <w:rPr>
          <w:rFonts w:asciiTheme="majorBidi" w:hAnsiTheme="majorBidi" w:cstheme="majorBidi"/>
        </w:rPr>
        <w:t>.</w:t>
      </w:r>
    </w:p>
    <w:tbl>
      <w:tblPr>
        <w:tblStyle w:val="PlainTable2"/>
        <w:tblW w:w="5000" w:type="pct"/>
        <w:tblLook w:val="04A0" w:firstRow="1" w:lastRow="0" w:firstColumn="1" w:lastColumn="0" w:noHBand="0" w:noVBand="1"/>
      </w:tblPr>
      <w:tblGrid>
        <w:gridCol w:w="3443"/>
        <w:gridCol w:w="1751"/>
        <w:gridCol w:w="1751"/>
        <w:gridCol w:w="1751"/>
        <w:gridCol w:w="1750"/>
        <w:gridCol w:w="1750"/>
        <w:gridCol w:w="1750"/>
        <w:gridCol w:w="1750"/>
        <w:gridCol w:w="1750"/>
        <w:gridCol w:w="1750"/>
        <w:gridCol w:w="1742"/>
      </w:tblGrid>
      <w:tr w:rsidR="003814FB" w:rsidRPr="003814FB" w14:paraId="39240137" w14:textId="77777777" w:rsidTr="002D5A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noWrap/>
            <w:vAlign w:val="center"/>
            <w:hideMark/>
          </w:tcPr>
          <w:p w14:paraId="3F76D76E" w14:textId="77777777" w:rsidR="003814FB" w:rsidRPr="003814FB" w:rsidRDefault="003814FB" w:rsidP="003814FB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18" w:type="pct"/>
            <w:vAlign w:val="center"/>
            <w:hideMark/>
          </w:tcPr>
          <w:p w14:paraId="4D3365B6" w14:textId="77777777" w:rsidR="003814FB" w:rsidRPr="003814FB" w:rsidRDefault="003814FB" w:rsidP="003814F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Natural gas extraction</w:t>
            </w:r>
          </w:p>
        </w:tc>
        <w:tc>
          <w:tcPr>
            <w:tcW w:w="418" w:type="pct"/>
            <w:vAlign w:val="center"/>
            <w:hideMark/>
          </w:tcPr>
          <w:p w14:paraId="47D1CD49" w14:textId="77777777" w:rsidR="003814FB" w:rsidRPr="003814FB" w:rsidRDefault="003814FB" w:rsidP="003814F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Pre-separation unit</w:t>
            </w:r>
          </w:p>
        </w:tc>
        <w:tc>
          <w:tcPr>
            <w:tcW w:w="418" w:type="pct"/>
            <w:vAlign w:val="center"/>
            <w:hideMark/>
          </w:tcPr>
          <w:p w14:paraId="56BD3F03" w14:textId="77777777" w:rsidR="003814FB" w:rsidRPr="003814FB" w:rsidRDefault="003814FB" w:rsidP="003814F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MDEA Sweetening unit</w:t>
            </w:r>
          </w:p>
        </w:tc>
        <w:tc>
          <w:tcPr>
            <w:tcW w:w="418" w:type="pct"/>
            <w:vAlign w:val="center"/>
            <w:hideMark/>
          </w:tcPr>
          <w:p w14:paraId="35273998" w14:textId="77777777" w:rsidR="003814FB" w:rsidRPr="003814FB" w:rsidRDefault="003814FB" w:rsidP="003814F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SRU and TGTU units</w:t>
            </w:r>
          </w:p>
        </w:tc>
        <w:tc>
          <w:tcPr>
            <w:tcW w:w="418" w:type="pct"/>
            <w:vAlign w:val="center"/>
            <w:hideMark/>
          </w:tcPr>
          <w:p w14:paraId="3CD95E73" w14:textId="77777777" w:rsidR="003814FB" w:rsidRPr="003814FB" w:rsidRDefault="003814FB" w:rsidP="003814F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Dewatering unit</w:t>
            </w:r>
          </w:p>
        </w:tc>
        <w:tc>
          <w:tcPr>
            <w:tcW w:w="418" w:type="pct"/>
            <w:vAlign w:val="center"/>
            <w:hideMark/>
          </w:tcPr>
          <w:p w14:paraId="7A0940A2" w14:textId="77777777" w:rsidR="003814FB" w:rsidRPr="003814FB" w:rsidRDefault="003814FB" w:rsidP="003814F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NGL recovery and fractionation units</w:t>
            </w:r>
          </w:p>
        </w:tc>
        <w:tc>
          <w:tcPr>
            <w:tcW w:w="418" w:type="pct"/>
            <w:vAlign w:val="center"/>
            <w:hideMark/>
          </w:tcPr>
          <w:p w14:paraId="50018568" w14:textId="77777777" w:rsidR="003814FB" w:rsidRPr="003814FB" w:rsidRDefault="003814FB" w:rsidP="003814F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Liquefaction unit</w:t>
            </w:r>
          </w:p>
        </w:tc>
        <w:tc>
          <w:tcPr>
            <w:tcW w:w="418" w:type="pct"/>
            <w:vAlign w:val="center"/>
            <w:hideMark/>
          </w:tcPr>
          <w:p w14:paraId="6567B8AD" w14:textId="77777777" w:rsidR="003814FB" w:rsidRPr="003814FB" w:rsidRDefault="003814FB" w:rsidP="003814F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LNG loading (export terminal)</w:t>
            </w:r>
          </w:p>
        </w:tc>
        <w:tc>
          <w:tcPr>
            <w:tcW w:w="418" w:type="pct"/>
            <w:vAlign w:val="center"/>
            <w:hideMark/>
          </w:tcPr>
          <w:p w14:paraId="5724B324" w14:textId="77777777" w:rsidR="003814FB" w:rsidRPr="003814FB" w:rsidRDefault="003814FB" w:rsidP="003814F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LNG shipping</w:t>
            </w:r>
          </w:p>
        </w:tc>
        <w:tc>
          <w:tcPr>
            <w:tcW w:w="416" w:type="pct"/>
            <w:vAlign w:val="center"/>
            <w:hideMark/>
          </w:tcPr>
          <w:p w14:paraId="35F9544E" w14:textId="77777777" w:rsidR="003814FB" w:rsidRPr="003814FB" w:rsidRDefault="003814FB" w:rsidP="003814F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LNG receiving terminal</w:t>
            </w:r>
          </w:p>
        </w:tc>
      </w:tr>
      <w:tr w:rsidR="003814FB" w:rsidRPr="003814FB" w14:paraId="46321E46" w14:textId="77777777" w:rsidTr="00D55B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11"/>
            <w:vAlign w:val="center"/>
            <w:hideMark/>
          </w:tcPr>
          <w:p w14:paraId="356A32F8" w14:textId="03F44B18" w:rsidR="003814FB" w:rsidRPr="003814FB" w:rsidRDefault="003814FB" w:rsidP="003814FB">
            <w:pPr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Environmental indicators</w:t>
            </w:r>
            <w:r w:rsidR="00D55BF9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3814FB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(negative indicators)</w:t>
            </w:r>
          </w:p>
        </w:tc>
      </w:tr>
      <w:tr w:rsidR="003814FB" w:rsidRPr="003814FB" w14:paraId="5356D0A9" w14:textId="77777777" w:rsidTr="00D55BF9">
        <w:trPr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Align w:val="center"/>
            <w:hideMark/>
          </w:tcPr>
          <w:p w14:paraId="0BC03687" w14:textId="7D5E9694" w:rsidR="003814FB" w:rsidRPr="003814FB" w:rsidRDefault="003814FB" w:rsidP="003814FB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Global Warming Potential</w:t>
            </w:r>
          </w:p>
        </w:tc>
        <w:tc>
          <w:tcPr>
            <w:tcW w:w="418" w:type="pct"/>
            <w:noWrap/>
            <w:vAlign w:val="center"/>
            <w:hideMark/>
          </w:tcPr>
          <w:p w14:paraId="67F89D60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47BA5EE4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53D723B3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418" w:type="pct"/>
            <w:noWrap/>
            <w:vAlign w:val="center"/>
            <w:hideMark/>
          </w:tcPr>
          <w:p w14:paraId="7F815FD1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2145D44E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418" w:type="pct"/>
            <w:noWrap/>
            <w:vAlign w:val="center"/>
            <w:hideMark/>
          </w:tcPr>
          <w:p w14:paraId="0EEE8616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6F9AB3FC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418" w:type="pct"/>
            <w:noWrap/>
            <w:vAlign w:val="center"/>
            <w:hideMark/>
          </w:tcPr>
          <w:p w14:paraId="1CF7BB04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8" w:type="pct"/>
            <w:noWrap/>
            <w:vAlign w:val="center"/>
            <w:hideMark/>
          </w:tcPr>
          <w:p w14:paraId="66CE54A7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6" w:type="pct"/>
            <w:noWrap/>
            <w:vAlign w:val="center"/>
            <w:hideMark/>
          </w:tcPr>
          <w:p w14:paraId="14928075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</w:tr>
      <w:tr w:rsidR="003814FB" w:rsidRPr="003814FB" w14:paraId="7EC45EF0" w14:textId="77777777" w:rsidTr="00D55B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Align w:val="center"/>
            <w:hideMark/>
          </w:tcPr>
          <w:p w14:paraId="448FBA29" w14:textId="05CF5380" w:rsidR="003814FB" w:rsidRPr="003814FB" w:rsidRDefault="003814FB" w:rsidP="003814FB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Particulate Matter Formation Potential</w:t>
            </w:r>
          </w:p>
        </w:tc>
        <w:tc>
          <w:tcPr>
            <w:tcW w:w="418" w:type="pct"/>
            <w:noWrap/>
            <w:vAlign w:val="center"/>
            <w:hideMark/>
          </w:tcPr>
          <w:p w14:paraId="58E59DC5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7BE27776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3A0DF576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448E72A1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8" w:type="pct"/>
            <w:noWrap/>
            <w:vAlign w:val="center"/>
            <w:hideMark/>
          </w:tcPr>
          <w:p w14:paraId="27D05E43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7FBCE6A9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0CE9D5B0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01B770D2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756FDE62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6" w:type="pct"/>
            <w:noWrap/>
            <w:vAlign w:val="center"/>
            <w:hideMark/>
          </w:tcPr>
          <w:p w14:paraId="5FB35B59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</w:tr>
      <w:tr w:rsidR="003814FB" w:rsidRPr="003814FB" w14:paraId="3B257BA5" w14:textId="77777777" w:rsidTr="00D55BF9">
        <w:trPr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Align w:val="center"/>
            <w:hideMark/>
          </w:tcPr>
          <w:p w14:paraId="4E7B15D2" w14:textId="54734415" w:rsidR="003814FB" w:rsidRPr="003814FB" w:rsidRDefault="003814FB" w:rsidP="003814FB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Photochemical Oxidant Formation Potential</w:t>
            </w:r>
          </w:p>
        </w:tc>
        <w:tc>
          <w:tcPr>
            <w:tcW w:w="418" w:type="pct"/>
            <w:noWrap/>
            <w:vAlign w:val="center"/>
            <w:hideMark/>
          </w:tcPr>
          <w:p w14:paraId="63010436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390B6D2D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06681DDC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418" w:type="pct"/>
            <w:noWrap/>
            <w:vAlign w:val="center"/>
            <w:hideMark/>
          </w:tcPr>
          <w:p w14:paraId="634E3179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49CCE3C5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418" w:type="pct"/>
            <w:noWrap/>
            <w:vAlign w:val="center"/>
            <w:hideMark/>
          </w:tcPr>
          <w:p w14:paraId="544ADD39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5715B9AF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418" w:type="pct"/>
            <w:noWrap/>
            <w:vAlign w:val="center"/>
            <w:hideMark/>
          </w:tcPr>
          <w:p w14:paraId="77815094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8" w:type="pct"/>
            <w:noWrap/>
            <w:vAlign w:val="center"/>
            <w:hideMark/>
          </w:tcPr>
          <w:p w14:paraId="36FD2E16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6" w:type="pct"/>
            <w:noWrap/>
            <w:vAlign w:val="center"/>
            <w:hideMark/>
          </w:tcPr>
          <w:p w14:paraId="29DDC042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</w:tr>
      <w:tr w:rsidR="003814FB" w:rsidRPr="003814FB" w14:paraId="11CDC226" w14:textId="77777777" w:rsidTr="002D5A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Align w:val="center"/>
            <w:hideMark/>
          </w:tcPr>
          <w:p w14:paraId="2805305A" w14:textId="7CEDECAE" w:rsidR="003814FB" w:rsidRPr="003814FB" w:rsidRDefault="003814FB" w:rsidP="003814FB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Energy Consumption</w:t>
            </w:r>
          </w:p>
        </w:tc>
        <w:tc>
          <w:tcPr>
            <w:tcW w:w="418" w:type="pct"/>
            <w:noWrap/>
            <w:vAlign w:val="center"/>
            <w:hideMark/>
          </w:tcPr>
          <w:p w14:paraId="6A1CA424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8" w:type="pct"/>
            <w:noWrap/>
            <w:vAlign w:val="center"/>
            <w:hideMark/>
          </w:tcPr>
          <w:p w14:paraId="67D1E2CD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79F6B79F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08EF5736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60F15D40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269347A7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7B309E9E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13420225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66590AE6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6" w:type="pct"/>
            <w:noWrap/>
            <w:vAlign w:val="center"/>
            <w:hideMark/>
          </w:tcPr>
          <w:p w14:paraId="01040202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</w:tr>
      <w:tr w:rsidR="003814FB" w:rsidRPr="003814FB" w14:paraId="2E2F6F89" w14:textId="77777777" w:rsidTr="002D5AC1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Align w:val="center"/>
            <w:hideMark/>
          </w:tcPr>
          <w:p w14:paraId="1D9DE0DC" w14:textId="77777777" w:rsidR="003814FB" w:rsidRPr="003814FB" w:rsidRDefault="003814FB" w:rsidP="003814FB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Land Used</w:t>
            </w:r>
          </w:p>
        </w:tc>
        <w:tc>
          <w:tcPr>
            <w:tcW w:w="418" w:type="pct"/>
            <w:noWrap/>
            <w:vAlign w:val="center"/>
            <w:hideMark/>
          </w:tcPr>
          <w:p w14:paraId="4CC8079D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30D8F042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0D85EA72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657FE26A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761DF5E3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766F0F8E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1DB4B1CD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3815B8A6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34599478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6" w:type="pct"/>
            <w:noWrap/>
            <w:vAlign w:val="center"/>
            <w:hideMark/>
          </w:tcPr>
          <w:p w14:paraId="6BA1831A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</w:tr>
      <w:tr w:rsidR="003814FB" w:rsidRPr="003814FB" w14:paraId="4968FB41" w14:textId="77777777" w:rsidTr="002D5A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Align w:val="center"/>
            <w:hideMark/>
          </w:tcPr>
          <w:p w14:paraId="6CD6B49B" w14:textId="77777777" w:rsidR="003814FB" w:rsidRPr="003814FB" w:rsidRDefault="003814FB" w:rsidP="003814FB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The Use of Water</w:t>
            </w:r>
          </w:p>
        </w:tc>
        <w:tc>
          <w:tcPr>
            <w:tcW w:w="418" w:type="pct"/>
            <w:noWrap/>
            <w:vAlign w:val="center"/>
            <w:hideMark/>
          </w:tcPr>
          <w:p w14:paraId="03DB9659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1A238783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60126263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8" w:type="pct"/>
            <w:noWrap/>
            <w:vAlign w:val="center"/>
            <w:hideMark/>
          </w:tcPr>
          <w:p w14:paraId="3C5559D7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316459D5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71D71A37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418" w:type="pct"/>
            <w:noWrap/>
            <w:vAlign w:val="center"/>
            <w:hideMark/>
          </w:tcPr>
          <w:p w14:paraId="6415A804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2DDB7AFE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580A3E6F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6" w:type="pct"/>
            <w:noWrap/>
            <w:vAlign w:val="center"/>
            <w:hideMark/>
          </w:tcPr>
          <w:p w14:paraId="1C0A1233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</w:tr>
      <w:tr w:rsidR="003814FB" w:rsidRPr="003814FB" w14:paraId="605F9DDB" w14:textId="77777777" w:rsidTr="002D5AC1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Align w:val="center"/>
            <w:hideMark/>
          </w:tcPr>
          <w:p w14:paraId="5B7BC673" w14:textId="77777777" w:rsidR="003814FB" w:rsidRPr="003814FB" w:rsidRDefault="003814FB" w:rsidP="003814FB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Removal of water</w:t>
            </w:r>
          </w:p>
        </w:tc>
        <w:tc>
          <w:tcPr>
            <w:tcW w:w="418" w:type="pct"/>
            <w:noWrap/>
            <w:vAlign w:val="center"/>
            <w:hideMark/>
          </w:tcPr>
          <w:p w14:paraId="367921D0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601301F3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543EBBDD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8" w:type="pct"/>
            <w:noWrap/>
            <w:vAlign w:val="center"/>
            <w:hideMark/>
          </w:tcPr>
          <w:p w14:paraId="05B9FF68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4B87DE65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366BA993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418" w:type="pct"/>
            <w:noWrap/>
            <w:vAlign w:val="center"/>
            <w:hideMark/>
          </w:tcPr>
          <w:p w14:paraId="5B5540EC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70A87360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095F1B52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6" w:type="pct"/>
            <w:noWrap/>
            <w:vAlign w:val="center"/>
            <w:hideMark/>
          </w:tcPr>
          <w:p w14:paraId="20A7CC91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</w:tr>
      <w:tr w:rsidR="003814FB" w:rsidRPr="003814FB" w14:paraId="6A5540A8" w14:textId="77777777" w:rsidTr="00D55B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Align w:val="center"/>
            <w:hideMark/>
          </w:tcPr>
          <w:p w14:paraId="4F37C9D4" w14:textId="77777777" w:rsidR="003814FB" w:rsidRPr="003814FB" w:rsidRDefault="003814FB" w:rsidP="003814FB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Total score</w:t>
            </w:r>
          </w:p>
        </w:tc>
        <w:tc>
          <w:tcPr>
            <w:tcW w:w="418" w:type="pct"/>
            <w:noWrap/>
            <w:vAlign w:val="center"/>
            <w:hideMark/>
          </w:tcPr>
          <w:p w14:paraId="2A4699BE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  <w:t>31</w:t>
            </w:r>
          </w:p>
        </w:tc>
        <w:tc>
          <w:tcPr>
            <w:tcW w:w="418" w:type="pct"/>
            <w:noWrap/>
            <w:vAlign w:val="center"/>
            <w:hideMark/>
          </w:tcPr>
          <w:p w14:paraId="7184CBB0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  <w:t>35</w:t>
            </w:r>
          </w:p>
        </w:tc>
        <w:tc>
          <w:tcPr>
            <w:tcW w:w="418" w:type="pct"/>
            <w:noWrap/>
            <w:vAlign w:val="center"/>
            <w:hideMark/>
          </w:tcPr>
          <w:p w14:paraId="0E870B96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  <w:t>23</w:t>
            </w:r>
          </w:p>
        </w:tc>
        <w:tc>
          <w:tcPr>
            <w:tcW w:w="418" w:type="pct"/>
            <w:noWrap/>
            <w:vAlign w:val="center"/>
            <w:hideMark/>
          </w:tcPr>
          <w:p w14:paraId="6DD43BA7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  <w:t>31</w:t>
            </w:r>
          </w:p>
        </w:tc>
        <w:tc>
          <w:tcPr>
            <w:tcW w:w="418" w:type="pct"/>
            <w:noWrap/>
            <w:vAlign w:val="center"/>
            <w:hideMark/>
          </w:tcPr>
          <w:p w14:paraId="02015E6C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  <w:t>33</w:t>
            </w:r>
          </w:p>
        </w:tc>
        <w:tc>
          <w:tcPr>
            <w:tcW w:w="418" w:type="pct"/>
            <w:noWrap/>
            <w:vAlign w:val="center"/>
            <w:hideMark/>
          </w:tcPr>
          <w:p w14:paraId="09900651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  <w:t>33</w:t>
            </w:r>
          </w:p>
        </w:tc>
        <w:tc>
          <w:tcPr>
            <w:tcW w:w="418" w:type="pct"/>
            <w:noWrap/>
            <w:vAlign w:val="center"/>
            <w:hideMark/>
          </w:tcPr>
          <w:p w14:paraId="754F03ED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  <w:t>31</w:t>
            </w:r>
          </w:p>
        </w:tc>
        <w:tc>
          <w:tcPr>
            <w:tcW w:w="418" w:type="pct"/>
            <w:noWrap/>
            <w:vAlign w:val="center"/>
            <w:hideMark/>
          </w:tcPr>
          <w:p w14:paraId="73569C43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  <w:t>27</w:t>
            </w:r>
          </w:p>
        </w:tc>
        <w:tc>
          <w:tcPr>
            <w:tcW w:w="418" w:type="pct"/>
            <w:noWrap/>
            <w:vAlign w:val="center"/>
            <w:hideMark/>
          </w:tcPr>
          <w:p w14:paraId="5CB5AD1A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  <w:t>31</w:t>
            </w:r>
          </w:p>
        </w:tc>
        <w:tc>
          <w:tcPr>
            <w:tcW w:w="416" w:type="pct"/>
            <w:noWrap/>
            <w:vAlign w:val="center"/>
            <w:hideMark/>
          </w:tcPr>
          <w:p w14:paraId="40BE948A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  <w:t>35</w:t>
            </w:r>
          </w:p>
        </w:tc>
      </w:tr>
      <w:tr w:rsidR="003814FB" w:rsidRPr="003814FB" w14:paraId="0EC48B01" w14:textId="77777777" w:rsidTr="00D55BF9">
        <w:trPr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11"/>
            <w:vAlign w:val="center"/>
            <w:hideMark/>
          </w:tcPr>
          <w:p w14:paraId="2026E24E" w14:textId="3E1D6003" w:rsidR="003814FB" w:rsidRPr="003814FB" w:rsidRDefault="003814FB" w:rsidP="003814FB">
            <w:pPr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Social indicators (positive indicators)</w:t>
            </w:r>
          </w:p>
        </w:tc>
      </w:tr>
      <w:tr w:rsidR="003814FB" w:rsidRPr="003814FB" w14:paraId="7819D559" w14:textId="77777777" w:rsidTr="00D55B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Align w:val="center"/>
            <w:hideMark/>
          </w:tcPr>
          <w:p w14:paraId="25154F7A" w14:textId="77777777" w:rsidR="003814FB" w:rsidRPr="003814FB" w:rsidRDefault="003814FB" w:rsidP="003814FB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Employment</w:t>
            </w:r>
          </w:p>
        </w:tc>
        <w:tc>
          <w:tcPr>
            <w:tcW w:w="418" w:type="pct"/>
            <w:noWrap/>
            <w:vAlign w:val="center"/>
            <w:hideMark/>
          </w:tcPr>
          <w:p w14:paraId="3D96B1F2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59355459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8" w:type="pct"/>
            <w:noWrap/>
            <w:vAlign w:val="center"/>
            <w:hideMark/>
          </w:tcPr>
          <w:p w14:paraId="6DF1C673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8" w:type="pct"/>
            <w:noWrap/>
            <w:vAlign w:val="center"/>
            <w:hideMark/>
          </w:tcPr>
          <w:p w14:paraId="6F572E19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8" w:type="pct"/>
            <w:noWrap/>
            <w:vAlign w:val="center"/>
            <w:hideMark/>
          </w:tcPr>
          <w:p w14:paraId="7E906CE4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8" w:type="pct"/>
            <w:noWrap/>
            <w:vAlign w:val="center"/>
            <w:hideMark/>
          </w:tcPr>
          <w:p w14:paraId="05AE51C1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418" w:type="pct"/>
            <w:noWrap/>
            <w:vAlign w:val="center"/>
            <w:hideMark/>
          </w:tcPr>
          <w:p w14:paraId="0B831463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8" w:type="pct"/>
            <w:noWrap/>
            <w:vAlign w:val="center"/>
            <w:hideMark/>
          </w:tcPr>
          <w:p w14:paraId="3EB1C114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8" w:type="pct"/>
            <w:noWrap/>
            <w:vAlign w:val="center"/>
            <w:hideMark/>
          </w:tcPr>
          <w:p w14:paraId="4448EF10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6" w:type="pct"/>
            <w:noWrap/>
            <w:vAlign w:val="center"/>
            <w:hideMark/>
          </w:tcPr>
          <w:p w14:paraId="3D0807A3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</w:tr>
      <w:tr w:rsidR="003814FB" w:rsidRPr="003814FB" w14:paraId="7159824F" w14:textId="77777777" w:rsidTr="00D55BF9">
        <w:trPr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Align w:val="center"/>
            <w:hideMark/>
          </w:tcPr>
          <w:p w14:paraId="121AAF12" w14:textId="77777777" w:rsidR="003814FB" w:rsidRPr="003814FB" w:rsidRDefault="003814FB" w:rsidP="003814FB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Compensation of employment</w:t>
            </w:r>
          </w:p>
        </w:tc>
        <w:tc>
          <w:tcPr>
            <w:tcW w:w="418" w:type="pct"/>
            <w:noWrap/>
            <w:vAlign w:val="center"/>
            <w:hideMark/>
          </w:tcPr>
          <w:p w14:paraId="24BB0335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8" w:type="pct"/>
            <w:noWrap/>
            <w:vAlign w:val="center"/>
            <w:hideMark/>
          </w:tcPr>
          <w:p w14:paraId="3576CE8A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8" w:type="pct"/>
            <w:noWrap/>
            <w:vAlign w:val="center"/>
            <w:hideMark/>
          </w:tcPr>
          <w:p w14:paraId="29DE4625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8" w:type="pct"/>
            <w:noWrap/>
            <w:vAlign w:val="center"/>
            <w:hideMark/>
          </w:tcPr>
          <w:p w14:paraId="4F35D441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8" w:type="pct"/>
            <w:noWrap/>
            <w:vAlign w:val="center"/>
            <w:hideMark/>
          </w:tcPr>
          <w:p w14:paraId="5F1CA125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8" w:type="pct"/>
            <w:noWrap/>
            <w:vAlign w:val="center"/>
            <w:hideMark/>
          </w:tcPr>
          <w:p w14:paraId="685EF8FB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418" w:type="pct"/>
            <w:noWrap/>
            <w:vAlign w:val="center"/>
            <w:hideMark/>
          </w:tcPr>
          <w:p w14:paraId="1E82AEA5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8" w:type="pct"/>
            <w:noWrap/>
            <w:vAlign w:val="center"/>
            <w:hideMark/>
          </w:tcPr>
          <w:p w14:paraId="1672B447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8" w:type="pct"/>
            <w:noWrap/>
            <w:vAlign w:val="center"/>
            <w:hideMark/>
          </w:tcPr>
          <w:p w14:paraId="497AD472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6" w:type="pct"/>
            <w:noWrap/>
            <w:vAlign w:val="center"/>
            <w:hideMark/>
          </w:tcPr>
          <w:p w14:paraId="0834EC4A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</w:tr>
      <w:tr w:rsidR="003814FB" w:rsidRPr="003814FB" w14:paraId="5522680B" w14:textId="77777777" w:rsidTr="00D55B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Align w:val="center"/>
            <w:hideMark/>
          </w:tcPr>
          <w:p w14:paraId="11E91015" w14:textId="77777777" w:rsidR="003814FB" w:rsidRPr="003814FB" w:rsidRDefault="003814FB" w:rsidP="003814FB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Total Tax</w:t>
            </w:r>
          </w:p>
        </w:tc>
        <w:tc>
          <w:tcPr>
            <w:tcW w:w="418" w:type="pct"/>
            <w:noWrap/>
            <w:vAlign w:val="center"/>
            <w:hideMark/>
          </w:tcPr>
          <w:p w14:paraId="351AA103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8" w:type="pct"/>
            <w:noWrap/>
            <w:vAlign w:val="center"/>
            <w:hideMark/>
          </w:tcPr>
          <w:p w14:paraId="599FD072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8" w:type="pct"/>
            <w:noWrap/>
            <w:vAlign w:val="center"/>
            <w:hideMark/>
          </w:tcPr>
          <w:p w14:paraId="630C95E1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74DECB3A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418" w:type="pct"/>
            <w:noWrap/>
            <w:vAlign w:val="center"/>
            <w:hideMark/>
          </w:tcPr>
          <w:p w14:paraId="22275EE4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8" w:type="pct"/>
            <w:noWrap/>
            <w:vAlign w:val="center"/>
            <w:hideMark/>
          </w:tcPr>
          <w:p w14:paraId="5B701D2E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418" w:type="pct"/>
            <w:noWrap/>
            <w:vAlign w:val="center"/>
            <w:hideMark/>
          </w:tcPr>
          <w:p w14:paraId="771C4B12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8" w:type="pct"/>
            <w:noWrap/>
            <w:vAlign w:val="center"/>
            <w:hideMark/>
          </w:tcPr>
          <w:p w14:paraId="1378D7D2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418" w:type="pct"/>
            <w:noWrap/>
            <w:vAlign w:val="center"/>
            <w:hideMark/>
          </w:tcPr>
          <w:p w14:paraId="1DFC4485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6" w:type="pct"/>
            <w:noWrap/>
            <w:vAlign w:val="center"/>
            <w:hideMark/>
          </w:tcPr>
          <w:p w14:paraId="71DD62C1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</w:tr>
      <w:tr w:rsidR="003814FB" w:rsidRPr="003814FB" w14:paraId="7141AF38" w14:textId="77777777" w:rsidTr="00D55BF9">
        <w:trPr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Align w:val="center"/>
            <w:hideMark/>
          </w:tcPr>
          <w:p w14:paraId="23FE576C" w14:textId="77777777" w:rsidR="003814FB" w:rsidRPr="003814FB" w:rsidRDefault="003814FB" w:rsidP="003814FB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Man Hours</w:t>
            </w:r>
          </w:p>
        </w:tc>
        <w:tc>
          <w:tcPr>
            <w:tcW w:w="418" w:type="pct"/>
            <w:noWrap/>
            <w:vAlign w:val="center"/>
            <w:hideMark/>
          </w:tcPr>
          <w:p w14:paraId="6F6C9383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3363FB28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8" w:type="pct"/>
            <w:noWrap/>
            <w:vAlign w:val="center"/>
            <w:hideMark/>
          </w:tcPr>
          <w:p w14:paraId="1DA6FD08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8" w:type="pct"/>
            <w:noWrap/>
            <w:vAlign w:val="center"/>
            <w:hideMark/>
          </w:tcPr>
          <w:p w14:paraId="2A45EB08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8" w:type="pct"/>
            <w:noWrap/>
            <w:vAlign w:val="center"/>
            <w:hideMark/>
          </w:tcPr>
          <w:p w14:paraId="5756648D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8" w:type="pct"/>
            <w:noWrap/>
            <w:vAlign w:val="center"/>
            <w:hideMark/>
          </w:tcPr>
          <w:p w14:paraId="285C5C7A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418" w:type="pct"/>
            <w:noWrap/>
            <w:vAlign w:val="center"/>
            <w:hideMark/>
          </w:tcPr>
          <w:p w14:paraId="7A547355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8" w:type="pct"/>
            <w:noWrap/>
            <w:vAlign w:val="center"/>
            <w:hideMark/>
          </w:tcPr>
          <w:p w14:paraId="14D97ADE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8" w:type="pct"/>
            <w:noWrap/>
            <w:vAlign w:val="center"/>
            <w:hideMark/>
          </w:tcPr>
          <w:p w14:paraId="764B5B34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6" w:type="pct"/>
            <w:noWrap/>
            <w:vAlign w:val="center"/>
            <w:hideMark/>
          </w:tcPr>
          <w:p w14:paraId="43F6E1D0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</w:tr>
      <w:tr w:rsidR="003814FB" w:rsidRPr="003814FB" w14:paraId="0319EC1B" w14:textId="77777777" w:rsidTr="00D55B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11"/>
            <w:vAlign w:val="center"/>
            <w:hideMark/>
          </w:tcPr>
          <w:p w14:paraId="1F00F73F" w14:textId="0A598065" w:rsidR="003814FB" w:rsidRPr="003814FB" w:rsidRDefault="003814FB" w:rsidP="003814FB">
            <w:pPr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Social indicators (negative indicators)</w:t>
            </w:r>
          </w:p>
        </w:tc>
      </w:tr>
      <w:tr w:rsidR="003814FB" w:rsidRPr="003814FB" w14:paraId="5FAACAD1" w14:textId="77777777" w:rsidTr="002D5AC1">
        <w:trPr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Align w:val="center"/>
            <w:hideMark/>
          </w:tcPr>
          <w:p w14:paraId="14836E79" w14:textId="77777777" w:rsidR="003814FB" w:rsidRPr="003814FB" w:rsidRDefault="003814FB" w:rsidP="003814FB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Human Health</w:t>
            </w:r>
          </w:p>
        </w:tc>
        <w:tc>
          <w:tcPr>
            <w:tcW w:w="418" w:type="pct"/>
            <w:noWrap/>
            <w:vAlign w:val="center"/>
            <w:hideMark/>
          </w:tcPr>
          <w:p w14:paraId="1131E750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428399E4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4DB391A6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7CE774A1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8" w:type="pct"/>
            <w:noWrap/>
            <w:vAlign w:val="center"/>
            <w:hideMark/>
          </w:tcPr>
          <w:p w14:paraId="567230D5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75C84E64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20744B90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2883A942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5E010990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6" w:type="pct"/>
            <w:noWrap/>
            <w:vAlign w:val="center"/>
            <w:hideMark/>
          </w:tcPr>
          <w:p w14:paraId="68D8C92E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</w:tr>
      <w:tr w:rsidR="003814FB" w:rsidRPr="003814FB" w14:paraId="5CEF4144" w14:textId="77777777" w:rsidTr="00D55B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Align w:val="center"/>
            <w:hideMark/>
          </w:tcPr>
          <w:p w14:paraId="36339D5A" w14:textId="77777777" w:rsidR="003814FB" w:rsidRPr="003814FB" w:rsidRDefault="003814FB" w:rsidP="003814FB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Total score</w:t>
            </w:r>
          </w:p>
        </w:tc>
        <w:tc>
          <w:tcPr>
            <w:tcW w:w="418" w:type="pct"/>
            <w:noWrap/>
            <w:vAlign w:val="center"/>
            <w:hideMark/>
          </w:tcPr>
          <w:p w14:paraId="75284EF9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  <w:t>17</w:t>
            </w:r>
          </w:p>
        </w:tc>
        <w:tc>
          <w:tcPr>
            <w:tcW w:w="418" w:type="pct"/>
            <w:noWrap/>
            <w:vAlign w:val="center"/>
            <w:hideMark/>
          </w:tcPr>
          <w:p w14:paraId="266A9906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  <w:t>9</w:t>
            </w:r>
          </w:p>
        </w:tc>
        <w:tc>
          <w:tcPr>
            <w:tcW w:w="418" w:type="pct"/>
            <w:noWrap/>
            <w:vAlign w:val="center"/>
            <w:hideMark/>
          </w:tcPr>
          <w:p w14:paraId="627D4AAD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  <w:t>13</w:t>
            </w:r>
          </w:p>
        </w:tc>
        <w:tc>
          <w:tcPr>
            <w:tcW w:w="418" w:type="pct"/>
            <w:noWrap/>
            <w:vAlign w:val="center"/>
            <w:hideMark/>
          </w:tcPr>
          <w:p w14:paraId="7BA6C455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  <w:t>7</w:t>
            </w:r>
          </w:p>
        </w:tc>
        <w:tc>
          <w:tcPr>
            <w:tcW w:w="418" w:type="pct"/>
            <w:noWrap/>
            <w:vAlign w:val="center"/>
            <w:hideMark/>
          </w:tcPr>
          <w:p w14:paraId="47C6E9E3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  <w:t>9</w:t>
            </w:r>
          </w:p>
        </w:tc>
        <w:tc>
          <w:tcPr>
            <w:tcW w:w="418" w:type="pct"/>
            <w:noWrap/>
            <w:vAlign w:val="center"/>
            <w:hideMark/>
          </w:tcPr>
          <w:p w14:paraId="350790CB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  <w:t>15</w:t>
            </w:r>
          </w:p>
        </w:tc>
        <w:tc>
          <w:tcPr>
            <w:tcW w:w="418" w:type="pct"/>
            <w:noWrap/>
            <w:vAlign w:val="center"/>
            <w:hideMark/>
          </w:tcPr>
          <w:p w14:paraId="7E4A81BA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  <w:t>9</w:t>
            </w:r>
          </w:p>
        </w:tc>
        <w:tc>
          <w:tcPr>
            <w:tcW w:w="418" w:type="pct"/>
            <w:noWrap/>
            <w:vAlign w:val="center"/>
            <w:hideMark/>
          </w:tcPr>
          <w:p w14:paraId="0B5FAF70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  <w:t>12</w:t>
            </w:r>
          </w:p>
        </w:tc>
        <w:tc>
          <w:tcPr>
            <w:tcW w:w="418" w:type="pct"/>
            <w:noWrap/>
            <w:vAlign w:val="center"/>
            <w:hideMark/>
          </w:tcPr>
          <w:p w14:paraId="70DA20B2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  <w:t>13</w:t>
            </w:r>
          </w:p>
        </w:tc>
        <w:tc>
          <w:tcPr>
            <w:tcW w:w="416" w:type="pct"/>
            <w:noWrap/>
            <w:vAlign w:val="center"/>
            <w:hideMark/>
          </w:tcPr>
          <w:p w14:paraId="7B2531AA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  <w:t>9</w:t>
            </w:r>
          </w:p>
        </w:tc>
      </w:tr>
      <w:tr w:rsidR="003814FB" w:rsidRPr="003814FB" w14:paraId="25C306B4" w14:textId="77777777" w:rsidTr="00D55BF9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11"/>
            <w:vAlign w:val="center"/>
            <w:hideMark/>
          </w:tcPr>
          <w:p w14:paraId="776CD8B8" w14:textId="2CAF8465" w:rsidR="003814FB" w:rsidRPr="003814FB" w:rsidRDefault="003814FB" w:rsidP="003814FB">
            <w:pPr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Economic indicators (positive indicators)</w:t>
            </w:r>
          </w:p>
        </w:tc>
      </w:tr>
      <w:tr w:rsidR="003814FB" w:rsidRPr="003814FB" w14:paraId="2EC6EF87" w14:textId="77777777" w:rsidTr="002D5A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Align w:val="center"/>
            <w:hideMark/>
          </w:tcPr>
          <w:p w14:paraId="45E4E49B" w14:textId="1E668E49" w:rsidR="003814FB" w:rsidRPr="003814FB" w:rsidRDefault="003814FB" w:rsidP="003814FB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Gross Operating Surplus</w:t>
            </w:r>
          </w:p>
        </w:tc>
        <w:tc>
          <w:tcPr>
            <w:tcW w:w="418" w:type="pct"/>
            <w:noWrap/>
            <w:vAlign w:val="center"/>
            <w:hideMark/>
          </w:tcPr>
          <w:p w14:paraId="7922F781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418" w:type="pct"/>
            <w:noWrap/>
            <w:vAlign w:val="center"/>
            <w:hideMark/>
          </w:tcPr>
          <w:p w14:paraId="4D7E10F7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8" w:type="pct"/>
            <w:noWrap/>
            <w:vAlign w:val="center"/>
            <w:hideMark/>
          </w:tcPr>
          <w:p w14:paraId="785DAC5E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3CAA8DC8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418" w:type="pct"/>
            <w:noWrap/>
            <w:vAlign w:val="center"/>
            <w:hideMark/>
          </w:tcPr>
          <w:p w14:paraId="760E0067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8" w:type="pct"/>
            <w:noWrap/>
            <w:vAlign w:val="center"/>
            <w:hideMark/>
          </w:tcPr>
          <w:p w14:paraId="12326BF4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418" w:type="pct"/>
            <w:noWrap/>
            <w:vAlign w:val="center"/>
            <w:hideMark/>
          </w:tcPr>
          <w:p w14:paraId="33641EEC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8" w:type="pct"/>
            <w:noWrap/>
            <w:vAlign w:val="center"/>
            <w:hideMark/>
          </w:tcPr>
          <w:p w14:paraId="23030ED1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418" w:type="pct"/>
            <w:noWrap/>
            <w:vAlign w:val="center"/>
            <w:hideMark/>
          </w:tcPr>
          <w:p w14:paraId="475C1B8D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6" w:type="pct"/>
            <w:noWrap/>
            <w:vAlign w:val="center"/>
            <w:hideMark/>
          </w:tcPr>
          <w:p w14:paraId="3399CFD5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</w:tr>
      <w:tr w:rsidR="003814FB" w:rsidRPr="003814FB" w14:paraId="0D33AE04" w14:textId="77777777" w:rsidTr="002D5AC1">
        <w:trPr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Align w:val="center"/>
            <w:hideMark/>
          </w:tcPr>
          <w:p w14:paraId="20DFDD05" w14:textId="77777777" w:rsidR="003814FB" w:rsidRPr="003814FB" w:rsidRDefault="003814FB" w:rsidP="003814FB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Salvage value (End of life)</w:t>
            </w:r>
          </w:p>
        </w:tc>
        <w:tc>
          <w:tcPr>
            <w:tcW w:w="418" w:type="pct"/>
            <w:noWrap/>
            <w:vAlign w:val="center"/>
            <w:hideMark/>
          </w:tcPr>
          <w:p w14:paraId="472ECD87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698F7D2C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8" w:type="pct"/>
            <w:noWrap/>
            <w:vAlign w:val="center"/>
            <w:hideMark/>
          </w:tcPr>
          <w:p w14:paraId="40C1E59D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8" w:type="pct"/>
            <w:noWrap/>
            <w:vAlign w:val="center"/>
            <w:hideMark/>
          </w:tcPr>
          <w:p w14:paraId="69928FB3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8" w:type="pct"/>
            <w:noWrap/>
            <w:vAlign w:val="center"/>
            <w:hideMark/>
          </w:tcPr>
          <w:p w14:paraId="369FB3CC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8" w:type="pct"/>
            <w:noWrap/>
            <w:vAlign w:val="center"/>
            <w:hideMark/>
          </w:tcPr>
          <w:p w14:paraId="27C176EC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418" w:type="pct"/>
            <w:noWrap/>
            <w:vAlign w:val="center"/>
            <w:hideMark/>
          </w:tcPr>
          <w:p w14:paraId="43FBFF18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8" w:type="pct"/>
            <w:noWrap/>
            <w:vAlign w:val="center"/>
            <w:hideMark/>
          </w:tcPr>
          <w:p w14:paraId="357620DF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8" w:type="pct"/>
            <w:noWrap/>
            <w:vAlign w:val="center"/>
            <w:hideMark/>
          </w:tcPr>
          <w:p w14:paraId="0FD7ED19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6" w:type="pct"/>
            <w:noWrap/>
            <w:vAlign w:val="center"/>
            <w:hideMark/>
          </w:tcPr>
          <w:p w14:paraId="69AF82A4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</w:tr>
      <w:tr w:rsidR="003814FB" w:rsidRPr="003814FB" w14:paraId="5019A5E7" w14:textId="77777777" w:rsidTr="00D55B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11"/>
            <w:vAlign w:val="center"/>
            <w:hideMark/>
          </w:tcPr>
          <w:p w14:paraId="2310A1BD" w14:textId="6ECB8DAE" w:rsidR="003814FB" w:rsidRPr="003814FB" w:rsidRDefault="003814FB" w:rsidP="003814FB">
            <w:pPr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Economic indicators</w:t>
            </w:r>
            <w:r w:rsidR="00D55BF9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3814FB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(negative indicators)</w:t>
            </w:r>
          </w:p>
        </w:tc>
      </w:tr>
      <w:tr w:rsidR="003814FB" w:rsidRPr="003814FB" w14:paraId="204BC7E5" w14:textId="77777777" w:rsidTr="002D5AC1">
        <w:trPr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Align w:val="center"/>
            <w:hideMark/>
          </w:tcPr>
          <w:p w14:paraId="02FE6B62" w14:textId="28AC5E6C" w:rsidR="003814FB" w:rsidRPr="003814FB" w:rsidRDefault="003814FB" w:rsidP="003814FB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Operational Cost</w:t>
            </w:r>
          </w:p>
        </w:tc>
        <w:tc>
          <w:tcPr>
            <w:tcW w:w="418" w:type="pct"/>
            <w:noWrap/>
            <w:vAlign w:val="center"/>
            <w:hideMark/>
          </w:tcPr>
          <w:p w14:paraId="756A479E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094A8160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0A51E591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8" w:type="pct"/>
            <w:noWrap/>
            <w:vAlign w:val="center"/>
            <w:hideMark/>
          </w:tcPr>
          <w:p w14:paraId="02E0AD2B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418" w:type="pct"/>
            <w:noWrap/>
            <w:vAlign w:val="center"/>
            <w:hideMark/>
          </w:tcPr>
          <w:p w14:paraId="005FF4A9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7C39A70C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418" w:type="pct"/>
            <w:noWrap/>
            <w:vAlign w:val="center"/>
            <w:hideMark/>
          </w:tcPr>
          <w:p w14:paraId="4ACA7C47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550E824A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28A92A33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416" w:type="pct"/>
            <w:noWrap/>
            <w:vAlign w:val="center"/>
            <w:hideMark/>
          </w:tcPr>
          <w:p w14:paraId="7CC4ADC8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</w:tr>
      <w:tr w:rsidR="003814FB" w:rsidRPr="003814FB" w14:paraId="070D029B" w14:textId="77777777" w:rsidTr="002D5A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Align w:val="center"/>
            <w:hideMark/>
          </w:tcPr>
          <w:p w14:paraId="164067F2" w14:textId="77777777" w:rsidR="003814FB" w:rsidRPr="003814FB" w:rsidRDefault="003814FB" w:rsidP="003814FB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Equipment Cost</w:t>
            </w:r>
          </w:p>
        </w:tc>
        <w:tc>
          <w:tcPr>
            <w:tcW w:w="418" w:type="pct"/>
            <w:noWrap/>
            <w:vAlign w:val="center"/>
            <w:hideMark/>
          </w:tcPr>
          <w:p w14:paraId="3FE07AE4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8" w:type="pct"/>
            <w:noWrap/>
            <w:vAlign w:val="center"/>
            <w:hideMark/>
          </w:tcPr>
          <w:p w14:paraId="21D75DB6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5E32E3A3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6153B9DB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418" w:type="pct"/>
            <w:noWrap/>
            <w:vAlign w:val="center"/>
            <w:hideMark/>
          </w:tcPr>
          <w:p w14:paraId="640DF800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06EFF1FE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418" w:type="pct"/>
            <w:noWrap/>
            <w:vAlign w:val="center"/>
            <w:hideMark/>
          </w:tcPr>
          <w:p w14:paraId="3E235685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8" w:type="pct"/>
            <w:noWrap/>
            <w:vAlign w:val="center"/>
            <w:hideMark/>
          </w:tcPr>
          <w:p w14:paraId="6CBAFD76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18" w:type="pct"/>
            <w:noWrap/>
            <w:vAlign w:val="center"/>
            <w:hideMark/>
          </w:tcPr>
          <w:p w14:paraId="5C9A8D34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416" w:type="pct"/>
            <w:noWrap/>
            <w:vAlign w:val="center"/>
            <w:hideMark/>
          </w:tcPr>
          <w:p w14:paraId="3027EF1D" w14:textId="77777777" w:rsidR="003814FB" w:rsidRPr="003814FB" w:rsidRDefault="003814FB" w:rsidP="003814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</w:tr>
      <w:tr w:rsidR="003814FB" w:rsidRPr="003814FB" w14:paraId="4D03A0FC" w14:textId="77777777" w:rsidTr="00D55BF9">
        <w:trPr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Align w:val="center"/>
            <w:hideMark/>
          </w:tcPr>
          <w:p w14:paraId="1929AA56" w14:textId="77777777" w:rsidR="003814FB" w:rsidRPr="003814FB" w:rsidRDefault="003814FB" w:rsidP="003814FB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Total score</w:t>
            </w:r>
          </w:p>
        </w:tc>
        <w:tc>
          <w:tcPr>
            <w:tcW w:w="418" w:type="pct"/>
            <w:noWrap/>
            <w:vAlign w:val="center"/>
            <w:hideMark/>
          </w:tcPr>
          <w:p w14:paraId="6E78574B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  <w:t>15</w:t>
            </w:r>
          </w:p>
        </w:tc>
        <w:tc>
          <w:tcPr>
            <w:tcW w:w="418" w:type="pct"/>
            <w:noWrap/>
            <w:vAlign w:val="center"/>
            <w:hideMark/>
          </w:tcPr>
          <w:p w14:paraId="19B9BEFA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  <w:t>12</w:t>
            </w:r>
          </w:p>
        </w:tc>
        <w:tc>
          <w:tcPr>
            <w:tcW w:w="418" w:type="pct"/>
            <w:noWrap/>
            <w:vAlign w:val="center"/>
            <w:hideMark/>
          </w:tcPr>
          <w:p w14:paraId="05E03180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  <w:t>12</w:t>
            </w:r>
          </w:p>
        </w:tc>
        <w:tc>
          <w:tcPr>
            <w:tcW w:w="418" w:type="pct"/>
            <w:noWrap/>
            <w:vAlign w:val="center"/>
            <w:hideMark/>
          </w:tcPr>
          <w:p w14:paraId="04D7A337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  <w:t>12</w:t>
            </w:r>
          </w:p>
        </w:tc>
        <w:tc>
          <w:tcPr>
            <w:tcW w:w="418" w:type="pct"/>
            <w:noWrap/>
            <w:vAlign w:val="center"/>
            <w:hideMark/>
          </w:tcPr>
          <w:p w14:paraId="5F9D32CB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  <w:t>12</w:t>
            </w:r>
          </w:p>
        </w:tc>
        <w:tc>
          <w:tcPr>
            <w:tcW w:w="418" w:type="pct"/>
            <w:noWrap/>
            <w:vAlign w:val="center"/>
            <w:hideMark/>
          </w:tcPr>
          <w:p w14:paraId="2CB29055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  <w:t>13</w:t>
            </w:r>
          </w:p>
        </w:tc>
        <w:tc>
          <w:tcPr>
            <w:tcW w:w="418" w:type="pct"/>
            <w:noWrap/>
            <w:vAlign w:val="center"/>
            <w:hideMark/>
          </w:tcPr>
          <w:p w14:paraId="5957C6A6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  <w:t>12</w:t>
            </w:r>
          </w:p>
        </w:tc>
        <w:tc>
          <w:tcPr>
            <w:tcW w:w="418" w:type="pct"/>
            <w:noWrap/>
            <w:vAlign w:val="center"/>
            <w:hideMark/>
          </w:tcPr>
          <w:p w14:paraId="176CA9DF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  <w:t>11</w:t>
            </w:r>
          </w:p>
        </w:tc>
        <w:tc>
          <w:tcPr>
            <w:tcW w:w="418" w:type="pct"/>
            <w:noWrap/>
            <w:vAlign w:val="center"/>
            <w:hideMark/>
          </w:tcPr>
          <w:p w14:paraId="3EBD8224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  <w:t>11</w:t>
            </w:r>
          </w:p>
        </w:tc>
        <w:tc>
          <w:tcPr>
            <w:tcW w:w="416" w:type="pct"/>
            <w:noWrap/>
            <w:vAlign w:val="center"/>
            <w:hideMark/>
          </w:tcPr>
          <w:p w14:paraId="0736666A" w14:textId="77777777" w:rsidR="003814FB" w:rsidRPr="003814FB" w:rsidRDefault="003814FB" w:rsidP="003814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3814FB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  <w:t>12</w:t>
            </w:r>
          </w:p>
        </w:tc>
      </w:tr>
    </w:tbl>
    <w:p w14:paraId="63922314" w14:textId="7858A109" w:rsidR="00BE39F5" w:rsidRDefault="00BE39F5" w:rsidP="002D5AC1">
      <w:pPr>
        <w:spacing w:before="240" w:line="480" w:lineRule="auto"/>
        <w:jc w:val="both"/>
        <w:rPr>
          <w:rFonts w:asciiTheme="majorBidi" w:hAnsiTheme="majorBidi" w:cstheme="majorBidi"/>
        </w:rPr>
      </w:pPr>
    </w:p>
    <w:sectPr w:rsidR="00BE39F5" w:rsidSect="002D5AC1">
      <w:pgSz w:w="23818" w:h="16834" w:orient="landscape" w:code="8"/>
      <w:pgMar w:top="1800" w:right="1440" w:bottom="1354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4B492" w14:textId="77777777" w:rsidR="0039725A" w:rsidRDefault="0039725A">
      <w:pPr>
        <w:spacing w:after="0" w:line="240" w:lineRule="auto"/>
      </w:pPr>
      <w:r>
        <w:separator/>
      </w:r>
    </w:p>
  </w:endnote>
  <w:endnote w:type="continuationSeparator" w:id="0">
    <w:p w14:paraId="6200E09D" w14:textId="77777777" w:rsidR="0039725A" w:rsidRDefault="00397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Grande">
    <w:panose1 w:val="00000000000000000000"/>
    <w:charset w:val="00"/>
    <w:family w:val="roman"/>
    <w:notTrueType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8168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CF56E2" w14:textId="77E1F22D" w:rsidR="007E3BD8" w:rsidRDefault="007E3BD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EB08513" w14:textId="77777777" w:rsidR="008F2EC2" w:rsidRDefault="008F2E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02C14" w14:textId="77777777" w:rsidR="0039725A" w:rsidRDefault="0039725A">
      <w:pPr>
        <w:spacing w:after="0" w:line="240" w:lineRule="auto"/>
      </w:pPr>
      <w:r>
        <w:separator/>
      </w:r>
    </w:p>
  </w:footnote>
  <w:footnote w:type="continuationSeparator" w:id="0">
    <w:p w14:paraId="1D8329CA" w14:textId="77777777" w:rsidR="0039725A" w:rsidRDefault="003972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D74B6"/>
    <w:multiLevelType w:val="multilevel"/>
    <w:tmpl w:val="BD10A164"/>
    <w:lvl w:ilvl="0">
      <w:start w:val="1"/>
      <w:numFmt w:val="decimal"/>
      <w:pStyle w:val="Head1"/>
      <w:lvlText w:val="%1."/>
      <w:lvlJc w:val="left"/>
      <w:pPr>
        <w:ind w:left="360" w:hanging="360"/>
      </w:pPr>
    </w:lvl>
    <w:lvl w:ilvl="1">
      <w:start w:val="1"/>
      <w:numFmt w:val="decimal"/>
      <w:pStyle w:val="Head2"/>
      <w:lvlText w:val="%1.%2."/>
      <w:lvlJc w:val="left"/>
      <w:pPr>
        <w:ind w:left="792" w:hanging="432"/>
      </w:pPr>
    </w:lvl>
    <w:lvl w:ilvl="2">
      <w:start w:val="1"/>
      <w:numFmt w:val="decimal"/>
      <w:pStyle w:val="Head3"/>
      <w:lvlText w:val="%1.%2.%3."/>
      <w:lvlJc w:val="left"/>
      <w:pPr>
        <w:ind w:left="1224" w:hanging="504"/>
      </w:pPr>
    </w:lvl>
    <w:lvl w:ilvl="3">
      <w:start w:val="1"/>
      <w:numFmt w:val="decimal"/>
      <w:pStyle w:val="Head4"/>
      <w:lvlText w:val="%1.%2.%3.%4."/>
      <w:lvlJc w:val="left"/>
      <w:pPr>
        <w:ind w:left="1728" w:hanging="648"/>
      </w:pPr>
    </w:lvl>
    <w:lvl w:ilvl="4">
      <w:start w:val="1"/>
      <w:numFmt w:val="decimal"/>
      <w:pStyle w:val="Head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593CC3"/>
    <w:multiLevelType w:val="multilevel"/>
    <w:tmpl w:val="9EFA73A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84D22A0"/>
    <w:multiLevelType w:val="multilevel"/>
    <w:tmpl w:val="30B62F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E7A0957"/>
    <w:multiLevelType w:val="multilevel"/>
    <w:tmpl w:val="DAC446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8B5384"/>
    <w:multiLevelType w:val="hybridMultilevel"/>
    <w:tmpl w:val="3920E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C33AD9"/>
    <w:multiLevelType w:val="hybridMultilevel"/>
    <w:tmpl w:val="D200CC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A1C3BEA"/>
    <w:multiLevelType w:val="multilevel"/>
    <w:tmpl w:val="68BC4D0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8" w15:restartNumberingAfterBreak="0">
    <w:nsid w:val="2DE976DC"/>
    <w:multiLevelType w:val="multilevel"/>
    <w:tmpl w:val="440CD934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38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332489F"/>
    <w:multiLevelType w:val="hybridMultilevel"/>
    <w:tmpl w:val="85601592"/>
    <w:lvl w:ilvl="0" w:tplc="9EAEE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AEE3C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FC606D"/>
    <w:multiLevelType w:val="hybridMultilevel"/>
    <w:tmpl w:val="DBC0F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F471E3"/>
    <w:multiLevelType w:val="hybridMultilevel"/>
    <w:tmpl w:val="1E6A5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8724C9"/>
    <w:multiLevelType w:val="hybridMultilevel"/>
    <w:tmpl w:val="1270C3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7C88D1AC">
      <w:start w:val="1"/>
      <w:numFmt w:val="upperLetter"/>
      <w:lvlText w:val="%3."/>
      <w:lvlJc w:val="left"/>
      <w:pPr>
        <w:ind w:left="2355" w:hanging="375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B015A5"/>
    <w:multiLevelType w:val="hybridMultilevel"/>
    <w:tmpl w:val="CAE40D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332FFB"/>
    <w:multiLevelType w:val="multilevel"/>
    <w:tmpl w:val="C5805A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7D1D1CF9"/>
    <w:multiLevelType w:val="multilevel"/>
    <w:tmpl w:val="D7F68D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F3A3B68"/>
    <w:multiLevelType w:val="hybridMultilevel"/>
    <w:tmpl w:val="AA5E62B8"/>
    <w:lvl w:ilvl="0" w:tplc="8D2C59AC">
      <w:start w:val="1"/>
      <w:numFmt w:val="decimal"/>
      <w:lvlText w:val="%1"/>
      <w:lvlJc w:val="left"/>
      <w:pPr>
        <w:ind w:left="45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 w15:restartNumberingAfterBreak="0">
    <w:nsid w:val="7FE54C1D"/>
    <w:multiLevelType w:val="multilevel"/>
    <w:tmpl w:val="798081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num w:numId="1" w16cid:durableId="1825928469">
    <w:abstractNumId w:val="0"/>
  </w:num>
  <w:num w:numId="2" w16cid:durableId="411001769">
    <w:abstractNumId w:val="3"/>
  </w:num>
  <w:num w:numId="3" w16cid:durableId="420642619">
    <w:abstractNumId w:val="15"/>
  </w:num>
  <w:num w:numId="4" w16cid:durableId="1879595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51284813">
    <w:abstractNumId w:val="4"/>
  </w:num>
  <w:num w:numId="6" w16cid:durableId="136000387">
    <w:abstractNumId w:val="6"/>
  </w:num>
  <w:num w:numId="7" w16cid:durableId="662242725">
    <w:abstractNumId w:val="17"/>
  </w:num>
  <w:num w:numId="8" w16cid:durableId="117653155">
    <w:abstractNumId w:val="0"/>
  </w:num>
  <w:num w:numId="9" w16cid:durableId="899906223">
    <w:abstractNumId w:val="0"/>
  </w:num>
  <w:num w:numId="10" w16cid:durableId="275597928">
    <w:abstractNumId w:val="0"/>
  </w:num>
  <w:num w:numId="11" w16cid:durableId="16368358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6293742">
    <w:abstractNumId w:val="0"/>
  </w:num>
  <w:num w:numId="13" w16cid:durableId="177956765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29125575">
    <w:abstractNumId w:val="0"/>
  </w:num>
  <w:num w:numId="15" w16cid:durableId="1824391727">
    <w:abstractNumId w:val="0"/>
  </w:num>
  <w:num w:numId="16" w16cid:durableId="143201580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27723491">
    <w:abstractNumId w:val="9"/>
  </w:num>
  <w:num w:numId="18" w16cid:durableId="1904639624">
    <w:abstractNumId w:val="0"/>
  </w:num>
  <w:num w:numId="19" w16cid:durableId="411239459">
    <w:abstractNumId w:val="0"/>
  </w:num>
  <w:num w:numId="20" w16cid:durableId="343673673">
    <w:abstractNumId w:val="11"/>
  </w:num>
  <w:num w:numId="21" w16cid:durableId="188762107">
    <w:abstractNumId w:val="13"/>
  </w:num>
  <w:num w:numId="22" w16cid:durableId="1915313595">
    <w:abstractNumId w:val="14"/>
  </w:num>
  <w:num w:numId="23" w16cid:durableId="70082583">
    <w:abstractNumId w:val="0"/>
  </w:num>
  <w:num w:numId="24" w16cid:durableId="876501729">
    <w:abstractNumId w:val="0"/>
  </w:num>
  <w:num w:numId="25" w16cid:durableId="803695702">
    <w:abstractNumId w:val="0"/>
  </w:num>
  <w:num w:numId="26" w16cid:durableId="1732536052">
    <w:abstractNumId w:val="0"/>
  </w:num>
  <w:num w:numId="27" w16cid:durableId="888346504">
    <w:abstractNumId w:val="0"/>
  </w:num>
  <w:num w:numId="28" w16cid:durableId="1298796445">
    <w:abstractNumId w:val="2"/>
  </w:num>
  <w:num w:numId="29" w16cid:durableId="1074858059">
    <w:abstractNumId w:val="0"/>
  </w:num>
  <w:num w:numId="30" w16cid:durableId="481774608">
    <w:abstractNumId w:val="5"/>
  </w:num>
  <w:num w:numId="31" w16cid:durableId="2011059673">
    <w:abstractNumId w:val="10"/>
  </w:num>
  <w:num w:numId="32" w16cid:durableId="1135100948">
    <w:abstractNumId w:val="16"/>
  </w:num>
  <w:num w:numId="33" w16cid:durableId="1747217084">
    <w:abstractNumId w:val="1"/>
  </w:num>
  <w:num w:numId="34" w16cid:durableId="2062245485">
    <w:abstractNumId w:val="0"/>
  </w:num>
  <w:num w:numId="35" w16cid:durableId="1633630542">
    <w:abstractNumId w:val="8"/>
  </w:num>
  <w:num w:numId="36" w16cid:durableId="1137062779">
    <w:abstractNumId w:val="0"/>
  </w:num>
  <w:num w:numId="37" w16cid:durableId="1951089638">
    <w:abstractNumId w:val="0"/>
  </w:num>
  <w:num w:numId="38" w16cid:durableId="2004353252">
    <w:abstractNumId w:val="0"/>
  </w:num>
  <w:num w:numId="39" w16cid:durableId="1843547426">
    <w:abstractNumId w:val="0"/>
  </w:num>
  <w:num w:numId="40" w16cid:durableId="488595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U2MTA2NLA0M7Y0tjBV0lEKTi0uzszPAykwtKgFABr0rwItAAAA"/>
  </w:docVars>
  <w:rsids>
    <w:rsidRoot w:val="00D27EB9"/>
    <w:rsid w:val="00004EF8"/>
    <w:rsid w:val="00007058"/>
    <w:rsid w:val="00052BB8"/>
    <w:rsid w:val="000531C4"/>
    <w:rsid w:val="00055ABF"/>
    <w:rsid w:val="00097DAE"/>
    <w:rsid w:val="000C710D"/>
    <w:rsid w:val="000E48EE"/>
    <w:rsid w:val="000F1ADA"/>
    <w:rsid w:val="001236CD"/>
    <w:rsid w:val="001559E3"/>
    <w:rsid w:val="00182241"/>
    <w:rsid w:val="001C0097"/>
    <w:rsid w:val="001F3878"/>
    <w:rsid w:val="002067C7"/>
    <w:rsid w:val="00220A40"/>
    <w:rsid w:val="00226751"/>
    <w:rsid w:val="00242D19"/>
    <w:rsid w:val="00252BE2"/>
    <w:rsid w:val="002A5A8C"/>
    <w:rsid w:val="002D3654"/>
    <w:rsid w:val="002D5AC1"/>
    <w:rsid w:val="002E153E"/>
    <w:rsid w:val="002E1ECA"/>
    <w:rsid w:val="002F22FE"/>
    <w:rsid w:val="002F3B51"/>
    <w:rsid w:val="00313E01"/>
    <w:rsid w:val="00331677"/>
    <w:rsid w:val="003332AD"/>
    <w:rsid w:val="00364CDE"/>
    <w:rsid w:val="003814FB"/>
    <w:rsid w:val="0039725A"/>
    <w:rsid w:val="004753C0"/>
    <w:rsid w:val="004D5663"/>
    <w:rsid w:val="004D623C"/>
    <w:rsid w:val="00500305"/>
    <w:rsid w:val="00521DC3"/>
    <w:rsid w:val="00533C3E"/>
    <w:rsid w:val="005B3E72"/>
    <w:rsid w:val="005B5BAA"/>
    <w:rsid w:val="005B661D"/>
    <w:rsid w:val="005B7F13"/>
    <w:rsid w:val="005C571E"/>
    <w:rsid w:val="005D280D"/>
    <w:rsid w:val="006171F0"/>
    <w:rsid w:val="00645F74"/>
    <w:rsid w:val="006805F9"/>
    <w:rsid w:val="006824B5"/>
    <w:rsid w:val="00686DE9"/>
    <w:rsid w:val="006C2D07"/>
    <w:rsid w:val="006C5F45"/>
    <w:rsid w:val="006E718A"/>
    <w:rsid w:val="00762042"/>
    <w:rsid w:val="00782812"/>
    <w:rsid w:val="00783687"/>
    <w:rsid w:val="00793C0F"/>
    <w:rsid w:val="007E3BD8"/>
    <w:rsid w:val="00800183"/>
    <w:rsid w:val="0083389A"/>
    <w:rsid w:val="00855F84"/>
    <w:rsid w:val="00861ED7"/>
    <w:rsid w:val="00862460"/>
    <w:rsid w:val="00874EF4"/>
    <w:rsid w:val="0087593C"/>
    <w:rsid w:val="00880FF6"/>
    <w:rsid w:val="008B426D"/>
    <w:rsid w:val="008C4C24"/>
    <w:rsid w:val="008D1DFB"/>
    <w:rsid w:val="008F2EC2"/>
    <w:rsid w:val="009000D6"/>
    <w:rsid w:val="00907F90"/>
    <w:rsid w:val="00911460"/>
    <w:rsid w:val="00920AF5"/>
    <w:rsid w:val="009461DC"/>
    <w:rsid w:val="009466A1"/>
    <w:rsid w:val="00953D1D"/>
    <w:rsid w:val="00963F9E"/>
    <w:rsid w:val="009712D5"/>
    <w:rsid w:val="009B0536"/>
    <w:rsid w:val="009B2BB4"/>
    <w:rsid w:val="009B4623"/>
    <w:rsid w:val="009E6250"/>
    <w:rsid w:val="00A07A44"/>
    <w:rsid w:val="00A66912"/>
    <w:rsid w:val="00AA2752"/>
    <w:rsid w:val="00AD21E2"/>
    <w:rsid w:val="00B1624B"/>
    <w:rsid w:val="00B33287"/>
    <w:rsid w:val="00B44C58"/>
    <w:rsid w:val="00BA6307"/>
    <w:rsid w:val="00BC3015"/>
    <w:rsid w:val="00BD7352"/>
    <w:rsid w:val="00BE142D"/>
    <w:rsid w:val="00BE39F5"/>
    <w:rsid w:val="00BF5B78"/>
    <w:rsid w:val="00C35556"/>
    <w:rsid w:val="00C5011A"/>
    <w:rsid w:val="00C61B4B"/>
    <w:rsid w:val="00C66388"/>
    <w:rsid w:val="00C84783"/>
    <w:rsid w:val="00C87173"/>
    <w:rsid w:val="00C905E7"/>
    <w:rsid w:val="00CA6AA0"/>
    <w:rsid w:val="00D00E1A"/>
    <w:rsid w:val="00D074E4"/>
    <w:rsid w:val="00D10F46"/>
    <w:rsid w:val="00D27EB9"/>
    <w:rsid w:val="00D55BF9"/>
    <w:rsid w:val="00D74CB0"/>
    <w:rsid w:val="00D827D2"/>
    <w:rsid w:val="00DF1CB4"/>
    <w:rsid w:val="00E253C8"/>
    <w:rsid w:val="00ED2EE6"/>
    <w:rsid w:val="00F3354C"/>
    <w:rsid w:val="00F352A1"/>
    <w:rsid w:val="00F558AD"/>
    <w:rsid w:val="00F56E8A"/>
    <w:rsid w:val="00F71475"/>
    <w:rsid w:val="00F857ED"/>
    <w:rsid w:val="00F9441E"/>
    <w:rsid w:val="00FC4900"/>
    <w:rsid w:val="00FD1EA0"/>
    <w:rsid w:val="00FD7E90"/>
    <w:rsid w:val="00FF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41449"/>
  <w15:chartTrackingRefBased/>
  <w15:docId w15:val="{DCC33D39-AF58-46D6-93AE-EE2024C80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14FB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7E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7EB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D27EB9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D27EB9"/>
    <w:pPr>
      <w:spacing w:after="100"/>
    </w:pPr>
  </w:style>
  <w:style w:type="paragraph" w:styleId="Caption">
    <w:name w:val="caption"/>
    <w:basedOn w:val="Normal"/>
    <w:next w:val="Normal"/>
    <w:uiPriority w:val="35"/>
    <w:unhideWhenUsed/>
    <w:qFormat/>
    <w:rsid w:val="00D27EB9"/>
    <w:pPr>
      <w:keepNext/>
      <w:spacing w:after="200" w:line="240" w:lineRule="auto"/>
    </w:pPr>
    <w:rPr>
      <w:rFonts w:cstheme="minorHAnsi"/>
      <w:b/>
      <w:bCs/>
      <w:i/>
      <w:iCs/>
    </w:rPr>
  </w:style>
  <w:style w:type="paragraph" w:styleId="TableofFigures">
    <w:name w:val="table of figures"/>
    <w:basedOn w:val="Normal"/>
    <w:next w:val="Normal"/>
    <w:uiPriority w:val="99"/>
    <w:unhideWhenUsed/>
    <w:rsid w:val="00D27EB9"/>
    <w:pPr>
      <w:spacing w:after="0"/>
    </w:pPr>
  </w:style>
  <w:style w:type="paragraph" w:customStyle="1" w:styleId="Head1">
    <w:name w:val="Head1"/>
    <w:basedOn w:val="ListParagraph"/>
    <w:link w:val="Head1Char"/>
    <w:qFormat/>
    <w:rsid w:val="00D27EB9"/>
    <w:pPr>
      <w:numPr>
        <w:numId w:val="1"/>
      </w:numPr>
      <w:outlineLvl w:val="0"/>
    </w:pPr>
    <w:rPr>
      <w:rFonts w:ascii="Book Antiqua" w:hAnsi="Book Antiqua" w:cstheme="majorBidi"/>
      <w:b/>
      <w:bCs/>
      <w:sz w:val="24"/>
      <w:szCs w:val="24"/>
    </w:rPr>
  </w:style>
  <w:style w:type="paragraph" w:customStyle="1" w:styleId="Head2">
    <w:name w:val="Head2"/>
    <w:basedOn w:val="ListParagraph"/>
    <w:link w:val="Head2Char"/>
    <w:qFormat/>
    <w:rsid w:val="00D27EB9"/>
    <w:pPr>
      <w:numPr>
        <w:ilvl w:val="1"/>
        <w:numId w:val="1"/>
      </w:numPr>
      <w:outlineLvl w:val="1"/>
    </w:pPr>
    <w:rPr>
      <w:rFonts w:asciiTheme="majorBidi" w:hAnsiTheme="majorBidi" w:cstheme="majorBidi"/>
      <w:b/>
      <w:bCs/>
    </w:rPr>
  </w:style>
  <w:style w:type="paragraph" w:customStyle="1" w:styleId="Head3">
    <w:name w:val="Head3"/>
    <w:basedOn w:val="ListParagraph"/>
    <w:qFormat/>
    <w:rsid w:val="00D27EB9"/>
    <w:pPr>
      <w:numPr>
        <w:ilvl w:val="2"/>
        <w:numId w:val="1"/>
      </w:numPr>
      <w:outlineLvl w:val="2"/>
    </w:pPr>
    <w:rPr>
      <w:rFonts w:asciiTheme="majorBidi" w:hAnsiTheme="majorBidi" w:cstheme="majorBidi"/>
      <w:b/>
      <w:bCs/>
    </w:rPr>
  </w:style>
  <w:style w:type="paragraph" w:customStyle="1" w:styleId="Head4">
    <w:name w:val="Head4"/>
    <w:basedOn w:val="ListParagraph"/>
    <w:qFormat/>
    <w:rsid w:val="00D27EB9"/>
    <w:pPr>
      <w:numPr>
        <w:ilvl w:val="3"/>
        <w:numId w:val="1"/>
      </w:numPr>
      <w:tabs>
        <w:tab w:val="num" w:pos="360"/>
      </w:tabs>
      <w:ind w:left="720" w:firstLine="0"/>
      <w:outlineLvl w:val="3"/>
    </w:pPr>
    <w:rPr>
      <w:rFonts w:asciiTheme="majorBidi" w:hAnsiTheme="majorBidi" w:cstheme="majorBidi"/>
      <w:u w:val="single"/>
    </w:rPr>
  </w:style>
  <w:style w:type="paragraph" w:customStyle="1" w:styleId="Head5">
    <w:name w:val="Head5"/>
    <w:basedOn w:val="ListParagraph"/>
    <w:qFormat/>
    <w:rsid w:val="00D27EB9"/>
    <w:pPr>
      <w:numPr>
        <w:ilvl w:val="4"/>
        <w:numId w:val="1"/>
      </w:numPr>
      <w:tabs>
        <w:tab w:val="num" w:pos="360"/>
      </w:tabs>
      <w:ind w:left="720" w:firstLine="0"/>
      <w:outlineLvl w:val="4"/>
    </w:pPr>
    <w:rPr>
      <w:rFonts w:asciiTheme="majorBidi" w:hAnsiTheme="majorBidi" w:cstheme="majorBidi"/>
      <w:i/>
      <w:iCs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D27EB9"/>
    <w:pPr>
      <w:ind w:left="720"/>
      <w:contextualSpacing/>
    </w:pPr>
  </w:style>
  <w:style w:type="table" w:styleId="TableGrid">
    <w:name w:val="Table Grid"/>
    <w:basedOn w:val="TableNormal"/>
    <w:uiPriority w:val="39"/>
    <w:rsid w:val="00D27EB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21">
    <w:name w:val="Plain Table 21"/>
    <w:basedOn w:val="TableNormal"/>
    <w:uiPriority w:val="99"/>
    <w:rsid w:val="00D27EB9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Head2Char">
    <w:name w:val="Head2 Char"/>
    <w:basedOn w:val="DefaultParagraphFont"/>
    <w:link w:val="Head2"/>
    <w:rsid w:val="00D27EB9"/>
    <w:rPr>
      <w:rFonts w:asciiTheme="majorBidi" w:hAnsiTheme="majorBidi" w:cstheme="majorBidi"/>
      <w:b/>
      <w:bCs/>
      <w:lang w:val="en-US"/>
    </w:rPr>
  </w:style>
  <w:style w:type="table" w:styleId="LightShading">
    <w:name w:val="Light Shading"/>
    <w:basedOn w:val="TableNormal"/>
    <w:uiPriority w:val="60"/>
    <w:rsid w:val="00D27EB9"/>
    <w:pPr>
      <w:spacing w:after="0" w:line="240" w:lineRule="auto"/>
    </w:pPr>
    <w:rPr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Hyperlink">
    <w:name w:val="Hyperlink"/>
    <w:basedOn w:val="DefaultParagraphFont"/>
    <w:uiPriority w:val="99"/>
    <w:unhideWhenUsed/>
    <w:rsid w:val="00D27EB9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27EB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7EB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27EB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7EB9"/>
    <w:rPr>
      <w:lang w:val="en-US"/>
    </w:rPr>
  </w:style>
  <w:style w:type="character" w:customStyle="1" w:styleId="Head1Char">
    <w:name w:val="Head1 Char"/>
    <w:basedOn w:val="DefaultParagraphFont"/>
    <w:link w:val="Head1"/>
    <w:locked/>
    <w:rsid w:val="00D27EB9"/>
    <w:rPr>
      <w:rFonts w:ascii="Book Antiqua" w:hAnsi="Book Antiqua" w:cstheme="majorBidi"/>
      <w:b/>
      <w:bCs/>
      <w:sz w:val="24"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D27EB9"/>
    <w:rPr>
      <w:lang w:val="en-US"/>
    </w:rPr>
  </w:style>
  <w:style w:type="character" w:styleId="Emphasis">
    <w:name w:val="Emphasis"/>
    <w:basedOn w:val="DefaultParagraphFont"/>
    <w:uiPriority w:val="20"/>
    <w:qFormat/>
    <w:rsid w:val="00D27EB9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7EB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EB9"/>
    <w:rPr>
      <w:rFonts w:ascii="Lucida Grande" w:hAnsi="Lucida Grande" w:cs="Lucida Grande"/>
      <w:sz w:val="18"/>
      <w:szCs w:val="18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D27EB9"/>
    <w:rPr>
      <w:color w:val="954F72" w:themeColor="followedHyperlink"/>
      <w:u w:val="single"/>
    </w:rPr>
  </w:style>
  <w:style w:type="paragraph" w:customStyle="1" w:styleId="MDPI13authornames">
    <w:name w:val="MDPI_1.3_authornames"/>
    <w:basedOn w:val="Normal"/>
    <w:next w:val="Normal"/>
    <w:qFormat/>
    <w:rsid w:val="00D27EB9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6affiliation">
    <w:name w:val="MDPI_1.6_affiliation"/>
    <w:basedOn w:val="Normal"/>
    <w:qFormat/>
    <w:rsid w:val="00D27EB9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  <w:style w:type="paragraph" w:styleId="NoSpacing">
    <w:name w:val="No Spacing"/>
    <w:uiPriority w:val="1"/>
    <w:qFormat/>
    <w:rsid w:val="00D27EB9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7E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7EB9"/>
    <w:pPr>
      <w:spacing w:line="240" w:lineRule="auto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7EB9"/>
    <w:rPr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27EB9"/>
    <w:pPr>
      <w:spacing w:after="100"/>
      <w:ind w:left="220"/>
    </w:pPr>
  </w:style>
  <w:style w:type="character" w:styleId="Strong">
    <w:name w:val="Strong"/>
    <w:basedOn w:val="DefaultParagraphFont"/>
    <w:uiPriority w:val="22"/>
    <w:qFormat/>
    <w:rsid w:val="00FC4900"/>
    <w:rPr>
      <w:b/>
      <w:bCs/>
    </w:rPr>
  </w:style>
  <w:style w:type="table" w:styleId="PlainTable1">
    <w:name w:val="Plain Table 1"/>
    <w:basedOn w:val="TableNormal"/>
    <w:uiPriority w:val="41"/>
    <w:rsid w:val="008F2EC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FootnoteText">
    <w:name w:val="footnote text"/>
    <w:basedOn w:val="Normal"/>
    <w:link w:val="FootnoteTextChar"/>
    <w:uiPriority w:val="99"/>
    <w:unhideWhenUsed/>
    <w:rsid w:val="00BC3015"/>
    <w:pPr>
      <w:spacing w:after="0" w:line="240" w:lineRule="auto"/>
    </w:pPr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C3015"/>
    <w:rPr>
      <w:sz w:val="20"/>
      <w:szCs w:val="20"/>
    </w:rPr>
  </w:style>
  <w:style w:type="paragraph" w:styleId="Bibliography">
    <w:name w:val="Bibliography"/>
    <w:basedOn w:val="Normal"/>
    <w:next w:val="Normal"/>
    <w:uiPriority w:val="37"/>
    <w:unhideWhenUsed/>
    <w:rsid w:val="00BC3015"/>
  </w:style>
  <w:style w:type="paragraph" w:customStyle="1" w:styleId="MDPI31text">
    <w:name w:val="MDPI_3.1_text"/>
    <w:qFormat/>
    <w:rsid w:val="009B2BB4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22heading2">
    <w:name w:val="MDPI_2.2_heading2"/>
    <w:basedOn w:val="Normal"/>
    <w:qFormat/>
    <w:rsid w:val="009B2BB4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eastAsia="de-DE" w:bidi="en-US"/>
    </w:rPr>
  </w:style>
  <w:style w:type="paragraph" w:customStyle="1" w:styleId="MDPI41tablecaption">
    <w:name w:val="MDPI_4.1_table_caption"/>
    <w:basedOn w:val="Normal"/>
    <w:qFormat/>
    <w:rsid w:val="009B2BB4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lang w:eastAsia="de-DE" w:bidi="en-US"/>
    </w:rPr>
  </w:style>
  <w:style w:type="paragraph" w:customStyle="1" w:styleId="MDPI42tablebody">
    <w:name w:val="MDPI_4.2_table_body"/>
    <w:qFormat/>
    <w:rsid w:val="009B2BB4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9B2BB4"/>
    <w:rPr>
      <w:vertAlign w:val="superscript"/>
    </w:rPr>
  </w:style>
  <w:style w:type="paragraph" w:customStyle="1" w:styleId="MDPI71References">
    <w:name w:val="MDPI_7.1_References"/>
    <w:basedOn w:val="Normal"/>
    <w:qFormat/>
    <w:rsid w:val="00F9441E"/>
    <w:pPr>
      <w:numPr>
        <w:numId w:val="30"/>
      </w:numPr>
      <w:adjustRightInd w:val="0"/>
      <w:snapToGrid w:val="0"/>
      <w:spacing w:after="0" w:line="260" w:lineRule="atLeast"/>
      <w:ind w:left="425" w:hanging="425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12title">
    <w:name w:val="MDPI_1.2_title"/>
    <w:next w:val="Normal"/>
    <w:qFormat/>
    <w:rsid w:val="006C5F45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6C5F45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styleId="TOC3">
    <w:name w:val="toc 3"/>
    <w:basedOn w:val="Normal"/>
    <w:next w:val="Normal"/>
    <w:autoRedefine/>
    <w:uiPriority w:val="39"/>
    <w:unhideWhenUsed/>
    <w:rsid w:val="00907F90"/>
    <w:pPr>
      <w:spacing w:after="100"/>
      <w:ind w:left="440"/>
    </w:pPr>
  </w:style>
  <w:style w:type="table" w:styleId="PlainTable2">
    <w:name w:val="Plain Table 2"/>
    <w:basedOn w:val="TableNormal"/>
    <w:uiPriority w:val="42"/>
    <w:rsid w:val="000531C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9B0DC-6A59-42FE-9CC3-F4809F873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1015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Hussein</dc:creator>
  <cp:keywords/>
  <dc:description/>
  <cp:lastModifiedBy>Murat Kucukvar</cp:lastModifiedBy>
  <cp:revision>2</cp:revision>
  <dcterms:created xsi:type="dcterms:W3CDTF">2022-05-15T16:44:00Z</dcterms:created>
  <dcterms:modified xsi:type="dcterms:W3CDTF">2022-05-15T16:44:00Z</dcterms:modified>
</cp:coreProperties>
</file>