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F5C" w:rsidRDefault="001A3F5C" w:rsidP="001A2820">
      <w:pPr>
        <w:spacing w:line="240" w:lineRule="auto"/>
        <w:jc w:val="center"/>
        <w:rPr>
          <w:rFonts w:asciiTheme="majorBidi" w:hAnsiTheme="majorBidi" w:cstheme="majorBidi"/>
          <w:b/>
          <w:bCs/>
          <w:sz w:val="36"/>
          <w:szCs w:val="36"/>
        </w:rPr>
      </w:pPr>
      <w:bookmarkStart w:id="0" w:name="_GoBack"/>
      <w:bookmarkEnd w:id="0"/>
      <w:r w:rsidRPr="00B81B5E">
        <w:rPr>
          <w:rFonts w:asciiTheme="majorBidi" w:hAnsiTheme="majorBidi" w:cstheme="majorBidi"/>
          <w:b/>
          <w:bCs/>
          <w:sz w:val="36"/>
          <w:szCs w:val="36"/>
        </w:rPr>
        <w:t>Towards Estimatio</w:t>
      </w:r>
      <w:r w:rsidR="001A2820" w:rsidRPr="00B81B5E">
        <w:rPr>
          <w:rFonts w:asciiTheme="majorBidi" w:hAnsiTheme="majorBidi" w:cstheme="majorBidi"/>
          <w:b/>
          <w:bCs/>
          <w:sz w:val="36"/>
          <w:szCs w:val="36"/>
        </w:rPr>
        <w:t>n</w:t>
      </w:r>
      <w:r w:rsidRPr="00B81B5E">
        <w:rPr>
          <w:rFonts w:asciiTheme="majorBidi" w:hAnsiTheme="majorBidi" w:cstheme="majorBidi"/>
          <w:b/>
          <w:bCs/>
          <w:sz w:val="36"/>
          <w:szCs w:val="36"/>
        </w:rPr>
        <w:t xml:space="preserve"> of CO</w:t>
      </w:r>
      <w:r w:rsidRPr="00B81B5E">
        <w:rPr>
          <w:rFonts w:asciiTheme="majorBidi" w:hAnsiTheme="majorBidi" w:cstheme="majorBidi"/>
          <w:b/>
          <w:bCs/>
          <w:sz w:val="36"/>
          <w:szCs w:val="36"/>
          <w:vertAlign w:val="subscript"/>
        </w:rPr>
        <w:t>2</w:t>
      </w:r>
      <w:r w:rsidRPr="00B81B5E">
        <w:rPr>
          <w:rFonts w:asciiTheme="majorBidi" w:hAnsiTheme="majorBidi" w:cstheme="majorBidi"/>
          <w:b/>
          <w:bCs/>
          <w:sz w:val="36"/>
          <w:szCs w:val="36"/>
        </w:rPr>
        <w:t xml:space="preserve"> Adsorption on Highly Porous MOF-based Adsorbents Using Gaussian Process Regression Approach</w:t>
      </w:r>
      <w:r w:rsidRPr="00560F9E">
        <w:rPr>
          <w:rFonts w:asciiTheme="majorBidi" w:hAnsiTheme="majorBidi" w:cstheme="majorBidi"/>
          <w:b/>
          <w:bCs/>
          <w:sz w:val="36"/>
          <w:szCs w:val="36"/>
        </w:rPr>
        <w:t xml:space="preserve"> </w:t>
      </w:r>
    </w:p>
    <w:p w:rsidR="001A3F5C" w:rsidRPr="00766D5F" w:rsidRDefault="001A3F5C" w:rsidP="001A3F5C">
      <w:pPr>
        <w:spacing w:line="240" w:lineRule="auto"/>
        <w:jc w:val="center"/>
        <w:rPr>
          <w:rFonts w:asciiTheme="majorBidi" w:hAnsiTheme="majorBidi" w:cstheme="majorBidi"/>
          <w:sz w:val="22"/>
          <w:szCs w:val="22"/>
          <w:vertAlign w:val="superscript"/>
        </w:rPr>
      </w:pPr>
      <w:r w:rsidRPr="00766D5F">
        <w:rPr>
          <w:rFonts w:asciiTheme="majorBidi" w:hAnsiTheme="majorBidi" w:cstheme="majorBidi"/>
          <w:sz w:val="22"/>
          <w:szCs w:val="22"/>
        </w:rPr>
        <w:t>Majedeh Gheytanzadeh</w:t>
      </w:r>
      <w:r w:rsidRPr="00766D5F">
        <w:rPr>
          <w:rFonts w:asciiTheme="majorBidi" w:hAnsiTheme="majorBidi" w:cstheme="majorBidi"/>
          <w:sz w:val="22"/>
          <w:szCs w:val="22"/>
          <w:vertAlign w:val="superscript"/>
        </w:rPr>
        <w:t>1</w:t>
      </w:r>
      <w:r w:rsidRPr="00766D5F">
        <w:rPr>
          <w:rFonts w:asciiTheme="majorBidi" w:hAnsiTheme="majorBidi" w:cstheme="majorBidi"/>
          <w:sz w:val="22"/>
          <w:szCs w:val="22"/>
        </w:rPr>
        <w:t>, Alireza Baghban</w:t>
      </w:r>
      <w:r w:rsidRPr="00766D5F">
        <w:rPr>
          <w:rFonts w:asciiTheme="majorBidi" w:hAnsiTheme="majorBidi" w:cstheme="majorBidi"/>
          <w:sz w:val="22"/>
          <w:szCs w:val="22"/>
          <w:vertAlign w:val="superscript"/>
        </w:rPr>
        <w:t>2</w:t>
      </w:r>
      <w:r>
        <w:rPr>
          <w:rFonts w:asciiTheme="majorBidi" w:hAnsiTheme="majorBidi" w:cstheme="majorBidi"/>
          <w:sz w:val="22"/>
          <w:szCs w:val="22"/>
          <w:vertAlign w:val="superscript"/>
        </w:rPr>
        <w:t>,*</w:t>
      </w:r>
      <w:r w:rsidRPr="00766D5F">
        <w:rPr>
          <w:rFonts w:asciiTheme="majorBidi" w:hAnsiTheme="majorBidi" w:cstheme="majorBidi"/>
          <w:sz w:val="22"/>
          <w:szCs w:val="22"/>
        </w:rPr>
        <w:t xml:space="preserve"> , Sajjad Habibzadeh</w:t>
      </w:r>
      <w:r w:rsidRPr="00766D5F">
        <w:rPr>
          <w:rFonts w:asciiTheme="majorBidi" w:hAnsiTheme="majorBidi" w:cstheme="majorBidi"/>
          <w:sz w:val="22"/>
          <w:szCs w:val="22"/>
          <w:vertAlign w:val="superscript"/>
        </w:rPr>
        <w:t>1,</w:t>
      </w:r>
      <w:r>
        <w:rPr>
          <w:rFonts w:asciiTheme="majorBidi" w:hAnsiTheme="majorBidi" w:cstheme="majorBidi"/>
          <w:sz w:val="22"/>
          <w:szCs w:val="22"/>
          <w:vertAlign w:val="superscript"/>
        </w:rPr>
        <w:t>3,*</w:t>
      </w:r>
      <w:r w:rsidRPr="00766D5F">
        <w:rPr>
          <w:rFonts w:asciiTheme="majorBidi" w:hAnsiTheme="majorBidi" w:cstheme="majorBidi"/>
          <w:sz w:val="22"/>
          <w:szCs w:val="22"/>
        </w:rPr>
        <w:t>, Amin Esmaeili</w:t>
      </w:r>
      <w:r>
        <w:rPr>
          <w:rFonts w:asciiTheme="majorBidi" w:hAnsiTheme="majorBidi" w:cstheme="majorBidi"/>
          <w:sz w:val="22"/>
          <w:szCs w:val="22"/>
          <w:vertAlign w:val="superscript"/>
        </w:rPr>
        <w:t>4</w:t>
      </w:r>
      <w:r>
        <w:rPr>
          <w:rFonts w:asciiTheme="majorBidi" w:hAnsiTheme="majorBidi" w:cstheme="majorBidi"/>
          <w:sz w:val="22"/>
          <w:szCs w:val="22"/>
        </w:rPr>
        <w:t xml:space="preserve">, </w:t>
      </w:r>
      <w:r w:rsidRPr="00766D5F">
        <w:rPr>
          <w:rFonts w:asciiTheme="majorBidi" w:hAnsiTheme="majorBidi" w:cstheme="majorBidi"/>
          <w:sz w:val="22"/>
          <w:szCs w:val="22"/>
        </w:rPr>
        <w:t>Otman Abida</w:t>
      </w:r>
      <w:r>
        <w:rPr>
          <w:rFonts w:asciiTheme="majorBidi" w:hAnsiTheme="majorBidi" w:cstheme="majorBidi"/>
          <w:sz w:val="22"/>
          <w:szCs w:val="22"/>
          <w:vertAlign w:val="superscript"/>
        </w:rPr>
        <w:t>5</w:t>
      </w:r>
      <w:r w:rsidRPr="00766D5F">
        <w:rPr>
          <w:rFonts w:asciiTheme="majorBidi" w:hAnsiTheme="majorBidi" w:cstheme="majorBidi"/>
          <w:sz w:val="22"/>
          <w:szCs w:val="22"/>
        </w:rPr>
        <w:t xml:space="preserve">, </w:t>
      </w:r>
      <w:r>
        <w:rPr>
          <w:rFonts w:asciiTheme="majorBidi" w:hAnsiTheme="majorBidi" w:cstheme="majorBidi"/>
          <w:sz w:val="22"/>
          <w:szCs w:val="22"/>
        </w:rPr>
        <w:t>Ahmad Mohaddespour</w:t>
      </w:r>
      <w:r>
        <w:rPr>
          <w:rFonts w:asciiTheme="majorBidi" w:hAnsiTheme="majorBidi" w:cstheme="majorBidi"/>
          <w:sz w:val="22"/>
          <w:szCs w:val="22"/>
          <w:vertAlign w:val="superscript"/>
        </w:rPr>
        <w:t>5</w:t>
      </w:r>
      <w:r>
        <w:rPr>
          <w:rFonts w:asciiTheme="majorBidi" w:hAnsiTheme="majorBidi" w:cstheme="majorBidi"/>
          <w:sz w:val="22"/>
          <w:szCs w:val="22"/>
        </w:rPr>
        <w:t xml:space="preserve"> </w:t>
      </w:r>
      <w:r w:rsidRPr="00766D5F">
        <w:rPr>
          <w:rFonts w:asciiTheme="majorBidi" w:hAnsiTheme="majorBidi" w:cstheme="majorBidi"/>
          <w:sz w:val="22"/>
          <w:szCs w:val="22"/>
        </w:rPr>
        <w:t>and Muhammad Tajammal Munir</w:t>
      </w:r>
      <w:r>
        <w:rPr>
          <w:rFonts w:asciiTheme="majorBidi" w:hAnsiTheme="majorBidi" w:cstheme="majorBidi"/>
          <w:sz w:val="22"/>
          <w:szCs w:val="22"/>
          <w:vertAlign w:val="superscript"/>
        </w:rPr>
        <w:t>5</w:t>
      </w:r>
    </w:p>
    <w:p w:rsidR="001A3F5C" w:rsidRPr="00CE1DD8" w:rsidRDefault="001A3F5C" w:rsidP="001A3F5C">
      <w:pPr>
        <w:spacing w:line="240" w:lineRule="auto"/>
        <w:jc w:val="center"/>
        <w:rPr>
          <w:rFonts w:asciiTheme="majorBidi" w:hAnsiTheme="majorBidi" w:cstheme="majorBidi"/>
          <w:sz w:val="24"/>
          <w:szCs w:val="24"/>
          <w:vertAlign w:val="superscript"/>
        </w:rPr>
      </w:pPr>
    </w:p>
    <w:p w:rsidR="001A3F5C" w:rsidRPr="00766D5F" w:rsidRDefault="001A3F5C" w:rsidP="001A3F5C">
      <w:pPr>
        <w:spacing w:line="240" w:lineRule="auto"/>
        <w:jc w:val="center"/>
        <w:rPr>
          <w:rFonts w:asciiTheme="majorBidi" w:hAnsiTheme="majorBidi" w:cstheme="majorBidi"/>
          <w:i/>
          <w:iCs/>
          <w:sz w:val="22"/>
          <w:szCs w:val="22"/>
        </w:rPr>
      </w:pPr>
      <w:r w:rsidRPr="008C64B1">
        <w:rPr>
          <w:rFonts w:asciiTheme="majorBidi" w:hAnsiTheme="majorBidi" w:cstheme="majorBidi"/>
          <w:i/>
          <w:iCs/>
          <w:sz w:val="24"/>
          <w:szCs w:val="24"/>
          <w:vertAlign w:val="superscript"/>
        </w:rPr>
        <w:t>1</w:t>
      </w:r>
      <w:r w:rsidRPr="008C64B1">
        <w:rPr>
          <w:rFonts w:asciiTheme="majorBidi" w:hAnsiTheme="majorBidi" w:cstheme="majorBidi"/>
          <w:i/>
          <w:iCs/>
          <w:sz w:val="24"/>
          <w:szCs w:val="24"/>
        </w:rPr>
        <w:t xml:space="preserve"> </w:t>
      </w:r>
      <w:r w:rsidRPr="00766D5F">
        <w:rPr>
          <w:rFonts w:asciiTheme="majorBidi" w:hAnsiTheme="majorBidi" w:cstheme="majorBidi"/>
          <w:i/>
          <w:iCs/>
          <w:sz w:val="22"/>
          <w:szCs w:val="22"/>
        </w:rPr>
        <w:t>Surface reaction and advanced energy materials laboratory, Chemical Engineering Department, Amirkabir University of Technology (Tehran Polytechnic), Tehran, Iran</w:t>
      </w:r>
    </w:p>
    <w:p w:rsidR="001A3F5C" w:rsidRDefault="001A3F5C" w:rsidP="001A3F5C">
      <w:pPr>
        <w:spacing w:line="240" w:lineRule="auto"/>
        <w:jc w:val="center"/>
        <w:rPr>
          <w:rFonts w:asciiTheme="majorBidi" w:hAnsiTheme="majorBidi" w:cstheme="majorBidi"/>
          <w:i/>
          <w:iCs/>
          <w:sz w:val="22"/>
          <w:szCs w:val="22"/>
        </w:rPr>
      </w:pPr>
      <w:r w:rsidRPr="00766D5F">
        <w:rPr>
          <w:rFonts w:asciiTheme="majorBidi" w:hAnsiTheme="majorBidi" w:cstheme="majorBidi"/>
          <w:i/>
          <w:iCs/>
          <w:sz w:val="22"/>
          <w:szCs w:val="22"/>
          <w:vertAlign w:val="superscript"/>
        </w:rPr>
        <w:t>2</w:t>
      </w:r>
      <w:r w:rsidRPr="00766D5F">
        <w:rPr>
          <w:rFonts w:asciiTheme="majorBidi" w:hAnsiTheme="majorBidi" w:cstheme="majorBidi"/>
          <w:i/>
          <w:iCs/>
          <w:sz w:val="22"/>
          <w:szCs w:val="22"/>
        </w:rPr>
        <w:t xml:space="preserve"> Chemical Engineering Department, Amirkabir University of Technology (Tehran Polytechnic), Mahshahr Campus, Mahshahr, Iran</w:t>
      </w:r>
    </w:p>
    <w:p w:rsidR="001A3F5C" w:rsidRDefault="001A3F5C" w:rsidP="001A3F5C">
      <w:pPr>
        <w:spacing w:line="240" w:lineRule="auto"/>
        <w:jc w:val="center"/>
        <w:rPr>
          <w:rFonts w:asciiTheme="majorBidi" w:hAnsiTheme="majorBidi" w:cstheme="majorBidi"/>
          <w:i/>
          <w:iCs/>
          <w:sz w:val="22"/>
          <w:szCs w:val="22"/>
        </w:rPr>
      </w:pPr>
      <w:r>
        <w:rPr>
          <w:rFonts w:asciiTheme="majorBidi" w:hAnsiTheme="majorBidi" w:cstheme="majorBidi"/>
          <w:i/>
          <w:iCs/>
          <w:sz w:val="22"/>
          <w:szCs w:val="22"/>
          <w:vertAlign w:val="superscript"/>
        </w:rPr>
        <w:t>3</w:t>
      </w:r>
      <w:r w:rsidRPr="00CE1DD8">
        <w:rPr>
          <w:rFonts w:asciiTheme="majorBidi" w:hAnsiTheme="majorBidi" w:cstheme="majorBidi"/>
          <w:i/>
          <w:iCs/>
          <w:sz w:val="22"/>
          <w:szCs w:val="22"/>
        </w:rPr>
        <w:t>Department of Chemical Engineering, McGill University, 3610 University Street, Montreal, QC H3A 0C5, Canada</w:t>
      </w:r>
    </w:p>
    <w:p w:rsidR="001A3F5C" w:rsidRPr="00766D5F" w:rsidRDefault="001A3F5C" w:rsidP="001A3F5C">
      <w:pPr>
        <w:spacing w:line="240" w:lineRule="auto"/>
        <w:jc w:val="center"/>
        <w:rPr>
          <w:rFonts w:asciiTheme="majorBidi" w:hAnsiTheme="majorBidi" w:cstheme="majorBidi"/>
          <w:i/>
          <w:iCs/>
          <w:sz w:val="22"/>
          <w:szCs w:val="22"/>
        </w:rPr>
      </w:pPr>
      <w:r>
        <w:rPr>
          <w:rFonts w:asciiTheme="majorBidi" w:hAnsiTheme="majorBidi" w:cstheme="majorBidi"/>
          <w:i/>
          <w:iCs/>
          <w:sz w:val="22"/>
          <w:szCs w:val="22"/>
          <w:vertAlign w:val="superscript"/>
        </w:rPr>
        <w:t>4</w:t>
      </w:r>
      <w:r w:rsidRPr="00D35B0F">
        <w:rPr>
          <w:rFonts w:asciiTheme="majorBidi" w:hAnsiTheme="majorBidi" w:cstheme="majorBidi"/>
          <w:i/>
          <w:iCs/>
          <w:sz w:val="22"/>
          <w:szCs w:val="22"/>
        </w:rPr>
        <w:t xml:space="preserve"> </w:t>
      </w:r>
      <w:r w:rsidRPr="00766D5F">
        <w:rPr>
          <w:rFonts w:asciiTheme="majorBidi" w:hAnsiTheme="majorBidi" w:cstheme="majorBidi"/>
          <w:i/>
          <w:iCs/>
          <w:sz w:val="22"/>
          <w:szCs w:val="22"/>
        </w:rPr>
        <w:t>Department of Chemical Engineering, School of Engineering Technology and Industrial Trades, College of the North Atlantic - Qatar, Doha, Qatar</w:t>
      </w:r>
    </w:p>
    <w:p w:rsidR="001A3F5C" w:rsidRDefault="001A3F5C" w:rsidP="001A3F5C">
      <w:pPr>
        <w:spacing w:line="240" w:lineRule="auto"/>
        <w:jc w:val="center"/>
        <w:rPr>
          <w:rFonts w:asciiTheme="majorBidi" w:hAnsiTheme="majorBidi" w:cstheme="majorBidi"/>
          <w:i/>
          <w:iCs/>
          <w:sz w:val="22"/>
          <w:szCs w:val="22"/>
        </w:rPr>
      </w:pPr>
      <w:r>
        <w:rPr>
          <w:rFonts w:asciiTheme="majorBidi" w:hAnsiTheme="majorBidi" w:cstheme="majorBidi"/>
          <w:i/>
          <w:iCs/>
          <w:sz w:val="22"/>
          <w:szCs w:val="22"/>
          <w:vertAlign w:val="superscript"/>
        </w:rPr>
        <w:t>5</w:t>
      </w:r>
      <w:r w:rsidRPr="00D35B0F">
        <w:rPr>
          <w:rFonts w:asciiTheme="majorBidi" w:hAnsiTheme="majorBidi" w:cstheme="majorBidi"/>
          <w:i/>
          <w:iCs/>
          <w:sz w:val="22"/>
          <w:szCs w:val="22"/>
        </w:rPr>
        <w:t xml:space="preserve"> </w:t>
      </w:r>
      <w:r w:rsidRPr="00766D5F">
        <w:rPr>
          <w:rFonts w:asciiTheme="majorBidi" w:hAnsiTheme="majorBidi" w:cstheme="majorBidi"/>
          <w:i/>
          <w:iCs/>
          <w:sz w:val="22"/>
          <w:szCs w:val="22"/>
        </w:rPr>
        <w:t xml:space="preserve">College of Engineering and Technology, American University of the Middle East, Kuwait </w:t>
      </w:r>
    </w:p>
    <w:p w:rsidR="001A3F5C" w:rsidRPr="00766D5F" w:rsidRDefault="001A3F5C" w:rsidP="001A3F5C">
      <w:pPr>
        <w:spacing w:line="240" w:lineRule="auto"/>
        <w:jc w:val="center"/>
        <w:rPr>
          <w:rFonts w:asciiTheme="majorBidi" w:hAnsiTheme="majorBidi" w:cstheme="majorBidi"/>
          <w:i/>
          <w:iCs/>
          <w:sz w:val="22"/>
          <w:szCs w:val="22"/>
        </w:rPr>
      </w:pPr>
      <w:r w:rsidRPr="00631022">
        <w:rPr>
          <w:rFonts w:asciiTheme="majorBidi" w:hAnsiTheme="majorBidi" w:cstheme="majorBidi"/>
          <w:i/>
          <w:iCs/>
          <w:sz w:val="22"/>
          <w:szCs w:val="22"/>
        </w:rPr>
        <w:t>*Corresponding author</w:t>
      </w:r>
      <w:r>
        <w:rPr>
          <w:rFonts w:asciiTheme="majorBidi" w:hAnsiTheme="majorBidi" w:cstheme="majorBidi"/>
          <w:i/>
          <w:iCs/>
          <w:sz w:val="22"/>
          <w:szCs w:val="22"/>
        </w:rPr>
        <w:t>s</w:t>
      </w:r>
      <w:r w:rsidRPr="00631022">
        <w:rPr>
          <w:rFonts w:asciiTheme="majorBidi" w:hAnsiTheme="majorBidi" w:cstheme="majorBidi"/>
          <w:i/>
          <w:iCs/>
          <w:sz w:val="22"/>
          <w:szCs w:val="22"/>
        </w:rPr>
        <w:t>: Alireza_baghban@alumni.ut.ac.ir (A. Baghban); sajjad.habibzadeh@mail.mcgill.ca (S.Habibzadeh)</w:t>
      </w:r>
    </w:p>
    <w:p w:rsidR="00AE09BE" w:rsidRDefault="00AE09BE" w:rsidP="002B1F9A">
      <w:pPr>
        <w:spacing w:line="360" w:lineRule="auto"/>
        <w:jc w:val="center"/>
        <w:rPr>
          <w:rFonts w:ascii="TimesNewRomanPSMT" w:hAnsi="TimesNewRomanPSMT"/>
          <w:b/>
          <w:bCs/>
          <w:color w:val="000000"/>
          <w:sz w:val="20"/>
          <w:szCs w:val="20"/>
        </w:rPr>
      </w:pPr>
    </w:p>
    <w:p w:rsidR="002B1F9A" w:rsidRPr="008F7C38" w:rsidRDefault="002B1F9A" w:rsidP="002B1F9A">
      <w:pPr>
        <w:spacing w:line="360" w:lineRule="auto"/>
        <w:jc w:val="center"/>
        <w:rPr>
          <w:rFonts w:ascii="TimesNewRomanPSMT" w:hAnsi="TimesNewRomanPSMT"/>
          <w:color w:val="000000"/>
          <w:sz w:val="20"/>
          <w:szCs w:val="20"/>
          <w:rtl/>
        </w:rPr>
      </w:pPr>
      <w:r w:rsidRPr="00803428">
        <w:rPr>
          <w:rFonts w:ascii="TimesNewRomanPSMT" w:hAnsi="TimesNewRomanPSMT"/>
          <w:b/>
          <w:bCs/>
          <w:color w:val="000000"/>
          <w:sz w:val="20"/>
          <w:szCs w:val="20"/>
        </w:rPr>
        <w:t xml:space="preserve">Table </w:t>
      </w:r>
      <w:r>
        <w:rPr>
          <w:rFonts w:ascii="TimesNewRomanPSMT" w:hAnsi="TimesNewRomanPSMT"/>
          <w:b/>
          <w:bCs/>
          <w:color w:val="000000"/>
          <w:sz w:val="20"/>
          <w:szCs w:val="20"/>
        </w:rPr>
        <w:t>S</w:t>
      </w:r>
      <w:r w:rsidRPr="00803428">
        <w:rPr>
          <w:rFonts w:ascii="TimesNewRomanPSMT" w:hAnsi="TimesNewRomanPSMT"/>
          <w:b/>
          <w:bCs/>
          <w:color w:val="000000"/>
          <w:sz w:val="20"/>
          <w:szCs w:val="20"/>
        </w:rPr>
        <w:t>1</w:t>
      </w:r>
      <w:r w:rsidRPr="008F7C38">
        <w:rPr>
          <w:rFonts w:ascii="TimesNewRomanPSMT" w:hAnsi="TimesNewRomanPSMT"/>
          <w:color w:val="000000"/>
          <w:sz w:val="20"/>
          <w:szCs w:val="20"/>
        </w:rPr>
        <w:t>. The details of the experimental data and the properties of the MOFs used in current study.</w:t>
      </w:r>
    </w:p>
    <w:tbl>
      <w:tblPr>
        <w:tblStyle w:val="PlainTable2"/>
        <w:tblW w:w="0" w:type="auto"/>
        <w:tblLayout w:type="fixed"/>
        <w:tblLook w:val="04A0" w:firstRow="1" w:lastRow="0" w:firstColumn="1" w:lastColumn="0" w:noHBand="0" w:noVBand="1"/>
      </w:tblPr>
      <w:tblGrid>
        <w:gridCol w:w="543"/>
        <w:gridCol w:w="1226"/>
        <w:gridCol w:w="1188"/>
        <w:gridCol w:w="1438"/>
        <w:gridCol w:w="1417"/>
        <w:gridCol w:w="851"/>
        <w:gridCol w:w="1269"/>
        <w:gridCol w:w="628"/>
        <w:gridCol w:w="800"/>
      </w:tblGrid>
      <w:tr w:rsidR="002B1F9A" w:rsidRPr="002E5ADF" w:rsidTr="002302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center"/>
              <w:rPr>
                <w:rFonts w:ascii="TimesNewRomanPSMT" w:hAnsi="TimesNewRomanPSMT"/>
                <w:color w:val="000000"/>
                <w:sz w:val="20"/>
                <w:szCs w:val="20"/>
              </w:rPr>
            </w:pPr>
            <w:r w:rsidRPr="002E5ADF">
              <w:rPr>
                <w:rFonts w:ascii="TimesNewRomanPSMT" w:hAnsi="TimesNewRomanPSMT"/>
                <w:color w:val="000000"/>
                <w:sz w:val="20"/>
                <w:szCs w:val="20"/>
              </w:rPr>
              <w:t>No.</w:t>
            </w:r>
          </w:p>
        </w:tc>
        <w:tc>
          <w:tcPr>
            <w:tcW w:w="1226" w:type="dxa"/>
          </w:tcPr>
          <w:p w:rsidR="002B1F9A" w:rsidRPr="002E5ADF" w:rsidRDefault="002B1F9A" w:rsidP="002302D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MOF</w:t>
            </w:r>
          </w:p>
        </w:tc>
        <w:tc>
          <w:tcPr>
            <w:tcW w:w="1188" w:type="dxa"/>
          </w:tcPr>
          <w:p w:rsidR="002B1F9A" w:rsidRPr="002E5ADF" w:rsidRDefault="002B1F9A" w:rsidP="002302D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V</w:t>
            </w:r>
            <w:r w:rsidRPr="002E5ADF">
              <w:rPr>
                <w:rFonts w:ascii="TimesNewRomanPSMT" w:hAnsi="TimesNewRomanPSMT"/>
                <w:color w:val="000000"/>
                <w:sz w:val="20"/>
                <w:szCs w:val="20"/>
                <w:vertAlign w:val="subscript"/>
              </w:rPr>
              <w:t>p</w:t>
            </w:r>
            <w:r w:rsidRPr="002E5ADF">
              <w:rPr>
                <w:rFonts w:ascii="TimesNewRomanPSMT" w:hAnsi="TimesNewRomanPSMT"/>
                <w:color w:val="000000"/>
                <w:sz w:val="20"/>
                <w:szCs w:val="20"/>
              </w:rPr>
              <w:t xml:space="preserve"> (cm</w:t>
            </w:r>
            <w:r w:rsidRPr="002E5ADF">
              <w:rPr>
                <w:rFonts w:ascii="TimesNewRomanPSMT" w:hAnsi="TimesNewRomanPSMT"/>
                <w:color w:val="000000"/>
                <w:sz w:val="20"/>
                <w:szCs w:val="20"/>
                <w:vertAlign w:val="superscript"/>
              </w:rPr>
              <w:t>3</w:t>
            </w:r>
            <w:r w:rsidRPr="002E5ADF">
              <w:rPr>
                <w:rFonts w:ascii="TimesNewRomanPSMT" w:hAnsi="TimesNewRomanPSMT"/>
                <w:color w:val="000000"/>
                <w:sz w:val="20"/>
                <w:szCs w:val="20"/>
              </w:rPr>
              <w:t>/g) (Refs.)</w:t>
            </w:r>
          </w:p>
        </w:tc>
        <w:tc>
          <w:tcPr>
            <w:tcW w:w="1438" w:type="dxa"/>
          </w:tcPr>
          <w:p w:rsidR="002B1F9A" w:rsidRPr="002E5ADF" w:rsidRDefault="002B1F9A" w:rsidP="002302D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Pressure range (bar)</w:t>
            </w:r>
          </w:p>
        </w:tc>
        <w:tc>
          <w:tcPr>
            <w:tcW w:w="1417" w:type="dxa"/>
          </w:tcPr>
          <w:p w:rsidR="002B1F9A" w:rsidRPr="002E5ADF" w:rsidRDefault="002B1F9A" w:rsidP="002302D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Temperature range (K)</w:t>
            </w:r>
          </w:p>
        </w:tc>
        <w:tc>
          <w:tcPr>
            <w:tcW w:w="851" w:type="dxa"/>
          </w:tcPr>
          <w:p w:rsidR="002B1F9A" w:rsidRPr="002E5ADF" w:rsidRDefault="002B1F9A" w:rsidP="00753E1E">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0166F4">
              <w:rPr>
                <w:rFonts w:ascii="TimesNewRomanPSMT" w:hAnsi="TimesNewRomanPSMT"/>
                <w:color w:val="000000"/>
                <w:sz w:val="20"/>
                <w:szCs w:val="20"/>
              </w:rPr>
              <w:t>S (m</w:t>
            </w:r>
            <w:r w:rsidR="00753E1E" w:rsidRPr="000166F4">
              <w:rPr>
                <w:rFonts w:ascii="TimesNewRomanPSMT" w:hAnsi="TimesNewRomanPSMT"/>
                <w:color w:val="000000"/>
                <w:sz w:val="20"/>
                <w:szCs w:val="20"/>
                <w:vertAlign w:val="superscript"/>
              </w:rPr>
              <w:t>2</w:t>
            </w:r>
            <w:r w:rsidRPr="000166F4">
              <w:rPr>
                <w:rFonts w:ascii="TimesNewRomanPSMT" w:hAnsi="TimesNewRomanPSMT"/>
                <w:color w:val="000000"/>
                <w:sz w:val="20"/>
                <w:szCs w:val="20"/>
              </w:rPr>
              <w:t>/g</w:t>
            </w:r>
            <w:r w:rsidRPr="002E5ADF">
              <w:rPr>
                <w:rFonts w:ascii="TimesNewRomanPSMT" w:hAnsi="TimesNewRomanPSMT"/>
                <w:color w:val="000000"/>
                <w:sz w:val="20"/>
                <w:szCs w:val="20"/>
              </w:rPr>
              <w:t>)</w:t>
            </w:r>
          </w:p>
        </w:tc>
        <w:tc>
          <w:tcPr>
            <w:tcW w:w="1269" w:type="dxa"/>
          </w:tcPr>
          <w:p w:rsidR="002B1F9A" w:rsidRPr="002E5ADF" w:rsidRDefault="002B1F9A" w:rsidP="002302D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CO</w:t>
            </w:r>
            <w:r w:rsidRPr="002E5ADF">
              <w:rPr>
                <w:rFonts w:ascii="TimesNewRomanPSMT" w:hAnsi="TimesNewRomanPSMT"/>
                <w:color w:val="000000"/>
                <w:sz w:val="20"/>
                <w:szCs w:val="20"/>
                <w:vertAlign w:val="subscript"/>
              </w:rPr>
              <w:t>2</w:t>
            </w:r>
            <w:r w:rsidRPr="002E5ADF">
              <w:rPr>
                <w:rFonts w:ascii="TimesNewRomanPSMT" w:hAnsi="TimesNewRomanPSMT"/>
                <w:color w:val="000000"/>
                <w:sz w:val="20"/>
                <w:szCs w:val="20"/>
              </w:rPr>
              <w:t xml:space="preserve"> uptake (mmole/g)</w:t>
            </w:r>
          </w:p>
        </w:tc>
        <w:tc>
          <w:tcPr>
            <w:tcW w:w="628" w:type="dxa"/>
          </w:tcPr>
          <w:p w:rsidR="002B1F9A" w:rsidRPr="002E5ADF" w:rsidRDefault="002B1F9A" w:rsidP="002302D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No. Data</w:t>
            </w:r>
          </w:p>
        </w:tc>
        <w:tc>
          <w:tcPr>
            <w:tcW w:w="800" w:type="dxa"/>
          </w:tcPr>
          <w:p w:rsidR="002B1F9A" w:rsidRPr="002E5ADF" w:rsidRDefault="002B1F9A" w:rsidP="002302DA">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Refs.</w:t>
            </w:r>
          </w:p>
        </w:tc>
      </w:tr>
      <w:tr w:rsidR="002B1F9A" w:rsidRPr="002E5ADF" w:rsidTr="002302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1</w:t>
            </w:r>
          </w:p>
        </w:tc>
        <w:tc>
          <w:tcPr>
            <w:tcW w:w="1226"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MOF-2</w:t>
            </w:r>
          </w:p>
        </w:tc>
        <w:tc>
          <w:tcPr>
            <w:tcW w:w="1188"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 xml:space="preserve">0.227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"10.1016/j.tet.2008.06.036", "ISSN" : "00404020", "abstract" : "Room temperature synthesis of metal-organic frameworks (MOFs) has been developed for four well-known MOFs: MOF-5, MOF-74, MOF-177, and MOF-199. A new isoreticular metal framework (IRMOF), IRMOF-0, having the same cubic topology as MOF-5, has been synthesized from acetylenedicarboxylic acid using this method to accommodate the thermal sensitivity of the linker. Despite acetylenedicarboxylate being the shortest straight linker that can be made into an IRMOF, IRMOF-0 forms as\u00a0a doubly interpenetrating structure, owing to the rod-like nature of the linker. \u00a9 2008 Elsevier Ltd. All rights reserved.", "author" : [ { "dropping-particle" : "", "family" : "Tranchemontagne", "given" : "David J.", "non-dropping-particle" : "", "parse-names" : false, "suffix" : "" }, { "dropping-particle" : "", "family" : "Hunt", "given" : "Joseph R.", "non-dropping-particle" : "", "parse-names" : false, "suffix" : "" }, { "dropping-particle" : "", "family" : "Yaghi", "given" : "Omar M.", "non-dropping-particle" : "", "parse-names" : false, "suffix" : "" } ], "container-title" : "Tetrahedron", "id" : "ITEM-1", "issue" : "36", "issued" : { "date-parts" : [ [ "2008" ] ] }, "page" : "8553-8557", "title" : "Room temperature synthesis of metal-organic frameworks: MOF-5, MOF-74, MOF-177, MOF-199, and IRMOF-0", "type" : "article-journal", "volume" : "64" }, "uris" : [ "http://www.mendeley.com/documents/?uuid=27d6292b-03be-4c5b-ad7b-17324a190b7b" ] } ], "mendeley" : { "formattedCitation" : "&lt;sup&gt;1&lt;/sup&gt;", "plainTextFormattedCitation" : "1", "previouslyFormattedCitation" : "&lt;sup&gt;1&lt;/sup&gt;"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1</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0-42.2</w:t>
            </w:r>
          </w:p>
        </w:tc>
        <w:tc>
          <w:tcPr>
            <w:tcW w:w="1417"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298-298</w:t>
            </w:r>
          </w:p>
        </w:tc>
        <w:tc>
          <w:tcPr>
            <w:tcW w:w="851"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345</w:t>
            </w:r>
          </w:p>
        </w:tc>
        <w:tc>
          <w:tcPr>
            <w:tcW w:w="1269"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0-3.2</w:t>
            </w:r>
          </w:p>
        </w:tc>
        <w:tc>
          <w:tcPr>
            <w:tcW w:w="62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39</w:t>
            </w:r>
          </w:p>
        </w:tc>
        <w:tc>
          <w:tcPr>
            <w:tcW w:w="800"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"10.1021/ja0570032", "ISSN" : "00027863", "PMID" : "16366539", "abstract" : "Metal-organic frameworks (MOFs) show high CO2 storage capacity at room temperature. Gravimetric CO2 isotherms for MOF-2, MOF-505, Cu3(BTC)2, MOF-74, IRMOFs-11, -3, -6, and -1, and MOF-177 are reported up to 42 bar. Type I isotherms are found in all cases except for MOFs based on Zn4O(O2C)6 clusters, which reveal a sigmoidal isotherm (having a step). The various pressures of the isotherm steps correlate with increasing pore size, which indicates potential for gas separations. The amine functionality of the IRMOF-3 pore shows evidence of relatively increased affinity for CO2. Capacities qualitatively scale with surface area and range from 3.2 mmol/g for MOF-2 to 33.5 mmol/g (320 cm3(STP)/cm3, 147 wt %) for MOF-177, the highest CO2 capacity of any porous material reported. Copyright \u00a9 2005 American Chemical Society.", "author" : [ { "dropping-particle" : "", "family" : "Millward", "given" : "Andrew R.", "non-dropping-particle" : "", "parse-names" : false, "suffix" : "" }, { "dropping-particle" : "", "family" : "Yaghi", "given" : "Omar M.", "non-dropping-particle" : "", "parse-names" : false, "suffix" : "" } ], "container-title" : "Journal of the American Chemical Society", "id" : "ITEM-1", "issue" : "51", "issued" : { "date-parts" : [ [ "2005" ] ] }, "page" : "17998-17999", "title" : "Metal-organic frameworks with exceptionally high capacity for storage of carbon dioxide at room temperature", "type" : "article-journal", "volume" : "127" }, "uris" : [ "http://www.mendeley.com/documents/?uuid=98d02213-0b1a-4ec7-96af-104a348a29f8" ] } ], "mendeley" : { "formattedCitation" : "&lt;sup&gt;2&lt;/sup&gt;", "plainTextFormattedCitation" : "2", "previouslyFormattedCitation" : "&lt;sup&gt;2&lt;/sup&gt;"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2</w:t>
            </w:r>
            <w:r w:rsidRPr="002E5ADF">
              <w:rPr>
                <w:rFonts w:ascii="TimesNewRomanPSMT" w:hAnsi="TimesNewRomanPSMT"/>
                <w:color w:val="4472C4" w:themeColor="accent5"/>
                <w:sz w:val="20"/>
                <w:szCs w:val="20"/>
              </w:rPr>
              <w:fldChar w:fldCharType="end"/>
            </w:r>
          </w:p>
        </w:tc>
      </w:tr>
      <w:tr w:rsidR="002B1F9A" w:rsidRPr="002E5ADF" w:rsidTr="002302DA">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2</w:t>
            </w:r>
          </w:p>
        </w:tc>
        <w:tc>
          <w:tcPr>
            <w:tcW w:w="1226"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MOF-74</w:t>
            </w:r>
          </w:p>
        </w:tc>
        <w:tc>
          <w:tcPr>
            <w:tcW w:w="1188"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w:t>
            </w:r>
            <w:r>
              <w:rPr>
                <w:rFonts w:ascii="TimesNewRomanPSMT" w:hAnsi="TimesNewRomanPSMT"/>
                <w:color w:val="000000"/>
                <w:sz w:val="20"/>
                <w:szCs w:val="20"/>
              </w:rPr>
              <w:t xml:space="preserve">  </w:t>
            </w:r>
            <w:r w:rsidRPr="002E5ADF">
              <w:rPr>
                <w:rFonts w:ascii="TimesNewRomanPSMT" w:hAnsi="TimesNewRomanPSMT"/>
                <w:color w:val="000000"/>
                <w:sz w:val="20"/>
                <w:szCs w:val="20"/>
              </w:rPr>
              <w:t xml:space="preserve"> </w:t>
            </w:r>
            <w:r w:rsidRPr="002E5ADF">
              <w:rPr>
                <w:rFonts w:ascii="TimesNewRomanPSMT" w:hAnsi="TimesNewRomanPSMT"/>
                <w:color w:val="000000"/>
                <w:sz w:val="20"/>
                <w:szCs w:val="20"/>
              </w:rPr>
              <w:fldChar w:fldCharType="begin" w:fldLock="1"/>
            </w:r>
            <w:r w:rsidR="009219DE">
              <w:rPr>
                <w:rFonts w:ascii="TimesNewRomanPSMT" w:hAnsi="TimesNewRomanPSMT"/>
                <w:color w:val="000000"/>
                <w:sz w:val="20"/>
                <w:szCs w:val="20"/>
              </w:rPr>
              <w:instrText>ADDIN CSL_CITATION { "citationItems" : [ { "id" : "ITEM-1", "itemData" : { "DOI" : "10.1039/c3ee42918k", "ISSN" : "17545706", "abstract" : "A new type of hierarchically porous carbon (HPC) structures of simultaneously high surface area and high pore volume has been synthesised from carefully controlled carbonization of in-house optimised metal-organic frameworks (MOFs). Changes in synthesis conditions lead to millimetre-sized MOF-5 crystals in a high yield. Subsequent carbonization of the MOFs yield HPCs with simultaneously high surface area, up to 2734 m2 g-1, and exceptionally high total pore volume, up to 5.53 cm3 g -1. In the HPCs, micropores are mostly retained and meso- and macro- pores are generated from defects in the individual crystals, which is made possible by structural inheritance from the MOF precursor. The resulting HPCs show a significant amount of CO2 adsorption, over 27 mmol g -1 (119 wt%) at 30 bar and 27 \u00b0C, which is one of the highest values reported in the literature for porous carbons. The findings are comparatively analysed with the literature. The results show great potential for the development of high capacity carbon-based sorbents for effective pre-combustion CO2 capture and other gas and energy storage applications. \u00a9 2014 The Royal Society of Chemistry.", "author" : [ { "dropping-particle" : "", "family" : "Srinivas", "given" : "Gadipelli", "non-dropping-particle" : "", "parse-names" : false, "suffix" : "" }, { "dropping-particle" : "", "family" : "Krungleviciute", "given" : "Vaiva", "non-dropping-particle" : "", "parse-names" : false, "suffix" : "" }, { "dropping-particle" : "", "family" : "Guo", "given" : "Zheng Xiao", "non-dropping-particle" : "", "parse-names" : false, "suffix" : "" }, { "dropping-particle" : "", "family" : "Yildirim", "given" : "Taner", "non-dropping-particle" : "", "parse-names" : false, "suffix" : "" } ], "container-title" : "Energy and Environmental Science", "id" : "ITEM-1", "issue" : "1", "issued" : { "date-parts" : [ [ "2014" ] ] }, "page" : "335-342", "title" : "Exceptional CO2 capture in a hierarchically porous carbon with simultaneous high surface area and pore volume", "type" : "article-journal", "volume" : "7" }, "uris" : [ "http://www.mendeley.com/documents/?uuid=90527a61-0497-4a0a-9db6-01ae4704e9c2" ] } ], "mendeley" : { "formattedCitation" : "&lt;sup&gt;3&lt;/sup&gt;", "plainTextFormattedCitation" : "3", "previouslyFormattedCitation" : "&lt;sup&gt;3&lt;/sup&gt;" }, "properties" : { "noteIndex" : 0 }, "schema" : "https://github.com/citation-style-language/schema/raw/master/csl-citation.json" }</w:instrText>
            </w:r>
            <w:r w:rsidRPr="002E5ADF">
              <w:rPr>
                <w:rFonts w:ascii="TimesNewRomanPSMT" w:hAnsi="TimesNewRomanPSMT"/>
                <w:color w:val="000000"/>
                <w:sz w:val="20"/>
                <w:szCs w:val="20"/>
              </w:rPr>
              <w:fldChar w:fldCharType="separate"/>
            </w:r>
            <w:r w:rsidR="009219DE" w:rsidRPr="009219DE">
              <w:rPr>
                <w:rFonts w:ascii="TimesNewRomanPSMT" w:hAnsi="TimesNewRomanPSMT"/>
                <w:noProof/>
                <w:color w:val="4472C4" w:themeColor="accent5"/>
                <w:sz w:val="20"/>
                <w:szCs w:val="20"/>
                <w:vertAlign w:val="superscript"/>
              </w:rPr>
              <w:t>3</w:t>
            </w:r>
            <w:r w:rsidRPr="002E5ADF">
              <w:rPr>
                <w:rFonts w:ascii="TimesNewRomanPSMT" w:hAnsi="TimesNewRomanPSMT"/>
                <w:color w:val="000000"/>
                <w:sz w:val="20"/>
                <w:szCs w:val="20"/>
              </w:rPr>
              <w:fldChar w:fldCharType="end"/>
            </w:r>
          </w:p>
        </w:tc>
        <w:tc>
          <w:tcPr>
            <w:tcW w:w="143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0-42.4</w:t>
            </w:r>
          </w:p>
        </w:tc>
        <w:tc>
          <w:tcPr>
            <w:tcW w:w="1417"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298-298</w:t>
            </w:r>
          </w:p>
        </w:tc>
        <w:tc>
          <w:tcPr>
            <w:tcW w:w="851"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816</w:t>
            </w:r>
          </w:p>
        </w:tc>
        <w:tc>
          <w:tcPr>
            <w:tcW w:w="1269"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0-10.4</w:t>
            </w:r>
          </w:p>
        </w:tc>
        <w:tc>
          <w:tcPr>
            <w:tcW w:w="62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31</w:t>
            </w:r>
          </w:p>
        </w:tc>
        <w:tc>
          <w:tcPr>
            <w:tcW w:w="800"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"10.1021/ja0570032", "ISSN" : "00027863", "PMID" : "16366539", "abstract" : "Metal-organic frameworks (MOFs) show high CO2 storage capacity at room temperature. Gravimetric CO2 isotherms for MOF-2, MOF-505, Cu3(BTC)2, MOF-74, IRMOFs-11, -3, -6, and -1, and MOF-177 are reported up to 42 bar. Type I isotherms are found in all cases except for MOFs based on Zn4O(O2C)6 clusters, which reveal a sigmoidal isotherm (having a step). The various pressures of the isotherm steps correlate with increasing pore size, which indicates potential for gas separations. The amine functionality of the IRMOF-3 pore shows evidence of relatively increased affinity for CO2. Capacities qualitatively scale with surface area and range from 3.2 mmol/g for MOF-2 to 33.5 mmol/g (320 cm3(STP)/cm3, 147 wt %) for MOF-177, the highest CO2 capacity of any porous material reported. Copyright \u00a9 2005 American Chemical Society.", "author" : [ { "dropping-particle" : "", "family" : "Millward", "given" : "Andrew R.", "non-dropping-particle" : "", "parse-names" : false, "suffix" : "" }, { "dropping-particle" : "", "family" : "Yaghi", "given" : "Omar M.", "non-dropping-particle" : "", "parse-names" : false, "suffix" : "" } ], "container-title" : "Journal of the American Chemical Society", "id" : "ITEM-1", "issue" : "51", "issued" : { "date-parts" : [ [ "2005" ] ] }, "page" : "17998-17999", "title" : "Metal-organic frameworks with exceptionally high capacity for storage of carbon dioxide at room temperature", "type" : "article-journal", "volume" : "127" }, "uris" : [ "http://www.mendeley.com/documents/?uuid=98d02213-0b1a-4ec7-96af-104a348a29f8" ] } ], "mendeley" : { "formattedCitation" : "&lt;sup&gt;2&lt;/sup&gt;", "plainTextFormattedCitation" : "2", "previouslyFormattedCitation" : "&lt;sup&gt;2&lt;/sup&gt;"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2</w:t>
            </w:r>
            <w:r w:rsidRPr="002E5ADF">
              <w:rPr>
                <w:rFonts w:ascii="TimesNewRomanPSMT" w:hAnsi="TimesNewRomanPSMT"/>
                <w:color w:val="4472C4" w:themeColor="accent5"/>
                <w:sz w:val="20"/>
                <w:szCs w:val="20"/>
              </w:rPr>
              <w:fldChar w:fldCharType="end"/>
            </w:r>
          </w:p>
        </w:tc>
      </w:tr>
      <w:tr w:rsidR="002B1F9A" w:rsidRPr="002E5ADF" w:rsidTr="002302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3</w:t>
            </w:r>
          </w:p>
        </w:tc>
        <w:tc>
          <w:tcPr>
            <w:tcW w:w="1226"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MOF-505</w:t>
            </w:r>
          </w:p>
        </w:tc>
        <w:tc>
          <w:tcPr>
            <w:tcW w:w="1188"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 xml:space="preserve">1.83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"10.1002/anie.201704974", "ISSN" : "15213773", "PMID" : "28707307", "abstract" : "We present a crystal engineering strategy to fine tune the pore chemistry and CH4-storage performance of a family of isomorphic MOFs based upon PCN-14. These MOFs exhibit similar pore size, pore surface, and surface area (around 3000 m2 g\u22121) and were prepared with the goal to enhance CH4 working capacity. [Cu2(L2)(H2O)2]n (NJU-Bai 41: NJU-Bai for Nanjing University Bai's group), [Cu2(L3)(H2O)2]n (NJU-Bai 42), and [Cu2(L4)(DMF)2]n (NJU-Bai 43) were prepared and we observed that the CH4 volumetric working capacity and volumetric uptake values are influenced by subtle changes in structure and chemistry. In particular, the CH4 working capacity of NJU-Bai 43 reaches 198 cm3 (STP: 273.15 K, 1 atm) cm\u22123 at 298 K and 65 bar, which is amongst the highest reported for MOFs under these conditions and is much higher than the corresponding value for PCN-14 (157 cm3 (STP) cm\u22123).", "author" : [ { "dropping-particle" : "", "family" : "Zhang", "given" : "Mingxing", "non-dropping-particle" : "", "parse-names" : false, "suffix" : "" }, { "dropping-particle" : "", "family" : "Zhou", "given" : "Wei", "non-dropping-particle" : "", "parse-names" : false, "suffix" : "" }, { "dropping-particle" : "", "family" : "Pham", "given" : "Tony", "non-dropping-particle" : "", "parse-names" : false, "suffix" : "" }, { "dropping-particle" : "", "family" : "Forrest", "given" : "Katherine A.", "non-dropping-particle" : "", "parse-names" : false, "suffix" : "" }, { "dropping-particle" : "", "family" : "Liu", "given" : "Wenlong", "non-dropping-particle" : "", "parse-names" : false, "suffix" : "" }, { "dropping-particle" : "", "family" : "He", "given" : "Yabing", "non-dropping-particle" : "", "parse-names" : false, "suffix" : "" }, { "dropping-particle" : "", "family" : "Wu", "given" : "Hui", "non-dropping-particle" : "", "parse-names" : false, "suffix" : "" }, { "dropping-particle" : "", "family" : "Yildirim", "given" : "Taner", "non-dropping-particle" : "", "parse-names" : false, "suffix" : "" }, { "dropping-particle" : "", "family" : "Chen", "given" : "Banglin", "non-dropping-particle" : "", "parse-names" : false, "suffix" : "" }, { "dropping-particle" : "", "family" : "Space", "given" : "Brian", "non-dropping-particle" : "", "parse-names" : false, "suffix" : "" }, { "dropping-particle" : "", "family" : "Pan", "given" : "Yi", "non-dropping-particle" : "", "parse-names" : false, "suffix" : "" }, { "dropping-particle" : "", "family" : "Zaworotko", "given" : "Michael J.", "non-dropping-particle" : "", "parse-names" : false, "suffix" : "" }, { "dropping-particle" : "", "family" : "Bai", "given" : "Junfeng", "non-dropping-particle" : "", "parse-names" : false, "suffix" : "" } ], "container-title" : "Angewandte Chemie - International Edition", "id" : "ITEM-1", "issue" : "38", "issued" : { "date-parts" : [ [ "2017" ] ] }, "page" : "11426-11430", "title" : "Fine Tuning of MOF-505 Analogues To Reduce Low-Pressure Methane Uptake and Enhance Methane Working Capacity", "type" : "article-journal", "volume" : "56" }, "uris" : [ "http://www.mendeley.com/documents/?uuid=ea8d1ad5-b5d4-4eb5-9dcc-2503d230561d" ] } ], "mendeley" : { "formattedCitation" : "&lt;sup&gt;4&lt;/sup&gt;", "plainTextFormattedCitation" : "4", "previouslyFormattedCitation" : "&lt;sup&gt;4&lt;/sup&gt;"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4</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0-42.5</w:t>
            </w:r>
          </w:p>
        </w:tc>
        <w:tc>
          <w:tcPr>
            <w:tcW w:w="1417"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298-298</w:t>
            </w:r>
          </w:p>
        </w:tc>
        <w:tc>
          <w:tcPr>
            <w:tcW w:w="851"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1547</w:t>
            </w:r>
          </w:p>
        </w:tc>
        <w:tc>
          <w:tcPr>
            <w:tcW w:w="1269"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0-10.4</w:t>
            </w:r>
          </w:p>
        </w:tc>
        <w:tc>
          <w:tcPr>
            <w:tcW w:w="62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31</w:t>
            </w:r>
          </w:p>
        </w:tc>
        <w:tc>
          <w:tcPr>
            <w:tcW w:w="800"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"10.1021/ja0570032", "ISSN" : "00027863", "PMID" : "16366539", "abstract" : "Metal-organic frameworks (MOFs) show high CO2 storage capacity at room temperature. Gravimetric CO2 isotherms for MOF-2, MOF-505, Cu3(BTC)2, MOF-74, IRMOFs-11, -3, -6, and -1, and MOF-177 are reported up to 42 bar. Type I isotherms are found in all cases except for MOFs based on Zn4O(O2C)6 clusters, which reveal a sigmoidal isotherm (having a step). The various pressures of the isotherm steps correlate with increasing pore size, which indicates potential for gas separations. The amine functionality of the IRMOF-3 pore shows evidence of relatively increased affinity for CO2. Capacities qualitatively scale with surface area and range from 3.2 mmol/g for MOF-2 to 33.5 mmol/g (320 cm3(STP)/cm3, 147 wt %) for MOF-177, the highest CO2 capacity of any porous material reported. Copyright \u00a9 2005 American Chemical Society.", "author" : [ { "dropping-particle" : "", "family" : "Millward", "given" : "Andrew R.", "non-dropping-particle" : "", "parse-names" : false, "suffix" : "" }, { "dropping-particle" : "", "family" : "Yaghi", "given" : "Omar M.", "non-dropping-particle" : "", "parse-names" : false, "suffix" : "" } ], "container-title" : "Journal of the American Chemical Society", "id" : "ITEM-1", "issue" : "51", "issued" : { "date-parts" : [ [ "2005" ] ] }, "page" : "17998-17999", "title" : "Metal-organic frameworks with exceptionally high capacity for storage of carbon dioxide at room temperature", "type" : "article-journal", "volume" : "127" }, "uris" : [ "http://www.mendeley.com/documents/?uuid=98d02213-0b1a-4ec7-96af-104a348a29f8" ] } ], "mendeley" : { "formattedCitation" : "&lt;sup&gt;2&lt;/sup&gt;", "plainTextFormattedCitation" : "2", "previouslyFormattedCitation" : "&lt;sup&gt;2&lt;/sup&gt;"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2</w:t>
            </w:r>
            <w:r w:rsidRPr="002E5ADF">
              <w:rPr>
                <w:rFonts w:ascii="TimesNewRomanPSMT" w:hAnsi="TimesNewRomanPSMT"/>
                <w:color w:val="4472C4" w:themeColor="accent5"/>
                <w:sz w:val="20"/>
                <w:szCs w:val="20"/>
              </w:rPr>
              <w:fldChar w:fldCharType="end"/>
            </w:r>
          </w:p>
        </w:tc>
      </w:tr>
      <w:tr w:rsidR="002B1F9A" w:rsidRPr="002E5ADF" w:rsidTr="002302DA">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4</w:t>
            </w:r>
          </w:p>
        </w:tc>
        <w:tc>
          <w:tcPr>
            <w:tcW w:w="1226"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vertAlign w:val="subscript"/>
              </w:rPr>
            </w:pPr>
            <w:r w:rsidRPr="002E5ADF">
              <w:rPr>
                <w:rFonts w:ascii="TimesNewRomanPSMT" w:hAnsi="TimesNewRomanPSMT"/>
                <w:color w:val="000000"/>
                <w:sz w:val="20"/>
                <w:szCs w:val="20"/>
              </w:rPr>
              <w:t>Cu</w:t>
            </w:r>
            <w:r w:rsidRPr="002E5ADF">
              <w:rPr>
                <w:rFonts w:ascii="TimesNewRomanPSMT" w:hAnsi="TimesNewRomanPSMT"/>
                <w:color w:val="000000"/>
                <w:sz w:val="20"/>
                <w:szCs w:val="20"/>
                <w:vertAlign w:val="subscript"/>
              </w:rPr>
              <w:t>3</w:t>
            </w:r>
            <w:r w:rsidRPr="002E5ADF">
              <w:rPr>
                <w:rFonts w:ascii="TimesNewRomanPSMT" w:hAnsi="TimesNewRomanPSMT"/>
                <w:color w:val="000000"/>
                <w:sz w:val="20"/>
                <w:szCs w:val="20"/>
              </w:rPr>
              <w:t>(BTC)</w:t>
            </w:r>
            <w:r w:rsidRPr="002E5ADF">
              <w:rPr>
                <w:rFonts w:ascii="TimesNewRomanPSMT" w:hAnsi="TimesNewRomanPSMT"/>
                <w:color w:val="000000"/>
                <w:sz w:val="20"/>
                <w:szCs w:val="20"/>
                <w:vertAlign w:val="subscript"/>
              </w:rPr>
              <w:t>2</w:t>
            </w:r>
          </w:p>
        </w:tc>
        <w:tc>
          <w:tcPr>
            <w:tcW w:w="1188"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 xml:space="preserve">0.43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"10.1016/j.micromeso.2012.09.028", "ISSN" : "13871811", "abstract" : "Cu3(BTC)2 (Metal organic frameworks-MOF) synthesized through electrochemical route and is used as an catalyst for chemical reduction of nitrophenol in the presence of excess NaBH4. Optimization studies for the electrochemical parameters have been demonstrated in order to get 97.51% yield with respect to copper dissolution. Synthesized Cu3(BTC) 2 is characterized by XRD, FT-IR, SEM, TEM, EDX, BET, TGA and XPS and the results reveal that supporting electrolyte, current density play a crucial role in controlling the particle size and also improving the yield of MOF. The SEM and TEM studies show that the morphology of the synthesized particles is cubic in nature and the particle size is \u223c10-20 nm. The oxidation state of Cu in the synthesized Cu3(BTC)2 found to be +2 from XPS studies. Synthesized Cu3(BTC)2-MOF function as an effective catalyst to activate the reduction of p -nitrophenol to p-aminophenol in the presence of excess NaBH4 and the calculated apparent rate constant of 8.69 \u00d7 10-2 s-1 is found to be higher than the other supported noble metal nanoparticle and polymer nanocomposites. \u00a9 2012 Elsevier Inc. All rights reserved.", "author" : [ { "dropping-particle" : "", "family" : "Senthil Kumar", "given" : "R.", "non-dropping-particle" : "", "parse-names" : false, "suffix" : "" }, { "dropping-particle" : "", "family" : "Senthil Kumar", "given" : "S.", "non-dropping-particle" : "", "parse-names" : false, "suffix" : "" }, { "dropping-particle" : "", "family" : "Anbu Kulandainathan", "given" : "M.", "non-dropping-particle" : "", "parse-names" : false, "suffix" : "" } ], "container-title" : "Microporous and Mesoporous Materials", "id" : "ITEM-1", "issued" : { "date-parts" : [ [ "2013" ] ] }, "page" : "57-64", "title" : "Efficient electrosynthesis of highly active Cu3(BTC) 2-MOF and its catalytic application to chemical reduction", "type" : "article-journal", "volume" : "168" }, "uris" : [ "http://www.mendeley.com/documents/?uuid=81282f72-0b50-417b-932a-d16016edab25" ] } ], "mendeley" : { "formattedCitation" : "&lt;sup&gt;5&lt;/sup&gt;", "plainTextFormattedCitation" : "5", "previouslyFormattedCitation" : "&lt;sup&gt;5&lt;/sup&gt;"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5</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0-42.4</w:t>
            </w:r>
          </w:p>
        </w:tc>
        <w:tc>
          <w:tcPr>
            <w:tcW w:w="1417"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298-298</w:t>
            </w:r>
          </w:p>
        </w:tc>
        <w:tc>
          <w:tcPr>
            <w:tcW w:w="851"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1781</w:t>
            </w:r>
          </w:p>
        </w:tc>
        <w:tc>
          <w:tcPr>
            <w:tcW w:w="1269"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0-10.7</w:t>
            </w:r>
          </w:p>
        </w:tc>
        <w:tc>
          <w:tcPr>
            <w:tcW w:w="62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30</w:t>
            </w:r>
          </w:p>
        </w:tc>
        <w:tc>
          <w:tcPr>
            <w:tcW w:w="800"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"10.1021/ja0570032", "ISSN" : "00027863", "PMID" : "16366539", "abstract" : "Metal-organic frameworks (MOFs) show high CO2 storage capacity at room temperature. Gravimetric CO2 isotherms for MOF-2, MOF-505, Cu3(BTC)2, MOF-74, IRMOFs-11, -3, -6, and -1, and MOF-177 are reported up to 42 bar. Type I isotherms are found in all cases except for MOFs based on Zn4O(O2C)6 clusters, which reveal a sigmoidal isotherm (having a step). The various pressures of the isotherm steps correlate with increasing pore size, which indicates potential for gas separations. The amine functionality of the IRMOF-3 pore shows evidence of relatively increased affinity for CO2. Capacities qualitatively scale with surface area and range from 3.2 mmol/g for MOF-2 to 33.5 mmol/g (320 cm3(STP)/cm3, 147 wt %) for MOF-177, the highest CO2 capacity of any porous material reported. Copyright \u00a9 2005 American Chemical Society.", "author" : [ { "dropping-particle" : "", "family" : "Millward", "given" : "Andrew R.", "non-dropping-particle" : "", "parse-names" : false, "suffix" : "" }, { "dropping-particle" : "", "family" : "Yaghi", "given" : "Omar M.", "non-dropping-particle" : "", "parse-names" : false, "suffix" : "" } ], "container-title" : "Journal of the American Chemical Society", "id" : "ITEM-1", "issue" : "51", "issued" : { "date-parts" : [ [ "2005" ] ] }, "page" : "17998-17999", "title" : "Metal-organic frameworks with exceptionally high capacity for storage of carbon dioxide at room temperature", "type" : "article-journal", "volume" : "127" }, "uris" : [ "http://www.mendeley.com/documents/?uuid=98d02213-0b1a-4ec7-96af-104a348a29f8" ] } ], "mendeley" : { "formattedCitation" : "&lt;sup&gt;2&lt;/sup&gt;", "plainTextFormattedCitation" : "2", "previouslyFormattedCitation" : "&lt;sup&gt;2&lt;/sup&gt;"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2</w:t>
            </w:r>
            <w:r w:rsidRPr="002E5ADF">
              <w:rPr>
                <w:rFonts w:ascii="TimesNewRomanPSMT" w:hAnsi="TimesNewRomanPSMT"/>
                <w:color w:val="4472C4" w:themeColor="accent5"/>
                <w:sz w:val="20"/>
                <w:szCs w:val="20"/>
              </w:rPr>
              <w:fldChar w:fldCharType="end"/>
            </w:r>
          </w:p>
        </w:tc>
      </w:tr>
      <w:tr w:rsidR="002B1F9A" w:rsidRPr="002E5ADF" w:rsidTr="002302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5</w:t>
            </w:r>
          </w:p>
        </w:tc>
        <w:tc>
          <w:tcPr>
            <w:tcW w:w="1226"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IRMOF-11</w:t>
            </w:r>
          </w:p>
        </w:tc>
        <w:tc>
          <w:tcPr>
            <w:tcW w:w="1188"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 xml:space="preserve">0.92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"10.1021/jp077387d", "ISSN" : "19327447", "abstract" : "In this work a systematic computational study was performed to investigate the effects of organic linker, pore size and topology, and the electrostatic fields on the adsorption and diffusion behaviors of CO2 in nine typical metal-organic frameworks (MOFs), showing that the high CO2 storage capacity achieved in MOFs is a complex interplay of these structural properties. Under practical application conditions, MOFs show higher CO 2 storage capacity than both zeolites and carbon materials, and the suitable pore size is between 1.0 and 2.0 nm. For MOFs with pore size located in the above range, the larger the accessible surface area and free volume, the higher the CO2 storage capacity can be achieved in practical applications. In addition, this work shows that the self-diffusivity of CO 2 in the MOFs is comparative in magnitude with that of zeolites. \u00a9 2008 American Chemical Society.", "author" : [ { "dropping-particle" : "", "family" : "Yang", "given" : "Qingyuan", "non-dropping-particle" : "", "parse-names" : false, "suffix" : "" }, { "dropping-particle" : "", "family" : "Zhong", "given" : "Chongli", "non-dropping-particle" : "", "parse-names" : false, "suffix" : "" }, { "dropping-particle" : "", "family" : "Chen", "given" : "Jian Feng", "non-dropping-particle" : "", "parse-names" : false, "suffix" : "" } ], "container-title" : "Journal of Physical Chemistry C", "id" : "ITEM-1", "issue" : "5", "issued" : { "date-parts" : [ [ "2008" ] ] }, "page" : "1562-1569", "title" : "Computational study of CO2 storage in metal-organic frameworks", "type" : "article-journal", "volume" : "112" }, "uris" : [ "http://www.mendeley.com/documents/?uuid=0b41d429-1a79-4dbe-b677-f62a39d03698" ] } ], "mendeley" : { "formattedCitation" : "&lt;sup&gt;6&lt;/sup&gt;", "plainTextFormattedCitation" : "6", "previouslyFormattedCitation" : "&lt;sup&gt;6&lt;/sup&gt;"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6</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0-42.4</w:t>
            </w:r>
          </w:p>
        </w:tc>
        <w:tc>
          <w:tcPr>
            <w:tcW w:w="1417"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298-298</w:t>
            </w:r>
          </w:p>
        </w:tc>
        <w:tc>
          <w:tcPr>
            <w:tcW w:w="851"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2096</w:t>
            </w:r>
          </w:p>
        </w:tc>
        <w:tc>
          <w:tcPr>
            <w:tcW w:w="1269"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0-14.8</w:t>
            </w:r>
          </w:p>
        </w:tc>
        <w:tc>
          <w:tcPr>
            <w:tcW w:w="62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32</w:t>
            </w:r>
          </w:p>
        </w:tc>
        <w:tc>
          <w:tcPr>
            <w:tcW w:w="800"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"10.1021/ja0570032", "ISSN" : "00027863", "PMID" : "16366539", "abstract" : "Metal-organic frameworks (MOFs) show high CO2 storage capacity at room temperature. Gravimetric CO2 isotherms for MOF-2, MOF-505, Cu3(BTC)2, MOF-74, IRMOFs-11, -3, -6, and -1, and MOF-177 are reported up to 42 bar. Type I isotherms are found in all cases except for MOFs based on Zn4O(O2C)6 clusters, which reveal a sigmoidal isotherm (having a step). The various pressures of the isotherm steps correlate with increasing pore size, which indicates potential for gas separations. The amine functionality of the IRMOF-3 pore shows evidence of relatively increased affinity for CO2. Capacities qualitatively scale with surface area and range from 3.2 mmol/g for MOF-2 to 33.5 mmol/g (320 cm3(STP)/cm3, 147 wt %) for MOF-177, the highest CO2 capacity of any porous material reported. Copyright \u00a9 2005 American Chemical Society.", "author" : [ { "dropping-particle" : "", "family" : "Millward", "given" : "Andrew R.", "non-dropping-particle" : "", "parse-names" : false, "suffix" : "" }, { "dropping-particle" : "", "family" : "Yaghi", "given" : "Omar M.", "non-dropping-particle" : "", "parse-names" : false, "suffix" : "" } ], "container-title" : "Journal of the American Chemical Society", "id" : "ITEM-1", "issue" : "51", "issued" : { "date-parts" : [ [ "2005" ] ] }, "page" : "17998-17999", "title" : "Metal-organic frameworks with exceptionally high capacity for storage of carbon dioxide at room temperature", "type" : "article-journal", "volume" : "127" }, "uris" : [ "http://www.mendeley.com/documents/?uuid=98d02213-0b1a-4ec7-96af-104a348a29f8" ] } ], "mendeley" : { "formattedCitation" : "&lt;sup&gt;2&lt;/sup&gt;", "plainTextFormattedCitation" : "2", "previouslyFormattedCitation" : "&lt;sup&gt;2&lt;/sup&gt;"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2</w:t>
            </w:r>
            <w:r w:rsidRPr="002E5ADF">
              <w:rPr>
                <w:rFonts w:ascii="TimesNewRomanPSMT" w:hAnsi="TimesNewRomanPSMT"/>
                <w:color w:val="4472C4" w:themeColor="accent5"/>
                <w:sz w:val="20"/>
                <w:szCs w:val="20"/>
              </w:rPr>
              <w:fldChar w:fldCharType="end"/>
            </w:r>
          </w:p>
        </w:tc>
      </w:tr>
      <w:tr w:rsidR="002B1F9A" w:rsidRPr="002E5ADF" w:rsidTr="002302DA">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6</w:t>
            </w:r>
          </w:p>
        </w:tc>
        <w:tc>
          <w:tcPr>
            <w:tcW w:w="1226"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IRMOF-3</w:t>
            </w:r>
          </w:p>
        </w:tc>
        <w:tc>
          <w:tcPr>
            <w:tcW w:w="1188"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1.07</w:t>
            </w:r>
            <w:r>
              <w:rPr>
                <w:rFonts w:ascii="TimesNewRomanPSMT" w:hAnsi="TimesNewRomanPSMT"/>
                <w:color w:val="000000"/>
                <w:sz w:val="20"/>
                <w:szCs w:val="20"/>
              </w:rPr>
              <w:t xml:space="preserve"> </w:t>
            </w:r>
            <w:r w:rsidRPr="002E5ADF">
              <w:rPr>
                <w:rFonts w:ascii="TimesNewRomanPSMT" w:hAnsi="TimesNewRomanPSMT"/>
                <w:color w:val="000000"/>
                <w:sz w:val="20"/>
                <w:szCs w:val="20"/>
              </w:rPr>
              <w:t xml:space="preserve">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"10.1021/ja056639q", "ISSN" : "00027863", "abstract" : "The dihydrogen adsorption isotherms of eight metal-organic frameworks (MOFs), measured at 77 K up to a pressure of 1 atm, have been examined for correlations with their structural features. All materials display approximately Type I isotherms with no hysteresis, and saturation was not reached for any of the materials under these conditions. Among the six isoreticular MOFs (IRMOFs) studied, the catenated materials exhibit the largest capacities on a molar basis, up to 9.8 H2 per formula unit. The addition of functional groups (-Br, -NH2, -C2H4-) to the phenylene links of IRMOF-1 (MOF-5), or their replacement with thieno[3,2-b]thiophene moieties in IRMOF-20, altered the adsorption behavior by a minor amount despite large variations in the pore volumes of the resulting materials. In contrast, replacement of the metal oxide units with those containing coordinatively unsaturated metal sites resulted in greater H2 uptake. The enhanced affinities of these materials, MOF-74 and HKUST-1, were further demonstrated by calculation of the isosteric heats of adsorption, which were larger across much of the range of coverage examined, compared to those of representative IRMOFs. The results suggest that under low-loading conditions, the H2 adsorption behavior of MOFs can be improved by imparting larger charge gradients on the metal oxide units and adjusting the link metrics to constrict the pore dimensions; however, a large pore volume is still a prerequisite feature. \u00a9 2006 American Chemical Society.", "author" : [ { "dropping-particle" : "", "family" : "Rowsell", "given" : "Jesse L.C.", "non-dropping-particle" : "", "parse-names" : false, "suffix" : "" }, { "dropping-particle" : "", "family" : "Yaghi", "given" : "Omar M.", "non-dropping-particle" : "", "parse-names" : false, "suffix" : "" } ], "container-title" : "Journal of the American Chemical Society", "id" : "ITEM-1", "issue" : "4", "issued" : { "date-parts" : [ [ "2006" ] ] }, "page" : "1304-1315", "title" : "Effects of functionalization, catenation, and variation of the metal oxide and organic linking units on the low-pressure hydrogen adsorption properties of metal-organic frameworks", "type" : "article-journal", "volume" : "128" }, "uris" : [ "http://www.mendeley.com/documents/?uuid=05f1546f-7e56-4bc9-9258-c4cbdf2c8ad8" ] } ], "mendeley" : { "formattedCitation" : "&lt;sup&gt;7&lt;/sup&gt;", "plainTextFormattedCitation" : "7", "previouslyFormattedCitation" : "&lt;sup&gt;7&lt;/sup&gt;"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7</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0-42.2</w:t>
            </w:r>
          </w:p>
        </w:tc>
        <w:tc>
          <w:tcPr>
            <w:tcW w:w="1417"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298-298</w:t>
            </w:r>
          </w:p>
        </w:tc>
        <w:tc>
          <w:tcPr>
            <w:tcW w:w="851"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2160</w:t>
            </w:r>
          </w:p>
        </w:tc>
        <w:tc>
          <w:tcPr>
            <w:tcW w:w="1269"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0-18.9</w:t>
            </w:r>
          </w:p>
        </w:tc>
        <w:tc>
          <w:tcPr>
            <w:tcW w:w="62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37</w:t>
            </w:r>
          </w:p>
        </w:tc>
        <w:tc>
          <w:tcPr>
            <w:tcW w:w="800"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"10.1021/ja0570032", "ISSN" : "00027863", "PMID" : "16366539", "abstract" : "Metal-organic frameworks (MOFs) show high CO2 storage capacity at room temperature. Gravimetric CO2 isotherms for MOF-2, MOF-505, Cu3(BTC)2, MOF-74, IRMOFs-11, -3, -6, and -1, and MOF-177 are reported up to 42 bar. Type I isotherms are found in all cases except for MOFs based on Zn4O(O2C)6 clusters, which reveal a sigmoidal isotherm (having a step). The various pressures of the isotherm steps correlate with increasing pore size, which indicates potential for gas separations. The amine functionality of the IRMOF-3 pore shows evidence of relatively increased affinity for CO2. Capacities qualitatively scale with surface area and range from 3.2 mmol/g for MOF-2 to 33.5 mmol/g (320 cm3(STP)/cm3, 147 wt %) for MOF-177, the highest CO2 capacity of any porous material reported. Copyright \u00a9 2005 American Chemical Society.", "author" : [ { "dropping-particle" : "", "family" : "Millward", "given" : "Andrew R.", "non-dropping-particle" : "", "parse-names" : false, "suffix" : "" }, { "dropping-particle" : "", "family" : "Yaghi", "given" : "Omar M.", "non-dropping-particle" : "", "parse-names" : false, "suffix" : "" } ], "container-title" : "Journal of the American Chemical Society", "id" : "ITEM-1", "issue" : "51", "issued" : { "date-parts" : [ [ "2005" ] ] }, "page" : "17998-17999", "title" : "Metal-organic frameworks with exceptionally high capacity for storage of carbon dioxide at room temperature", "type" : "article-journal", "volume" : "127" }, "uris" : [ "http://www.mendeley.com/documents/?uuid=98d02213-0b1a-4ec7-96af-104a348a29f8" ] } ], "mendeley" : { "formattedCitation" : "&lt;sup&gt;2&lt;/sup&gt;", "plainTextFormattedCitation" : "2", "previouslyFormattedCitation" : "&lt;sup&gt;2&lt;/sup&gt;"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2</w:t>
            </w:r>
            <w:r w:rsidRPr="002E5ADF">
              <w:rPr>
                <w:rFonts w:ascii="TimesNewRomanPSMT" w:hAnsi="TimesNewRomanPSMT"/>
                <w:color w:val="4472C4" w:themeColor="accent5"/>
                <w:sz w:val="20"/>
                <w:szCs w:val="20"/>
              </w:rPr>
              <w:fldChar w:fldCharType="end"/>
            </w:r>
          </w:p>
        </w:tc>
      </w:tr>
      <w:tr w:rsidR="002B1F9A" w:rsidRPr="002E5ADF" w:rsidTr="002302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7</w:t>
            </w:r>
          </w:p>
        </w:tc>
        <w:tc>
          <w:tcPr>
            <w:tcW w:w="1226"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IRMOF-6</w:t>
            </w:r>
          </w:p>
        </w:tc>
        <w:tc>
          <w:tcPr>
            <w:tcW w:w="1188"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 xml:space="preserve">1.14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"10.1021/ja056639q", "ISSN" : "00027863", "abstract" : "The dihydrogen adsorption isotherms of eight metal-organic frameworks (MOFs), measured at 77 K up to a pressure of 1 atm, have been examined for correlations with their structural features. All materials display approximately Type I isotherms with no hysteresis, and saturation was not reached for any of the materials under these conditions. Among the six isoreticular MOFs (IRMOFs) studied, the catenated materials exhibit the largest capacities on a molar basis, up to 9.8 H2 per formula unit. The addition of functional groups (-Br, -NH2, -C2H4-) to the phenylene links of IRMOF-1 (MOF-5), or their replacement with thieno[3,2-b]thiophene moieties in IRMOF-20, altered the adsorption behavior by a minor amount despite large variations in the pore volumes of the resulting materials. In contrast, replacement of the metal oxide units with those containing coordinatively unsaturated metal sites resulted in greater H2 uptake. The enhanced affinities of these materials, MOF-74 and HKUST-1, were further demonstrated by calculation of the isosteric heats of adsorption, which were larger across much of the range of coverage examined, compared to those of representative IRMOFs. The results suggest that under low-loading conditions, the H2 adsorption behavior of MOFs can be improved by imparting larger charge gradients on the metal oxide units and adjusting the link metrics to constrict the pore dimensions; however, a large pore volume is still a prerequisite feature. \u00a9 2006 American Chemical Society.", "author" : [ { "dropping-particle" : "", "family" : "Rowsell", "given" : "Jesse L.C.", "non-dropping-particle" : "", "parse-names" : false, "suffix" : "" }, { "dropping-particle" : "", "family" : "Yaghi", "given" : "Omar M.", "non-dropping-particle" : "", "parse-names" : false, "suffix" : "" } ], "container-title" : "Journal of the American Chemical Society", "id" : "ITEM-1", "issue" : "4", "issued" : { "date-parts" : [ [ "2006" ] ] }, "page" : "1304-1315", "title" : "Effects of functionalization, catenation, and variation of the metal oxide and organic linking units on the low-pressure hydrogen adsorption properties of metal-organic frameworks", "type" : "article-journal", "volume" : "128" }, "uris" : [ "http://www.mendeley.com/documents/?uuid=05f1546f-7e56-4bc9-9258-c4cbdf2c8ad8" ] } ], "mendeley" : { "formattedCitation" : "&lt;sup&gt;7&lt;/sup&gt;", "plainTextFormattedCitation" : "7", "previouslyFormattedCitation" : "&lt;sup&gt;7&lt;/sup&gt;"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7</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0-42.5</w:t>
            </w:r>
          </w:p>
        </w:tc>
        <w:tc>
          <w:tcPr>
            <w:tcW w:w="1417"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298-298</w:t>
            </w:r>
          </w:p>
        </w:tc>
        <w:tc>
          <w:tcPr>
            <w:tcW w:w="851"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2516</w:t>
            </w:r>
          </w:p>
        </w:tc>
        <w:tc>
          <w:tcPr>
            <w:tcW w:w="1269"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0-19.7</w:t>
            </w:r>
          </w:p>
        </w:tc>
        <w:tc>
          <w:tcPr>
            <w:tcW w:w="62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37</w:t>
            </w:r>
          </w:p>
        </w:tc>
        <w:tc>
          <w:tcPr>
            <w:tcW w:w="800"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"10.1021/ja0570032", "ISSN" : "00027863", "PMID" : "16366539", "abstract" : "Metal-organic frameworks (MOFs) show high CO2 storage capacity at room temperature. Gravimetric CO2 isotherms for MOF-2, MOF-505, Cu3(BTC)2, MOF-74, IRMOFs-11, -3, -6, and -1, and MOF-177 are reported up to 42 bar. Type I isotherms are found in all cases except for MOFs based on Zn4O(O2C)6 clusters, which reveal a sigmoidal isotherm (having a step). The various pressures of the isotherm steps correlate with increasing pore size, which indicates potential for gas separations. The amine functionality of the IRMOF-3 pore shows evidence of relatively increased affinity for CO2. Capacities qualitatively scale with surface area and range from 3.2 mmol/g for MOF-2 to 33.5 mmol/g (320 cm3(STP)/cm3, 147 wt %) for MOF-177, the highest CO2 capacity of any porous material reported. Copyright \u00a9 2005 American Chemical Society.", "author" : [ { "dropping-particle" : "", "family" : "Millward", "given" : "Andrew R.", "non-dropping-particle" : "", "parse-names" : false, "suffix" : "" }, { "dropping-particle" : "", "family" : "Yaghi", "given" : "Omar M.", "non-dropping-particle" : "", "parse-names" : false, "suffix" : "" } ], "container-title" : "Journal of the American Chemical Society", "id" : "ITEM-1", "issue" : "51", "issued" : { "date-parts" : [ [ "2005" ] ] }, "page" : "17998-17999", "title" : "Metal-organic frameworks with exceptionally high capacity for storage of carbon dioxide at room temperature", "type" : "article-journal", "volume" : "127" }, "uris" : [ "http://www.mendeley.com/documents/?uuid=98d02213-0b1a-4ec7-96af-104a348a29f8" ] } ], "mendeley" : { "formattedCitation" : "&lt;sup&gt;2&lt;/sup&gt;", "plainTextFormattedCitation" : "2", "previouslyFormattedCitation" : "&lt;sup&gt;2&lt;/sup&gt;"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2</w:t>
            </w:r>
            <w:r w:rsidRPr="002E5ADF">
              <w:rPr>
                <w:rFonts w:ascii="TimesNewRomanPSMT" w:hAnsi="TimesNewRomanPSMT"/>
                <w:color w:val="4472C4" w:themeColor="accent5"/>
                <w:sz w:val="20"/>
                <w:szCs w:val="20"/>
              </w:rPr>
              <w:fldChar w:fldCharType="end"/>
            </w:r>
          </w:p>
        </w:tc>
      </w:tr>
      <w:tr w:rsidR="002B1F9A" w:rsidRPr="002E5ADF" w:rsidTr="002302DA">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8</w:t>
            </w:r>
          </w:p>
        </w:tc>
        <w:tc>
          <w:tcPr>
            <w:tcW w:w="1226"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IRMOF-1</w:t>
            </w:r>
          </w:p>
        </w:tc>
        <w:tc>
          <w:tcPr>
            <w:tcW w:w="1188"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0.18</w:t>
            </w:r>
            <w:r>
              <w:rPr>
                <w:rFonts w:ascii="TimesNewRomanPSMT" w:hAnsi="TimesNewRomanPSMT"/>
                <w:color w:val="000000"/>
                <w:sz w:val="20"/>
                <w:szCs w:val="20"/>
              </w:rPr>
              <w:t xml:space="preserve"> </w:t>
            </w:r>
            <w:r w:rsidRPr="002E5ADF">
              <w:rPr>
                <w:rFonts w:ascii="TimesNewRomanPSMT" w:hAnsi="TimesNewRomanPSMT"/>
                <w:color w:val="000000"/>
                <w:sz w:val="20"/>
                <w:szCs w:val="20"/>
              </w:rPr>
              <w:t xml:space="preserve">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"10.1002/9783527625321", "ISBN" : "9783527320790", "abstract" : "This long-awaited reference source is the first book to focus on this important and hot topic. As such, it provides examples from a wide array of fields where catalyst design has been based on new insights and understanding, presenting such modern and important topics as self-assembly, nature-inspired catalysis, nano-scale architecture of surfaces and theoretical methods. With its inclusion of all the useful and powerful tools for the rational design of catalysts, this is a true \"must have\" book for every researcher in the field. \u00a9 2009 Wiley-VCH Verlag GmbH &amp; Co. KGaA, Weinheim.", "author" : [ { "dropping-particle" : "", "family" : "Ozkan", "given" : "Umit S.", "non-dropping-particle" : "", "parse-names" : false, "suffix" : "" } ], "container-title" : "Design of Heterogeneous Catalysts: New Approaches based on Synthesis, Characterization and Modeling", "id" : "ITEM-1", "issued" : { "date-parts" : [ [ "2009" ] ] }, "number-of-pages" : "1-322", "title" : "Design of Heterogeneous Catalysts: New Approaches based on Synthesis, Characterization and Modeling", "type" : "book" }, "uris" : [ "http://www.mendeley.com/documents/?uuid=9fdcc395-33f2-498b-afc7-bab07829da61" ] } ], "mendeley" : { "formattedCitation" : "&lt;sup&gt;8&lt;/sup&gt;", "plainTextFormattedCitation" : "8", "previouslyFormattedCitation" : "&lt;sup&gt;8&lt;/sup&gt;"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8</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0-42.2</w:t>
            </w:r>
          </w:p>
        </w:tc>
        <w:tc>
          <w:tcPr>
            <w:tcW w:w="1417"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298-298</w:t>
            </w:r>
          </w:p>
        </w:tc>
        <w:tc>
          <w:tcPr>
            <w:tcW w:w="851"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2833</w:t>
            </w:r>
          </w:p>
        </w:tc>
        <w:tc>
          <w:tcPr>
            <w:tcW w:w="1269"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0-22.0</w:t>
            </w:r>
          </w:p>
        </w:tc>
        <w:tc>
          <w:tcPr>
            <w:tcW w:w="62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35</w:t>
            </w:r>
          </w:p>
        </w:tc>
        <w:tc>
          <w:tcPr>
            <w:tcW w:w="800"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"10.1021/ja0570032", "ISSN" : "00027863", "PMID" : "16366539", "abstract" : "Metal-organic frameworks (MOFs) show high CO2 storage capacity at room temperature. Gravimetric CO2 isotherms for MOF-2, MOF-505, Cu3(BTC)2, MOF-74, IRMOFs-11, -3, -6, and -1, and MOF-177 are reported up to 42 bar. Type I isotherms are found in all cases except for MOFs based on Zn4O(O2C)6 clusters, which reveal a sigmoidal isotherm (having a step). The various pressures of the isotherm steps correlate with increasing pore size, which indicates potential for gas separations. The amine functionality of the IRMOF-3 pore shows evidence of relatively increased affinity for CO2. Capacities qualitatively scale with surface area and range from 3.2 mmol/g for MOF-2 to 33.5 mmol/g (320 cm3(STP)/cm3, 147 wt %) for MOF-177, the highest CO2 capacity of any porous material reported. Copyright \u00a9 2005 American Chemical Society.", "author" : [ { "dropping-particle" : "", "family" : "Millward", "given" : "Andrew R.", "non-dropping-particle" : "", "parse-names" : false, "suffix" : "" }, { "dropping-particle" : "", "family" : "Yaghi", "given" : "Omar M.", "non-dropping-particle" : "", "parse-names" : false, "suffix" : "" } ], "container-title" : "Journal of the American Chemical Society", "id" : "ITEM-1", "issue" : "51", "issued" : { "date-parts" : [ [ "2005" ] ] }, "page" : "17998-17999", "title" : "Metal-organic frameworks with exceptionally high capacity for storage of carbon dioxide at room temperature", "type" : "article-journal", "volume" : "127" }, "uris" : [ "http://www.mendeley.com/documents/?uuid=98d02213-0b1a-4ec7-96af-104a348a29f8" ] } ], "mendeley" : { "formattedCitation" : "&lt;sup&gt;2&lt;/sup&gt;", "plainTextFormattedCitation" : "2", "previouslyFormattedCitation" : "&lt;sup&gt;2&lt;/sup&gt;"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2</w:t>
            </w:r>
            <w:r w:rsidRPr="002E5ADF">
              <w:rPr>
                <w:rFonts w:ascii="TimesNewRomanPSMT" w:hAnsi="TimesNewRomanPSMT"/>
                <w:color w:val="4472C4" w:themeColor="accent5"/>
                <w:sz w:val="20"/>
                <w:szCs w:val="20"/>
              </w:rPr>
              <w:fldChar w:fldCharType="end"/>
            </w:r>
          </w:p>
        </w:tc>
      </w:tr>
      <w:tr w:rsidR="002B1F9A" w:rsidRPr="002E5ADF" w:rsidTr="002302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9</w:t>
            </w:r>
          </w:p>
        </w:tc>
        <w:tc>
          <w:tcPr>
            <w:tcW w:w="1226"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MOF-177</w:t>
            </w:r>
          </w:p>
        </w:tc>
        <w:tc>
          <w:tcPr>
            <w:tcW w:w="1188"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1.59</w:t>
            </w:r>
            <w:r>
              <w:rPr>
                <w:rFonts w:ascii="TimesNewRomanPSMT" w:hAnsi="TimesNewRomanPSMT"/>
                <w:color w:val="000000"/>
                <w:sz w:val="20"/>
                <w:szCs w:val="20"/>
              </w:rPr>
              <w:t xml:space="preserve"> </w:t>
            </w:r>
            <w:r w:rsidRPr="002E5ADF">
              <w:rPr>
                <w:rFonts w:ascii="TimesNewRomanPSMT" w:hAnsi="TimesNewRomanPSMT"/>
                <w:color w:val="000000"/>
                <w:sz w:val="20"/>
                <w:szCs w:val="20"/>
              </w:rPr>
              <w:t xml:space="preserve">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"ITEM-1",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"&lt;sup&gt;9&lt;/sup&gt;", "plainTextFormattedCitation" : "9", "previouslyFormattedCitation" : "&lt;sup&gt;9&lt;/sup&gt;"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9</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0-42.5</w:t>
            </w:r>
          </w:p>
        </w:tc>
        <w:tc>
          <w:tcPr>
            <w:tcW w:w="1417"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298-313</w:t>
            </w:r>
          </w:p>
        </w:tc>
        <w:tc>
          <w:tcPr>
            <w:tcW w:w="851"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4508</w:t>
            </w:r>
          </w:p>
        </w:tc>
        <w:tc>
          <w:tcPr>
            <w:tcW w:w="1269"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0-33.9</w:t>
            </w:r>
          </w:p>
        </w:tc>
        <w:tc>
          <w:tcPr>
            <w:tcW w:w="62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69</w:t>
            </w:r>
          </w:p>
        </w:tc>
        <w:tc>
          <w:tcPr>
            <w:tcW w:w="800"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"10.1021/ja0570032", "ISSN" : "00027863", "PMID" : "16366539", "abstract" : "Metal-organic frameworks (MOFs) show high CO2 storage capacity at room temperature. Gravimetric CO2 isotherms for MOF-2, MOF-505, Cu3(BTC)2, MOF-74, IRMOFs-11, -3, -6, and -1, and MOF-177 are reported up to 42 bar. Type I isotherms are found in all cases except for MOFs based on Zn4O(O2C)6 clusters, which reveal a sigmoidal isotherm (having a step). The various pressures of the isotherm steps correlate with increasing pore size, which indicates potential for gas separations. The amine functionality of the IRMOF-3 pore shows evidence of relatively increased affinity for CO2. Capacities qualitatively scale with surface area and range from 3.2 mmol/g for MOF-2 to 33.5 mmol/g (320 cm3(STP)/cm3, 147 wt %) for MOF-177, the highest CO2 capacity of any porous material reported. Copyright \u00a9 2005 American Chemical Society.", "author" : [ { "dropping-particle" : "", "family" : "Millward", "given" : "Andrew R.", "non-dropping-particle" : "", "parse-names" : false, "suffix" : "" }, { "dropping-particle" : "", "family" : "Yaghi", "given" : "Omar M.", "non-dropping-particle" : "", "parse-names" : false, "suffix" : "" } ], "container-title" : "Journal of the American Chemical Society", "id" : "ITEM-1", "issue" : "51", "issued" : { "date-parts" : [ [ "2005" ] ] }, "page" : "17998-17999", "title" : "Metal-organic frameworks with exceptionally high capacity for storage of carbon dioxide at room temperature", "type" : "article-journal", "volume" : "127" }, "uris" : [ "http://www.mendeley.com/documents/?uuid=98d02213-0b1a-4ec7-96af-104a348a29f8" ] }, { "id" : "ITEM-2",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"ITEM-2",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"&lt;sup&gt;2,9&lt;/sup&gt;", "plainTextFormattedCitation" : "2,9", "previouslyFormattedCitation" : "&lt;sup&gt;2,9&lt;/sup&gt;"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2,9</w:t>
            </w:r>
            <w:r w:rsidRPr="002E5ADF">
              <w:rPr>
                <w:rFonts w:ascii="TimesNewRomanPSMT" w:hAnsi="TimesNewRomanPSMT"/>
                <w:color w:val="4472C4" w:themeColor="accent5"/>
                <w:sz w:val="20"/>
                <w:szCs w:val="20"/>
              </w:rPr>
              <w:fldChar w:fldCharType="end"/>
            </w:r>
          </w:p>
        </w:tc>
      </w:tr>
      <w:tr w:rsidR="002B1F9A" w:rsidRPr="002E5ADF" w:rsidTr="002302DA">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10</w:t>
            </w:r>
          </w:p>
        </w:tc>
        <w:tc>
          <w:tcPr>
            <w:tcW w:w="1226"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CuBTTri</w:t>
            </w:r>
          </w:p>
        </w:tc>
        <w:tc>
          <w:tcPr>
            <w:tcW w:w="1188"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 xml:space="preserve">0.713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"ITEM-1",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"&lt;sup&gt;9&lt;/sup&gt;", "plainTextFormattedCitation" : "9", "previouslyFormattedCitation" : "&lt;sup&gt;9&lt;/sup&gt;"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9</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0.5460-39.866</w:t>
            </w:r>
          </w:p>
        </w:tc>
        <w:tc>
          <w:tcPr>
            <w:tcW w:w="1417"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313-313</w:t>
            </w:r>
          </w:p>
        </w:tc>
        <w:tc>
          <w:tcPr>
            <w:tcW w:w="851"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1750</w:t>
            </w:r>
          </w:p>
        </w:tc>
        <w:tc>
          <w:tcPr>
            <w:tcW w:w="1269"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1.16-16.99</w:t>
            </w:r>
          </w:p>
        </w:tc>
        <w:tc>
          <w:tcPr>
            <w:tcW w:w="62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43</w:t>
            </w:r>
          </w:p>
        </w:tc>
        <w:tc>
          <w:tcPr>
            <w:tcW w:w="800"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"ITEM-1",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"&lt;sup&gt;9&lt;/sup&gt;", "plainTextFormattedCitation" : "9", "previouslyFormattedCitation" : "&lt;sup&gt;9&lt;/sup&gt;"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9</w:t>
            </w:r>
            <w:r w:rsidRPr="002E5ADF">
              <w:rPr>
                <w:rFonts w:ascii="TimesNewRomanPSMT" w:hAnsi="TimesNewRomanPSMT"/>
                <w:color w:val="4472C4" w:themeColor="accent5"/>
                <w:sz w:val="20"/>
                <w:szCs w:val="20"/>
              </w:rPr>
              <w:fldChar w:fldCharType="end"/>
            </w:r>
          </w:p>
        </w:tc>
      </w:tr>
      <w:tr w:rsidR="002B1F9A" w:rsidRPr="002E5ADF" w:rsidTr="002302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11</w:t>
            </w:r>
          </w:p>
        </w:tc>
        <w:tc>
          <w:tcPr>
            <w:tcW w:w="1226"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MG</w:t>
            </w:r>
            <w:r w:rsidRPr="002E5ADF">
              <w:rPr>
                <w:rFonts w:ascii="TimesNewRomanPSMT" w:hAnsi="TimesNewRomanPSMT"/>
                <w:color w:val="000000"/>
                <w:sz w:val="20"/>
                <w:szCs w:val="20"/>
                <w:vertAlign w:val="subscript"/>
              </w:rPr>
              <w:t>2</w:t>
            </w:r>
            <w:r w:rsidRPr="002E5ADF">
              <w:rPr>
                <w:rFonts w:ascii="TimesNewRomanPSMT" w:hAnsi="TimesNewRomanPSMT"/>
                <w:color w:val="000000"/>
                <w:sz w:val="20"/>
                <w:szCs w:val="20"/>
              </w:rPr>
              <w:t>(dobdc)</w:t>
            </w:r>
          </w:p>
        </w:tc>
        <w:tc>
          <w:tcPr>
            <w:tcW w:w="1188"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 xml:space="preserve">0.573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"ITEM-1",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"&lt;sup&gt;9&lt;/sup&gt;", "plainTextFormattedCitation" : "9", "previouslyFormattedCitation" : "&lt;sup&gt;9&lt;/sup&gt;"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9</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0.0005-35.317</w:t>
            </w:r>
          </w:p>
        </w:tc>
        <w:tc>
          <w:tcPr>
            <w:tcW w:w="1417"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313-313</w:t>
            </w:r>
          </w:p>
        </w:tc>
        <w:tc>
          <w:tcPr>
            <w:tcW w:w="851"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1800</w:t>
            </w:r>
          </w:p>
        </w:tc>
        <w:tc>
          <w:tcPr>
            <w:tcW w:w="1269"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0.09-15.15</w:t>
            </w:r>
          </w:p>
        </w:tc>
        <w:tc>
          <w:tcPr>
            <w:tcW w:w="62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51</w:t>
            </w:r>
          </w:p>
        </w:tc>
        <w:tc>
          <w:tcPr>
            <w:tcW w:w="800"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"ITEM-1",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"&lt;sup&gt;9&lt;/sup&gt;", "plainTextFormattedCitation" : "9", "previouslyFormattedCitation" : "&lt;sup&gt;9&lt;/sup&gt;"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9</w:t>
            </w:r>
            <w:r w:rsidRPr="002E5ADF">
              <w:rPr>
                <w:rFonts w:ascii="TimesNewRomanPSMT" w:hAnsi="TimesNewRomanPSMT"/>
                <w:color w:val="4472C4" w:themeColor="accent5"/>
                <w:sz w:val="20"/>
                <w:szCs w:val="20"/>
              </w:rPr>
              <w:fldChar w:fldCharType="end"/>
            </w:r>
          </w:p>
        </w:tc>
      </w:tr>
      <w:tr w:rsidR="002B1F9A" w:rsidRPr="002E5ADF" w:rsidTr="002302DA">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12</w:t>
            </w:r>
          </w:p>
        </w:tc>
        <w:tc>
          <w:tcPr>
            <w:tcW w:w="1226"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CoBDP</w:t>
            </w:r>
          </w:p>
        </w:tc>
        <w:tc>
          <w:tcPr>
            <w:tcW w:w="1188"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0.93</w:t>
            </w:r>
            <w:r>
              <w:rPr>
                <w:rFonts w:ascii="TimesNewRomanPSMT" w:hAnsi="TimesNewRomanPSMT"/>
                <w:color w:val="000000"/>
                <w:sz w:val="20"/>
                <w:szCs w:val="20"/>
              </w:rPr>
              <w:t xml:space="preserve">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"ITEM-1",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"&lt;sup&gt;9&lt;/sup&gt;", "plainTextFormattedCitation" : "9", "previouslyFormattedCitation" : "&lt;sup&gt;9&lt;/sup&gt;"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9</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1.3102-38.288</w:t>
            </w:r>
          </w:p>
        </w:tc>
        <w:tc>
          <w:tcPr>
            <w:tcW w:w="1417"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313-313</w:t>
            </w:r>
          </w:p>
        </w:tc>
        <w:tc>
          <w:tcPr>
            <w:tcW w:w="851"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2030</w:t>
            </w:r>
          </w:p>
        </w:tc>
        <w:tc>
          <w:tcPr>
            <w:tcW w:w="1269"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0.28-16.56</w:t>
            </w:r>
          </w:p>
        </w:tc>
        <w:tc>
          <w:tcPr>
            <w:tcW w:w="628" w:type="dxa"/>
          </w:tcPr>
          <w:p w:rsidR="002B1F9A" w:rsidRPr="002E5ADF" w:rsidRDefault="002B1F9A" w:rsidP="002302DA">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31</w:t>
            </w:r>
          </w:p>
        </w:tc>
        <w:tc>
          <w:tcPr>
            <w:tcW w:w="800" w:type="dxa"/>
          </w:tcPr>
          <w:p w:rsidR="002B1F9A" w:rsidRPr="002E5ADF" w:rsidRDefault="002B1F9A" w:rsidP="009219DE">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"ITEM-1",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"&lt;sup&gt;9&lt;/sup&gt;", "plainTextFormattedCitation" : "9", "previouslyFormattedCitation" : "&lt;sup&gt;9&lt;/sup&gt;"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9</w:t>
            </w:r>
            <w:r w:rsidRPr="002E5ADF">
              <w:rPr>
                <w:rFonts w:ascii="TimesNewRomanPSMT" w:hAnsi="TimesNewRomanPSMT"/>
                <w:color w:val="4472C4" w:themeColor="accent5"/>
                <w:sz w:val="20"/>
                <w:szCs w:val="20"/>
              </w:rPr>
              <w:fldChar w:fldCharType="end"/>
            </w:r>
          </w:p>
        </w:tc>
      </w:tr>
      <w:tr w:rsidR="002B1F9A" w:rsidRPr="002E5ADF" w:rsidTr="002302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3" w:type="dxa"/>
          </w:tcPr>
          <w:p w:rsidR="002B1F9A" w:rsidRPr="002E5ADF" w:rsidRDefault="002B1F9A" w:rsidP="002302DA">
            <w:pPr>
              <w:spacing w:line="360" w:lineRule="auto"/>
              <w:jc w:val="both"/>
              <w:rPr>
                <w:rFonts w:ascii="TimesNewRomanPSMT" w:hAnsi="TimesNewRomanPSMT"/>
                <w:color w:val="000000"/>
                <w:sz w:val="20"/>
                <w:szCs w:val="20"/>
              </w:rPr>
            </w:pPr>
            <w:r w:rsidRPr="002E5ADF">
              <w:rPr>
                <w:rFonts w:ascii="TimesNewRomanPSMT" w:hAnsi="TimesNewRomanPSMT"/>
                <w:color w:val="000000"/>
                <w:sz w:val="20"/>
                <w:szCs w:val="20"/>
              </w:rPr>
              <w:t>13</w:t>
            </w:r>
          </w:p>
        </w:tc>
        <w:tc>
          <w:tcPr>
            <w:tcW w:w="1226"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BeBTB</w:t>
            </w:r>
          </w:p>
        </w:tc>
        <w:tc>
          <w:tcPr>
            <w:tcW w:w="1188"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1.701</w:t>
            </w:r>
            <w:r>
              <w:rPr>
                <w:rFonts w:ascii="TimesNewRomanPSMT" w:hAnsi="TimesNewRomanPSMT"/>
                <w:color w:val="000000"/>
                <w:sz w:val="20"/>
                <w:szCs w:val="20"/>
              </w:rPr>
              <w:t xml:space="preserve"> </w:t>
            </w: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"ITEM-1",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"&lt;sup&gt;9&lt;/sup&gt;", "plainTextFormattedCitation" : "9", "previouslyFormattedCitation" : "&lt;sup&gt;9&lt;/sup&gt;"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9</w:t>
            </w:r>
            <w:r w:rsidRPr="002E5ADF">
              <w:rPr>
                <w:rFonts w:ascii="TimesNewRomanPSMT" w:hAnsi="TimesNewRomanPSMT"/>
                <w:color w:val="4472C4" w:themeColor="accent5"/>
                <w:sz w:val="20"/>
                <w:szCs w:val="20"/>
              </w:rPr>
              <w:fldChar w:fldCharType="end"/>
            </w:r>
          </w:p>
        </w:tc>
        <w:tc>
          <w:tcPr>
            <w:tcW w:w="143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1.9600-38.834</w:t>
            </w:r>
          </w:p>
        </w:tc>
        <w:tc>
          <w:tcPr>
            <w:tcW w:w="1417"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313-313</w:t>
            </w:r>
          </w:p>
        </w:tc>
        <w:tc>
          <w:tcPr>
            <w:tcW w:w="851"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4030</w:t>
            </w:r>
          </w:p>
        </w:tc>
        <w:tc>
          <w:tcPr>
            <w:tcW w:w="1269"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1.79-30.17</w:t>
            </w:r>
          </w:p>
        </w:tc>
        <w:tc>
          <w:tcPr>
            <w:tcW w:w="628" w:type="dxa"/>
          </w:tcPr>
          <w:p w:rsidR="002B1F9A" w:rsidRPr="002E5ADF" w:rsidRDefault="002B1F9A" w:rsidP="002302DA">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2E5ADF">
              <w:rPr>
                <w:rFonts w:ascii="TimesNewRomanPSMT" w:hAnsi="TimesNewRomanPSMT"/>
                <w:color w:val="000000"/>
                <w:sz w:val="20"/>
                <w:szCs w:val="20"/>
              </w:rPr>
              <w:t>40</w:t>
            </w:r>
          </w:p>
        </w:tc>
        <w:tc>
          <w:tcPr>
            <w:tcW w:w="800" w:type="dxa"/>
          </w:tcPr>
          <w:p w:rsidR="002B1F9A" w:rsidRPr="002E5ADF" w:rsidRDefault="002B1F9A" w:rsidP="009219DE">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4472C4" w:themeColor="accent5"/>
                <w:sz w:val="20"/>
                <w:szCs w:val="20"/>
              </w:rPr>
            </w:pPr>
            <w:r w:rsidRPr="002E5ADF">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"10.1021/ja111411q", "ISSN" : "00027863", "abstract" : "Selected metal-organic frameworks exhibiting representative properties-high surface area, structural flexibility, or the presence of open metal cation sites-were tested for utility in the separation of CO2 from H 2 via pressure swing adsorption. Single-component CO2 and H2 adsorption isotherms were measured at 313 K and pressures up to 40 bar for Zn4O(BTB)2 (MOF-177, BTB3- = 1,3,5-benzenetribenzoate), Be12(OH)12(BTB)4 (Be-BTB), Co(BDP) (BDP2- = 1,4-benzenedipyrazolate), H 3[(Cu4Cl)3(BTTri)8] (Cu-BTTri, BTTri3- = 1,3,5-benzenetristriazolate), and Mg2(dobdc) (dobdc4- = 1,4-dioxido-2,5-benzenedicarboxylate). Ideal adsorbed solution theory was used to estimate realistic isotherms for the 80:20 and 60:40 H2/CO2 gas mixtures relevant to H2 purification and precombustion CO2 capture, respectively. In the former case, the results afford CO2/H2 selectivities between 2 and 860 and mixed-gas working capacities, assuming a 1 bar purge pressure, as high as 8.6 mol/kg and 7.4 mol/L. In particular, metal-organic frameworks with a high concentration of exposed metal cation sites, Mg 2(dobdc) and Cu-BTTri, offer significant improvements over commonly used adsorbents, indicating the promise of such materials for applications in CO2/H2 separations. \u00a9 2011 American Chemical Society.", "author" : [ { "dropping-particle" : "", "family" : "Herm", "given" : "Zoey R.", "non-dropping-particle" : "", "parse-names" : false, "suffix" : "" }, { "dropping-particle" : "", "family" : "Swisher", "given" : "Joseph A.", "non-dropping-particle" : "", "parse-names" : false, "suffix" : "" }, { "dropping-particle" : "", "family" : "Smit", "given" : "Berend", "non-dropping-particle" : "", "parse-names" : false, "suffix" : "" }, { "dropping-particle" : "", "family" : "Krishna", "given" : "Rajamani", "non-dropping-particle" : "", "parse-names" : false, "suffix" : "" }, { "dropping-particle" : "", "family" : "Long", "given" : "Jeffrey R.", "non-dropping-particle" : "", "parse-names" : false, "suffix" : "" } ], "container-title" : "Journal of the American Chemical Society", "id" : "ITEM-1", "issue" : "15", "issued" : { "date-parts" : [ [ "2011" ] ] }, "page" : "5664-5667", "title" : "Metal-organic frameworks as adsorbents for hydrogen purification and precombustion carbon dioxide capture", "type" : "article-journal", "volume" : "133" }, "uris" : [ "http://www.mendeley.com/documents/?uuid=7639ef47-61a1-4cde-aafc-75cd121b9f4e" ] } ], "mendeley" : { "formattedCitation" : "&lt;sup&gt;9&lt;/sup&gt;", "plainTextFormattedCitation" : "9", "previouslyFormattedCitation" : "&lt;sup&gt;9&lt;/sup&gt;" }, "properties" : { "noteIndex" : 0 }, "schema" : "https://github.com/citation-style-language/schema/raw/master/csl-citation.json" }</w:instrText>
            </w:r>
            <w:r w:rsidRPr="002E5ADF">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9</w:t>
            </w:r>
            <w:r w:rsidRPr="002E5ADF">
              <w:rPr>
                <w:rFonts w:ascii="TimesNewRomanPSMT" w:hAnsi="TimesNewRomanPSMT"/>
                <w:color w:val="4472C4" w:themeColor="accent5"/>
                <w:sz w:val="20"/>
                <w:szCs w:val="20"/>
              </w:rPr>
              <w:fldChar w:fldCharType="end"/>
            </w:r>
          </w:p>
        </w:tc>
      </w:tr>
    </w:tbl>
    <w:p w:rsidR="002B1F9A" w:rsidRDefault="002B1F9A" w:rsidP="002B1F9A">
      <w:pPr>
        <w:tabs>
          <w:tab w:val="left" w:pos="1200"/>
        </w:tabs>
        <w:spacing w:line="360" w:lineRule="auto"/>
        <w:jc w:val="both"/>
        <w:rPr>
          <w:rFonts w:ascii="TimesNewRomanPSMT" w:hAnsi="TimesNewRomanPSMT"/>
          <w:color w:val="000000"/>
          <w:sz w:val="24"/>
          <w:szCs w:val="24"/>
          <w:rtl/>
        </w:rPr>
      </w:pPr>
    </w:p>
    <w:p w:rsidR="002B1F9A" w:rsidRDefault="002B1F9A" w:rsidP="00E37552">
      <w:pPr>
        <w:spacing w:line="360" w:lineRule="auto"/>
        <w:jc w:val="both"/>
        <w:rPr>
          <w:rFonts w:ascii="TimesNewRomanPSMT" w:hAnsi="TimesNewRomanPSMT"/>
          <w:color w:val="000000"/>
          <w:sz w:val="24"/>
          <w:szCs w:val="24"/>
        </w:rPr>
      </w:pPr>
    </w:p>
    <w:p w:rsidR="00E37552" w:rsidRPr="00E265AA" w:rsidRDefault="00E37552" w:rsidP="009219DE">
      <w:pPr>
        <w:spacing w:line="360" w:lineRule="auto"/>
        <w:jc w:val="center"/>
        <w:rPr>
          <w:rFonts w:ascii="TimesNewRomanPSMT" w:hAnsi="TimesNewRomanPSMT"/>
          <w:color w:val="000000"/>
          <w:sz w:val="20"/>
          <w:szCs w:val="20"/>
        </w:rPr>
      </w:pPr>
      <w:r w:rsidRPr="00E265AA">
        <w:rPr>
          <w:rFonts w:ascii="TimesNewRomanPSMT" w:hAnsi="TimesNewRomanPSMT"/>
          <w:b/>
          <w:bCs/>
          <w:color w:val="000000"/>
          <w:sz w:val="20"/>
          <w:szCs w:val="20"/>
        </w:rPr>
        <w:t xml:space="preserve">Table </w:t>
      </w:r>
      <w:r>
        <w:rPr>
          <w:rFonts w:ascii="TimesNewRomanPSMT" w:hAnsi="TimesNewRomanPSMT"/>
          <w:b/>
          <w:bCs/>
          <w:color w:val="000000"/>
          <w:sz w:val="20"/>
          <w:szCs w:val="20"/>
        </w:rPr>
        <w:t>S</w:t>
      </w:r>
      <w:r w:rsidR="002B1F9A">
        <w:rPr>
          <w:rFonts w:ascii="TimesNewRomanPSMT" w:hAnsi="TimesNewRomanPSMT"/>
          <w:b/>
          <w:bCs/>
          <w:color w:val="000000"/>
          <w:sz w:val="20"/>
          <w:szCs w:val="20"/>
        </w:rPr>
        <w:t>2</w:t>
      </w:r>
      <w:r w:rsidRPr="00E265AA">
        <w:rPr>
          <w:rFonts w:ascii="TimesNewRomanPSMT" w:hAnsi="TimesNewRomanPSMT"/>
          <w:b/>
          <w:bCs/>
          <w:color w:val="000000"/>
          <w:sz w:val="20"/>
          <w:szCs w:val="20"/>
        </w:rPr>
        <w:t>.</w:t>
      </w:r>
      <w:r w:rsidRPr="00E265AA">
        <w:rPr>
          <w:rFonts w:ascii="TimesNewRomanPSMT" w:hAnsi="TimesNewRomanPSMT"/>
          <w:color w:val="000000"/>
          <w:sz w:val="20"/>
          <w:szCs w:val="20"/>
        </w:rPr>
        <w:t xml:space="preserve"> The statistical para</w:t>
      </w:r>
      <w:r w:rsidR="009219DE">
        <w:rPr>
          <w:rFonts w:ascii="TimesNewRomanPSMT" w:hAnsi="TimesNewRomanPSMT"/>
          <w:color w:val="000000"/>
          <w:sz w:val="20"/>
          <w:szCs w:val="20"/>
        </w:rPr>
        <w:t xml:space="preserve">meters of previous correlations </w:t>
      </w:r>
      <w:r w:rsidR="009219DE" w:rsidRPr="009219DE">
        <w:rPr>
          <w:rFonts w:ascii="TimesNewRomanPSMT" w:hAnsi="TimesNewRomanPSMT"/>
          <w:color w:val="4472C4" w:themeColor="accent5"/>
          <w:sz w:val="20"/>
          <w:szCs w:val="20"/>
        </w:rPr>
        <w:fldChar w:fldCharType="begin" w:fldLock="1"/>
      </w:r>
      <w:r w:rsidR="009219DE">
        <w:rPr>
          <w:rFonts w:ascii="TimesNewRomanPSMT" w:hAnsi="TimesNewRomanPSMT"/>
          <w:color w:val="4472C4" w:themeColor="accent5"/>
          <w:sz w:val="20"/>
          <w:szCs w:val="20"/>
        </w:rPr>
        <w:instrText>ADDIN CSL_CITATION { "citationItems" : [ { "id" : "ITEM-1", "itemData" : { "DOI" : "10.1016/j.jcou.2020.101256", "ISSN" : "22129820", "abstract" : "In recent decades, adsorption of high amounts of carbon dioxide (CO2) in metal-organic frameworks (MOFs) has recived attention and is studied broadly. As a main principle, most scientists have accepted that CO2 can be capured by MOFs in order to prevent atmosphere from green-house gas emissions. In the present work, the potential of Particle Swarm Optimization Adaptive Neuro-Fuzzy Inference System (PSO-ANFIS), Differential Evolution-ANFIS (DE-ANFIS), Radial Basis Function Artificial Neural Network (RBF-ANN) and Least Square Support Vector Machine (LSSVM) to estimate CO2 uptake in 13 different MOFs, as a function of the operational pressure (P) supplemented with the property of MOFs was investigated. The inputs of the models are temperature, pressure, surface area and pore volume of MOFs. An extensive databank containing 506 data gathered from the literature was used for models development. The obtained %AARD values for the developed models are 10.05, 36.6, 35.51 and 8.17 for LSSVM, PSO-ANFIS, DE-ANFIS and RBF models, respectively.The sensitivity analysis demonstrated that operational pressure and pore volume of MOFs are the most effective parameters on CO2 adsorbtion by MOFs. It is found that LSSVM model is an outstanding tool for estimating adsorption of CO2 in comparison with other models. The LSSVM model presents a decent method for estimating CO2 adsorption in the studied MOFs, which is straightforward, capable and cost-efficient.", "author" : [ { "dropping-particle" : "", "family" : "Dashti", "given" : "Amir", "non-dropping-particle" : "", "parse-names" : false, "suffix" : "" }, { "dropping-particle" : "", "family" : "Bahrololoomi", "given" : "Arash", "non-dropping-particle" : "", "parse-names" : false, "suffix" : "" }, { "dropping-particle" : "", "family" : "Amirkhani", "given" : "Farid", "non-dropping-particle" : "", "parse-names" : false, "suffix" : "" }, { "dropping-particle" : "", "family" : "Mohammadi", "given" : "Amir H.", "non-dropping-particle" : "", "parse-names" : false, "suffix" : "" } ], "container-title" : "Journal of CO2 Utilization", "id" : "ITEM-1", "issued" : { "date-parts" : [ [ "2020" ] ] }, "title" : "Estimation of CO2adsorption in high capacity metal-organic frameworks: Applications to greenhouse gas control", "type" : "article-journal", "volume" : "41" }, "uris" : [ "http://www.mendeley.com/documents/?uuid=bd877907-4f6c-4303-998c-a054f7b72445" ] } ], "mendeley" : { "formattedCitation" : "&lt;sup&gt;10&lt;/sup&gt;", "plainTextFormattedCitation" : "10", "previouslyFormattedCitation" : "&lt;sup&gt;10&lt;/sup&gt;" }, "properties" : { "noteIndex" : 0 }, "schema" : "https://github.com/citation-style-language/schema/raw/master/csl-citation.json" }</w:instrText>
      </w:r>
      <w:r w:rsidR="009219DE" w:rsidRPr="009219DE">
        <w:rPr>
          <w:rFonts w:ascii="TimesNewRomanPSMT" w:hAnsi="TimesNewRomanPSMT"/>
          <w:color w:val="4472C4" w:themeColor="accent5"/>
          <w:sz w:val="20"/>
          <w:szCs w:val="20"/>
        </w:rPr>
        <w:fldChar w:fldCharType="separate"/>
      </w:r>
      <w:r w:rsidR="009219DE" w:rsidRPr="009219DE">
        <w:rPr>
          <w:rFonts w:ascii="TimesNewRomanPSMT" w:hAnsi="TimesNewRomanPSMT"/>
          <w:noProof/>
          <w:color w:val="4472C4" w:themeColor="accent5"/>
          <w:sz w:val="20"/>
          <w:szCs w:val="20"/>
          <w:vertAlign w:val="superscript"/>
        </w:rPr>
        <w:t>10</w:t>
      </w:r>
      <w:r w:rsidR="009219DE" w:rsidRPr="009219DE">
        <w:rPr>
          <w:rFonts w:ascii="TimesNewRomanPSMT" w:hAnsi="TimesNewRomanPSMT"/>
          <w:color w:val="4472C4" w:themeColor="accent5"/>
          <w:sz w:val="20"/>
          <w:szCs w:val="20"/>
        </w:rPr>
        <w:fldChar w:fldCharType="end"/>
      </w:r>
    </w:p>
    <w:tbl>
      <w:tblPr>
        <w:tblStyle w:val="PlainTable2"/>
        <w:tblW w:w="0" w:type="auto"/>
        <w:jc w:val="center"/>
        <w:tblLook w:val="04A0" w:firstRow="1" w:lastRow="0" w:firstColumn="1" w:lastColumn="0" w:noHBand="0" w:noVBand="1"/>
      </w:tblPr>
      <w:tblGrid>
        <w:gridCol w:w="1870"/>
        <w:gridCol w:w="1870"/>
        <w:gridCol w:w="1870"/>
        <w:gridCol w:w="1870"/>
        <w:gridCol w:w="1870"/>
      </w:tblGrid>
      <w:tr w:rsidR="00E37552" w:rsidRPr="00E265AA" w:rsidTr="00777CE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rsidR="00E37552" w:rsidRPr="00E265AA" w:rsidRDefault="00E37552" w:rsidP="00777CE4">
            <w:pPr>
              <w:spacing w:line="360" w:lineRule="auto"/>
              <w:jc w:val="center"/>
              <w:rPr>
                <w:rFonts w:ascii="TimesNewRomanPSMT" w:hAnsi="TimesNewRomanPSMT"/>
                <w:color w:val="000000"/>
                <w:sz w:val="20"/>
                <w:szCs w:val="20"/>
              </w:rPr>
            </w:pPr>
          </w:p>
        </w:tc>
        <w:tc>
          <w:tcPr>
            <w:tcW w:w="1870" w:type="dxa"/>
          </w:tcPr>
          <w:p w:rsidR="00E37552" w:rsidRPr="00E265AA" w:rsidRDefault="00E37552" w:rsidP="00777CE4">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PSO-ANFIS</w:t>
            </w:r>
          </w:p>
        </w:tc>
        <w:tc>
          <w:tcPr>
            <w:tcW w:w="1870" w:type="dxa"/>
          </w:tcPr>
          <w:p w:rsidR="00E37552" w:rsidRPr="00E265AA" w:rsidRDefault="00E37552" w:rsidP="00777CE4">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DE-ANFIS</w:t>
            </w:r>
          </w:p>
        </w:tc>
        <w:tc>
          <w:tcPr>
            <w:tcW w:w="1870" w:type="dxa"/>
          </w:tcPr>
          <w:p w:rsidR="00E37552" w:rsidRPr="00E265AA" w:rsidRDefault="00E37552" w:rsidP="00777CE4">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RBF</w:t>
            </w:r>
          </w:p>
        </w:tc>
        <w:tc>
          <w:tcPr>
            <w:tcW w:w="1870" w:type="dxa"/>
          </w:tcPr>
          <w:p w:rsidR="00E37552" w:rsidRPr="00E265AA" w:rsidRDefault="00E37552" w:rsidP="00777CE4">
            <w:pPr>
              <w:spacing w:line="360" w:lineRule="auto"/>
              <w:jc w:val="center"/>
              <w:cnfStyle w:val="100000000000" w:firstRow="1"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LSSVM</w:t>
            </w:r>
          </w:p>
        </w:tc>
      </w:tr>
      <w:tr w:rsidR="00E37552" w:rsidRPr="00E265AA" w:rsidTr="00777C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rsidR="00E37552" w:rsidRPr="00E265AA" w:rsidRDefault="00E37552" w:rsidP="00777CE4">
            <w:pPr>
              <w:spacing w:line="360" w:lineRule="auto"/>
              <w:jc w:val="center"/>
              <w:rPr>
                <w:rFonts w:ascii="TimesNewRomanPSMT" w:hAnsi="TimesNewRomanPSMT"/>
                <w:color w:val="000000"/>
                <w:sz w:val="20"/>
                <w:szCs w:val="20"/>
                <w:vertAlign w:val="superscript"/>
              </w:rPr>
            </w:pPr>
            <w:r w:rsidRPr="00E265AA">
              <w:rPr>
                <w:rFonts w:ascii="TimesNewRomanPSMT" w:hAnsi="TimesNewRomanPSMT"/>
                <w:color w:val="000000"/>
                <w:sz w:val="20"/>
                <w:szCs w:val="20"/>
              </w:rPr>
              <w:t>R</w:t>
            </w:r>
            <w:r w:rsidRPr="00E265AA">
              <w:rPr>
                <w:rFonts w:ascii="TimesNewRomanPSMT" w:hAnsi="TimesNewRomanPSMT"/>
                <w:color w:val="000000"/>
                <w:sz w:val="20"/>
                <w:szCs w:val="20"/>
                <w:vertAlign w:val="superscript"/>
              </w:rPr>
              <w:t>2</w:t>
            </w:r>
          </w:p>
        </w:tc>
        <w:tc>
          <w:tcPr>
            <w:tcW w:w="1870" w:type="dxa"/>
          </w:tcPr>
          <w:p w:rsidR="00E37552" w:rsidRPr="00E265AA" w:rsidRDefault="00E37552" w:rsidP="00777CE4">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0.958</w:t>
            </w:r>
          </w:p>
        </w:tc>
        <w:tc>
          <w:tcPr>
            <w:tcW w:w="1870" w:type="dxa"/>
          </w:tcPr>
          <w:p w:rsidR="00E37552" w:rsidRPr="00E265AA" w:rsidRDefault="00E37552" w:rsidP="00777CE4">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0.930</w:t>
            </w:r>
          </w:p>
        </w:tc>
        <w:tc>
          <w:tcPr>
            <w:tcW w:w="1870" w:type="dxa"/>
          </w:tcPr>
          <w:p w:rsidR="00E37552" w:rsidRPr="00E265AA" w:rsidRDefault="00E37552" w:rsidP="00777CE4">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0.997</w:t>
            </w:r>
          </w:p>
        </w:tc>
        <w:tc>
          <w:tcPr>
            <w:tcW w:w="1870" w:type="dxa"/>
          </w:tcPr>
          <w:p w:rsidR="00E37552" w:rsidRPr="00E265AA" w:rsidRDefault="00E37552" w:rsidP="00777CE4">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0.997</w:t>
            </w:r>
          </w:p>
        </w:tc>
      </w:tr>
      <w:tr w:rsidR="00E37552" w:rsidRPr="00E265AA" w:rsidTr="00777CE4">
        <w:trPr>
          <w:jc w:val="center"/>
        </w:trPr>
        <w:tc>
          <w:tcPr>
            <w:cnfStyle w:val="001000000000" w:firstRow="0" w:lastRow="0" w:firstColumn="1" w:lastColumn="0" w:oddVBand="0" w:evenVBand="0" w:oddHBand="0" w:evenHBand="0" w:firstRowFirstColumn="0" w:firstRowLastColumn="0" w:lastRowFirstColumn="0" w:lastRowLastColumn="0"/>
            <w:tcW w:w="1870" w:type="dxa"/>
          </w:tcPr>
          <w:p w:rsidR="00E37552" w:rsidRPr="00E265AA" w:rsidRDefault="00E37552" w:rsidP="00777CE4">
            <w:pPr>
              <w:spacing w:line="360" w:lineRule="auto"/>
              <w:jc w:val="center"/>
              <w:rPr>
                <w:rFonts w:ascii="TimesNewRomanPSMT" w:hAnsi="TimesNewRomanPSMT"/>
                <w:color w:val="000000"/>
                <w:sz w:val="20"/>
                <w:szCs w:val="20"/>
              </w:rPr>
            </w:pPr>
            <w:r w:rsidRPr="00E265AA">
              <w:rPr>
                <w:rFonts w:ascii="TimesNewRomanPSMT" w:hAnsi="TimesNewRomanPSMT"/>
                <w:color w:val="000000"/>
                <w:sz w:val="20"/>
                <w:szCs w:val="20"/>
              </w:rPr>
              <w:t>MSE</w:t>
            </w:r>
          </w:p>
        </w:tc>
        <w:tc>
          <w:tcPr>
            <w:tcW w:w="1870" w:type="dxa"/>
          </w:tcPr>
          <w:p w:rsidR="00E37552" w:rsidRPr="00E265AA" w:rsidRDefault="00E37552" w:rsidP="00777CE4">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2.571</w:t>
            </w:r>
          </w:p>
        </w:tc>
        <w:tc>
          <w:tcPr>
            <w:tcW w:w="1870" w:type="dxa"/>
          </w:tcPr>
          <w:p w:rsidR="00E37552" w:rsidRPr="00E265AA" w:rsidRDefault="00E37552" w:rsidP="00777CE4">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4.362</w:t>
            </w:r>
          </w:p>
        </w:tc>
        <w:tc>
          <w:tcPr>
            <w:tcW w:w="1870" w:type="dxa"/>
          </w:tcPr>
          <w:p w:rsidR="00E37552" w:rsidRPr="00E265AA" w:rsidRDefault="00E37552" w:rsidP="00777CE4">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0.204</w:t>
            </w:r>
          </w:p>
        </w:tc>
        <w:tc>
          <w:tcPr>
            <w:tcW w:w="1870" w:type="dxa"/>
          </w:tcPr>
          <w:p w:rsidR="00E37552" w:rsidRPr="00E265AA" w:rsidRDefault="00E37552" w:rsidP="00777CE4">
            <w:pPr>
              <w:spacing w:line="360" w:lineRule="auto"/>
              <w:jc w:val="center"/>
              <w:cnfStyle w:val="000000000000" w:firstRow="0" w:lastRow="0" w:firstColumn="0" w:lastColumn="0" w:oddVBand="0" w:evenVBand="0" w:oddHBand="0"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0.167</w:t>
            </w:r>
          </w:p>
        </w:tc>
      </w:tr>
      <w:tr w:rsidR="00E37552" w:rsidRPr="00E265AA" w:rsidTr="00777CE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rsidR="00E37552" w:rsidRPr="00E265AA" w:rsidRDefault="00E37552" w:rsidP="00777CE4">
            <w:pPr>
              <w:spacing w:line="360" w:lineRule="auto"/>
              <w:jc w:val="center"/>
              <w:rPr>
                <w:rFonts w:ascii="TimesNewRomanPSMT" w:hAnsi="TimesNewRomanPSMT"/>
                <w:color w:val="000000"/>
                <w:sz w:val="20"/>
                <w:szCs w:val="20"/>
              </w:rPr>
            </w:pPr>
            <w:r w:rsidRPr="00E265AA">
              <w:rPr>
                <w:rFonts w:ascii="TimesNewRomanPSMT" w:hAnsi="TimesNewRomanPSMT"/>
                <w:color w:val="000000"/>
                <w:sz w:val="20"/>
                <w:szCs w:val="20"/>
              </w:rPr>
              <w:t>STD</w:t>
            </w:r>
          </w:p>
        </w:tc>
        <w:tc>
          <w:tcPr>
            <w:tcW w:w="1870" w:type="dxa"/>
          </w:tcPr>
          <w:p w:rsidR="00E37552" w:rsidRPr="00E265AA" w:rsidRDefault="00E37552" w:rsidP="00777CE4">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23.16</w:t>
            </w:r>
          </w:p>
        </w:tc>
        <w:tc>
          <w:tcPr>
            <w:tcW w:w="1870" w:type="dxa"/>
          </w:tcPr>
          <w:p w:rsidR="00E37552" w:rsidRPr="00E265AA" w:rsidRDefault="00E37552" w:rsidP="00777CE4">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13.78</w:t>
            </w:r>
          </w:p>
        </w:tc>
        <w:tc>
          <w:tcPr>
            <w:tcW w:w="1870" w:type="dxa"/>
          </w:tcPr>
          <w:p w:rsidR="00E37552" w:rsidRPr="00E265AA" w:rsidRDefault="00E37552" w:rsidP="00777CE4">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4.211</w:t>
            </w:r>
          </w:p>
        </w:tc>
        <w:tc>
          <w:tcPr>
            <w:tcW w:w="1870" w:type="dxa"/>
          </w:tcPr>
          <w:p w:rsidR="00E37552" w:rsidRPr="00E265AA" w:rsidRDefault="00E37552" w:rsidP="00777CE4">
            <w:pPr>
              <w:spacing w:line="360" w:lineRule="auto"/>
              <w:jc w:val="center"/>
              <w:cnfStyle w:val="000000100000" w:firstRow="0" w:lastRow="0" w:firstColumn="0" w:lastColumn="0" w:oddVBand="0" w:evenVBand="0" w:oddHBand="1" w:evenHBand="0" w:firstRowFirstColumn="0" w:firstRowLastColumn="0" w:lastRowFirstColumn="0" w:lastRowLastColumn="0"/>
              <w:rPr>
                <w:rFonts w:ascii="TimesNewRomanPSMT" w:hAnsi="TimesNewRomanPSMT"/>
                <w:color w:val="000000"/>
                <w:sz w:val="20"/>
                <w:szCs w:val="20"/>
              </w:rPr>
            </w:pPr>
            <w:r w:rsidRPr="00E265AA">
              <w:rPr>
                <w:rFonts w:ascii="TimesNewRomanPSMT" w:hAnsi="TimesNewRomanPSMT"/>
                <w:color w:val="000000"/>
                <w:sz w:val="20"/>
                <w:szCs w:val="20"/>
              </w:rPr>
              <w:t>6.988</w:t>
            </w:r>
          </w:p>
        </w:tc>
      </w:tr>
    </w:tbl>
    <w:p w:rsidR="00E37552" w:rsidRDefault="00E37552" w:rsidP="00E37552">
      <w:pPr>
        <w:spacing w:line="360" w:lineRule="auto"/>
        <w:jc w:val="both"/>
        <w:rPr>
          <w:rFonts w:ascii="TimesNewRomanPSMT" w:hAnsi="TimesNewRomanPSMT"/>
          <w:color w:val="000000"/>
          <w:sz w:val="24"/>
          <w:szCs w:val="24"/>
        </w:rPr>
      </w:pPr>
    </w:p>
    <w:p w:rsidR="00F831BE" w:rsidRPr="009219DE" w:rsidRDefault="00F831BE">
      <w:pPr>
        <w:rPr>
          <w:sz w:val="24"/>
          <w:szCs w:val="24"/>
        </w:rPr>
      </w:pPr>
    </w:p>
    <w:p w:rsidR="009219DE" w:rsidRPr="009219DE" w:rsidRDefault="009219DE">
      <w:pPr>
        <w:rPr>
          <w:sz w:val="24"/>
          <w:szCs w:val="24"/>
        </w:rPr>
      </w:pPr>
    </w:p>
    <w:p w:rsidR="009219DE" w:rsidRDefault="009219DE">
      <w:pPr>
        <w:rPr>
          <w:rFonts w:asciiTheme="majorBidi" w:hAnsiTheme="majorBidi" w:cstheme="majorBidi"/>
          <w:b/>
          <w:bCs/>
          <w:sz w:val="24"/>
          <w:szCs w:val="24"/>
        </w:rPr>
      </w:pPr>
      <w:r w:rsidRPr="009219DE">
        <w:rPr>
          <w:rFonts w:asciiTheme="majorBidi" w:hAnsiTheme="majorBidi" w:cstheme="majorBidi"/>
          <w:b/>
          <w:bCs/>
          <w:sz w:val="24"/>
          <w:szCs w:val="24"/>
        </w:rPr>
        <w:t>References</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szCs w:val="24"/>
        </w:rPr>
      </w:pP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Mendeley Bibliography CSL_BIBLIOGRAPHY </w:instrText>
      </w:r>
      <w:r>
        <w:rPr>
          <w:rFonts w:asciiTheme="majorBidi" w:hAnsiTheme="majorBidi" w:cstheme="majorBidi"/>
          <w:sz w:val="24"/>
          <w:szCs w:val="24"/>
        </w:rPr>
        <w:fldChar w:fldCharType="separate"/>
      </w:r>
      <w:r w:rsidRPr="009219DE">
        <w:rPr>
          <w:rFonts w:ascii="Times New Roman" w:hAnsi="Times New Roman" w:cs="Times New Roman"/>
          <w:noProof/>
          <w:sz w:val="24"/>
          <w:szCs w:val="24"/>
        </w:rPr>
        <w:t>1.</w:t>
      </w:r>
      <w:r w:rsidRPr="009219DE">
        <w:rPr>
          <w:rFonts w:ascii="Times New Roman" w:hAnsi="Times New Roman" w:cs="Times New Roman"/>
          <w:noProof/>
          <w:sz w:val="24"/>
          <w:szCs w:val="24"/>
        </w:rPr>
        <w:tab/>
        <w:t xml:space="preserve">Tranchemontagne, D. J., Hunt, J. R. &amp; Yaghi, O. M. Room temperature synthesis of metal-organic frameworks: MOF-5, MOF-74, MOF-177, MOF-199, and IRMOF-0. </w:t>
      </w:r>
      <w:r w:rsidRPr="009219DE">
        <w:rPr>
          <w:rFonts w:ascii="Times New Roman" w:hAnsi="Times New Roman" w:cs="Times New Roman"/>
          <w:i/>
          <w:iCs/>
          <w:noProof/>
          <w:sz w:val="24"/>
          <w:szCs w:val="24"/>
        </w:rPr>
        <w:t>Tetrahedron</w:t>
      </w:r>
      <w:r w:rsidRPr="009219DE">
        <w:rPr>
          <w:rFonts w:ascii="Times New Roman" w:hAnsi="Times New Roman" w:cs="Times New Roman"/>
          <w:noProof/>
          <w:sz w:val="24"/>
          <w:szCs w:val="24"/>
        </w:rPr>
        <w:t xml:space="preserve"> </w:t>
      </w:r>
      <w:r w:rsidRPr="009219DE">
        <w:rPr>
          <w:rFonts w:ascii="Times New Roman" w:hAnsi="Times New Roman" w:cs="Times New Roman"/>
          <w:b/>
          <w:bCs/>
          <w:noProof/>
          <w:sz w:val="24"/>
          <w:szCs w:val="24"/>
        </w:rPr>
        <w:t>64</w:t>
      </w:r>
      <w:r w:rsidRPr="009219DE">
        <w:rPr>
          <w:rFonts w:ascii="Times New Roman" w:hAnsi="Times New Roman" w:cs="Times New Roman"/>
          <w:noProof/>
          <w:sz w:val="24"/>
          <w:szCs w:val="24"/>
        </w:rPr>
        <w:t>, 8553–8557 (2008).</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szCs w:val="24"/>
        </w:rPr>
      </w:pPr>
      <w:r w:rsidRPr="009219DE">
        <w:rPr>
          <w:rFonts w:ascii="Times New Roman" w:hAnsi="Times New Roman" w:cs="Times New Roman"/>
          <w:noProof/>
          <w:sz w:val="24"/>
          <w:szCs w:val="24"/>
        </w:rPr>
        <w:t>2.</w:t>
      </w:r>
      <w:r w:rsidRPr="009219DE">
        <w:rPr>
          <w:rFonts w:ascii="Times New Roman" w:hAnsi="Times New Roman" w:cs="Times New Roman"/>
          <w:noProof/>
          <w:sz w:val="24"/>
          <w:szCs w:val="24"/>
        </w:rPr>
        <w:tab/>
        <w:t xml:space="preserve">Millward, A. R. &amp; Yaghi, O. M. Metal-organic frameworks with exceptionally high capacity for storage of carbon dioxide at room temperature. </w:t>
      </w:r>
      <w:r w:rsidRPr="009219DE">
        <w:rPr>
          <w:rFonts w:ascii="Times New Roman" w:hAnsi="Times New Roman" w:cs="Times New Roman"/>
          <w:i/>
          <w:iCs/>
          <w:noProof/>
          <w:sz w:val="24"/>
          <w:szCs w:val="24"/>
        </w:rPr>
        <w:t>J. Am. Chem. Soc.</w:t>
      </w:r>
      <w:r w:rsidRPr="009219DE">
        <w:rPr>
          <w:rFonts w:ascii="Times New Roman" w:hAnsi="Times New Roman" w:cs="Times New Roman"/>
          <w:noProof/>
          <w:sz w:val="24"/>
          <w:szCs w:val="24"/>
        </w:rPr>
        <w:t xml:space="preserve"> </w:t>
      </w:r>
      <w:r w:rsidRPr="009219DE">
        <w:rPr>
          <w:rFonts w:ascii="Times New Roman" w:hAnsi="Times New Roman" w:cs="Times New Roman"/>
          <w:b/>
          <w:bCs/>
          <w:noProof/>
          <w:sz w:val="24"/>
          <w:szCs w:val="24"/>
        </w:rPr>
        <w:t>127</w:t>
      </w:r>
      <w:r w:rsidRPr="009219DE">
        <w:rPr>
          <w:rFonts w:ascii="Times New Roman" w:hAnsi="Times New Roman" w:cs="Times New Roman"/>
          <w:noProof/>
          <w:sz w:val="24"/>
          <w:szCs w:val="24"/>
        </w:rPr>
        <w:t>, 17998–17999 (2005).</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szCs w:val="24"/>
        </w:rPr>
      </w:pPr>
      <w:r w:rsidRPr="009219DE">
        <w:rPr>
          <w:rFonts w:ascii="Times New Roman" w:hAnsi="Times New Roman" w:cs="Times New Roman"/>
          <w:noProof/>
          <w:sz w:val="24"/>
          <w:szCs w:val="24"/>
        </w:rPr>
        <w:t>3.</w:t>
      </w:r>
      <w:r w:rsidRPr="009219DE">
        <w:rPr>
          <w:rFonts w:ascii="Times New Roman" w:hAnsi="Times New Roman" w:cs="Times New Roman"/>
          <w:noProof/>
          <w:sz w:val="24"/>
          <w:szCs w:val="24"/>
        </w:rPr>
        <w:tab/>
        <w:t xml:space="preserve">Srinivas, G., Krungleviciute, V., Guo, Z. X. &amp; Yildirim, T. Exceptional CO2 capture in a hierarchically porous carbon with simultaneous high surface area and pore volume. </w:t>
      </w:r>
      <w:r w:rsidRPr="009219DE">
        <w:rPr>
          <w:rFonts w:ascii="Times New Roman" w:hAnsi="Times New Roman" w:cs="Times New Roman"/>
          <w:i/>
          <w:iCs/>
          <w:noProof/>
          <w:sz w:val="24"/>
          <w:szCs w:val="24"/>
        </w:rPr>
        <w:t>Energy Environ. Sci.</w:t>
      </w:r>
      <w:r w:rsidRPr="009219DE">
        <w:rPr>
          <w:rFonts w:ascii="Times New Roman" w:hAnsi="Times New Roman" w:cs="Times New Roman"/>
          <w:noProof/>
          <w:sz w:val="24"/>
          <w:szCs w:val="24"/>
        </w:rPr>
        <w:t xml:space="preserve"> </w:t>
      </w:r>
      <w:r w:rsidRPr="009219DE">
        <w:rPr>
          <w:rFonts w:ascii="Times New Roman" w:hAnsi="Times New Roman" w:cs="Times New Roman"/>
          <w:b/>
          <w:bCs/>
          <w:noProof/>
          <w:sz w:val="24"/>
          <w:szCs w:val="24"/>
        </w:rPr>
        <w:t>7</w:t>
      </w:r>
      <w:r w:rsidRPr="009219DE">
        <w:rPr>
          <w:rFonts w:ascii="Times New Roman" w:hAnsi="Times New Roman" w:cs="Times New Roman"/>
          <w:noProof/>
          <w:sz w:val="24"/>
          <w:szCs w:val="24"/>
        </w:rPr>
        <w:t>, 335–342 (2014).</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szCs w:val="24"/>
        </w:rPr>
      </w:pPr>
      <w:r w:rsidRPr="009219DE">
        <w:rPr>
          <w:rFonts w:ascii="Times New Roman" w:hAnsi="Times New Roman" w:cs="Times New Roman"/>
          <w:noProof/>
          <w:sz w:val="24"/>
          <w:szCs w:val="24"/>
        </w:rPr>
        <w:t>4.</w:t>
      </w:r>
      <w:r w:rsidRPr="009219DE">
        <w:rPr>
          <w:rFonts w:ascii="Times New Roman" w:hAnsi="Times New Roman" w:cs="Times New Roman"/>
          <w:noProof/>
          <w:sz w:val="24"/>
          <w:szCs w:val="24"/>
        </w:rPr>
        <w:tab/>
        <w:t xml:space="preserve">Zhang, M. </w:t>
      </w:r>
      <w:r w:rsidRPr="009219DE">
        <w:rPr>
          <w:rFonts w:ascii="Times New Roman" w:hAnsi="Times New Roman" w:cs="Times New Roman"/>
          <w:i/>
          <w:iCs/>
          <w:noProof/>
          <w:sz w:val="24"/>
          <w:szCs w:val="24"/>
        </w:rPr>
        <w:t>et al.</w:t>
      </w:r>
      <w:r w:rsidRPr="009219DE">
        <w:rPr>
          <w:rFonts w:ascii="Times New Roman" w:hAnsi="Times New Roman" w:cs="Times New Roman"/>
          <w:noProof/>
          <w:sz w:val="24"/>
          <w:szCs w:val="24"/>
        </w:rPr>
        <w:t xml:space="preserve"> Fine Tuning of MOF-505 Analogues To Reduce Low-Pressure Methane Uptake and Enhance Methane Working Capacity. </w:t>
      </w:r>
      <w:r w:rsidRPr="009219DE">
        <w:rPr>
          <w:rFonts w:ascii="Times New Roman" w:hAnsi="Times New Roman" w:cs="Times New Roman"/>
          <w:i/>
          <w:iCs/>
          <w:noProof/>
          <w:sz w:val="24"/>
          <w:szCs w:val="24"/>
        </w:rPr>
        <w:t>Angew. Chemie - Int. Ed.</w:t>
      </w:r>
      <w:r w:rsidRPr="009219DE">
        <w:rPr>
          <w:rFonts w:ascii="Times New Roman" w:hAnsi="Times New Roman" w:cs="Times New Roman"/>
          <w:noProof/>
          <w:sz w:val="24"/>
          <w:szCs w:val="24"/>
        </w:rPr>
        <w:t xml:space="preserve"> </w:t>
      </w:r>
      <w:r w:rsidRPr="009219DE">
        <w:rPr>
          <w:rFonts w:ascii="Times New Roman" w:hAnsi="Times New Roman" w:cs="Times New Roman"/>
          <w:b/>
          <w:bCs/>
          <w:noProof/>
          <w:sz w:val="24"/>
          <w:szCs w:val="24"/>
        </w:rPr>
        <w:t>56</w:t>
      </w:r>
      <w:r w:rsidRPr="009219DE">
        <w:rPr>
          <w:rFonts w:ascii="Times New Roman" w:hAnsi="Times New Roman" w:cs="Times New Roman"/>
          <w:noProof/>
          <w:sz w:val="24"/>
          <w:szCs w:val="24"/>
        </w:rPr>
        <w:t>, 11426–11430 (2017).</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szCs w:val="24"/>
        </w:rPr>
      </w:pPr>
      <w:r w:rsidRPr="009219DE">
        <w:rPr>
          <w:rFonts w:ascii="Times New Roman" w:hAnsi="Times New Roman" w:cs="Times New Roman"/>
          <w:noProof/>
          <w:sz w:val="24"/>
          <w:szCs w:val="24"/>
        </w:rPr>
        <w:t>5.</w:t>
      </w:r>
      <w:r w:rsidRPr="009219DE">
        <w:rPr>
          <w:rFonts w:ascii="Times New Roman" w:hAnsi="Times New Roman" w:cs="Times New Roman"/>
          <w:noProof/>
          <w:sz w:val="24"/>
          <w:szCs w:val="24"/>
        </w:rPr>
        <w:tab/>
        <w:t xml:space="preserve">Senthil Kumar, R., Senthil Kumar, S. &amp; Anbu Kulandainathan, M. Efficient electrosynthesis of highly active Cu3(BTC) 2-MOF and its catalytic application to chemical reduction. </w:t>
      </w:r>
      <w:r w:rsidRPr="009219DE">
        <w:rPr>
          <w:rFonts w:ascii="Times New Roman" w:hAnsi="Times New Roman" w:cs="Times New Roman"/>
          <w:i/>
          <w:iCs/>
          <w:noProof/>
          <w:sz w:val="24"/>
          <w:szCs w:val="24"/>
        </w:rPr>
        <w:t>Microporous Mesoporous Mater.</w:t>
      </w:r>
      <w:r w:rsidRPr="009219DE">
        <w:rPr>
          <w:rFonts w:ascii="Times New Roman" w:hAnsi="Times New Roman" w:cs="Times New Roman"/>
          <w:noProof/>
          <w:sz w:val="24"/>
          <w:szCs w:val="24"/>
        </w:rPr>
        <w:t xml:space="preserve"> </w:t>
      </w:r>
      <w:r w:rsidRPr="009219DE">
        <w:rPr>
          <w:rFonts w:ascii="Times New Roman" w:hAnsi="Times New Roman" w:cs="Times New Roman"/>
          <w:b/>
          <w:bCs/>
          <w:noProof/>
          <w:sz w:val="24"/>
          <w:szCs w:val="24"/>
        </w:rPr>
        <w:t>168</w:t>
      </w:r>
      <w:r w:rsidRPr="009219DE">
        <w:rPr>
          <w:rFonts w:ascii="Times New Roman" w:hAnsi="Times New Roman" w:cs="Times New Roman"/>
          <w:noProof/>
          <w:sz w:val="24"/>
          <w:szCs w:val="24"/>
        </w:rPr>
        <w:t>, 57–64 (2013).</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szCs w:val="24"/>
        </w:rPr>
      </w:pPr>
      <w:r w:rsidRPr="009219DE">
        <w:rPr>
          <w:rFonts w:ascii="Times New Roman" w:hAnsi="Times New Roman" w:cs="Times New Roman"/>
          <w:noProof/>
          <w:sz w:val="24"/>
          <w:szCs w:val="24"/>
        </w:rPr>
        <w:t>6.</w:t>
      </w:r>
      <w:r w:rsidRPr="009219DE">
        <w:rPr>
          <w:rFonts w:ascii="Times New Roman" w:hAnsi="Times New Roman" w:cs="Times New Roman"/>
          <w:noProof/>
          <w:sz w:val="24"/>
          <w:szCs w:val="24"/>
        </w:rPr>
        <w:tab/>
        <w:t xml:space="preserve">Yang, Q., Zhong, C. &amp; Chen, J. F. Computational study of CO2 storage in metal-organic frameworks. </w:t>
      </w:r>
      <w:r w:rsidRPr="009219DE">
        <w:rPr>
          <w:rFonts w:ascii="Times New Roman" w:hAnsi="Times New Roman" w:cs="Times New Roman"/>
          <w:i/>
          <w:iCs/>
          <w:noProof/>
          <w:sz w:val="24"/>
          <w:szCs w:val="24"/>
        </w:rPr>
        <w:t>J. Phys. Chem. C</w:t>
      </w:r>
      <w:r w:rsidRPr="009219DE">
        <w:rPr>
          <w:rFonts w:ascii="Times New Roman" w:hAnsi="Times New Roman" w:cs="Times New Roman"/>
          <w:noProof/>
          <w:sz w:val="24"/>
          <w:szCs w:val="24"/>
        </w:rPr>
        <w:t xml:space="preserve"> </w:t>
      </w:r>
      <w:r w:rsidRPr="009219DE">
        <w:rPr>
          <w:rFonts w:ascii="Times New Roman" w:hAnsi="Times New Roman" w:cs="Times New Roman"/>
          <w:b/>
          <w:bCs/>
          <w:noProof/>
          <w:sz w:val="24"/>
          <w:szCs w:val="24"/>
        </w:rPr>
        <w:t>112</w:t>
      </w:r>
      <w:r w:rsidRPr="009219DE">
        <w:rPr>
          <w:rFonts w:ascii="Times New Roman" w:hAnsi="Times New Roman" w:cs="Times New Roman"/>
          <w:noProof/>
          <w:sz w:val="24"/>
          <w:szCs w:val="24"/>
        </w:rPr>
        <w:t>, 1562–1569 (2008).</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szCs w:val="24"/>
        </w:rPr>
      </w:pPr>
      <w:r w:rsidRPr="009219DE">
        <w:rPr>
          <w:rFonts w:ascii="Times New Roman" w:hAnsi="Times New Roman" w:cs="Times New Roman"/>
          <w:noProof/>
          <w:sz w:val="24"/>
          <w:szCs w:val="24"/>
        </w:rPr>
        <w:t>7.</w:t>
      </w:r>
      <w:r w:rsidRPr="009219DE">
        <w:rPr>
          <w:rFonts w:ascii="Times New Roman" w:hAnsi="Times New Roman" w:cs="Times New Roman"/>
          <w:noProof/>
          <w:sz w:val="24"/>
          <w:szCs w:val="24"/>
        </w:rPr>
        <w:tab/>
        <w:t xml:space="preserve">Rowsell, J. L. C. &amp; Yaghi, O. M. Effects of functionalization, catenation, and variation of the metal oxide and organic linking units on the low-pressure hydrogen adsorption properties of metal-organic frameworks. </w:t>
      </w:r>
      <w:r w:rsidRPr="009219DE">
        <w:rPr>
          <w:rFonts w:ascii="Times New Roman" w:hAnsi="Times New Roman" w:cs="Times New Roman"/>
          <w:i/>
          <w:iCs/>
          <w:noProof/>
          <w:sz w:val="24"/>
          <w:szCs w:val="24"/>
        </w:rPr>
        <w:t>J. Am. Chem. Soc.</w:t>
      </w:r>
      <w:r w:rsidRPr="009219DE">
        <w:rPr>
          <w:rFonts w:ascii="Times New Roman" w:hAnsi="Times New Roman" w:cs="Times New Roman"/>
          <w:noProof/>
          <w:sz w:val="24"/>
          <w:szCs w:val="24"/>
        </w:rPr>
        <w:t xml:space="preserve"> </w:t>
      </w:r>
      <w:r w:rsidRPr="009219DE">
        <w:rPr>
          <w:rFonts w:ascii="Times New Roman" w:hAnsi="Times New Roman" w:cs="Times New Roman"/>
          <w:b/>
          <w:bCs/>
          <w:noProof/>
          <w:sz w:val="24"/>
          <w:szCs w:val="24"/>
        </w:rPr>
        <w:t>128</w:t>
      </w:r>
      <w:r w:rsidRPr="009219DE">
        <w:rPr>
          <w:rFonts w:ascii="Times New Roman" w:hAnsi="Times New Roman" w:cs="Times New Roman"/>
          <w:noProof/>
          <w:sz w:val="24"/>
          <w:szCs w:val="24"/>
        </w:rPr>
        <w:t>, 1304–1315 (2006).</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szCs w:val="24"/>
        </w:rPr>
      </w:pPr>
      <w:r w:rsidRPr="009219DE">
        <w:rPr>
          <w:rFonts w:ascii="Times New Roman" w:hAnsi="Times New Roman" w:cs="Times New Roman"/>
          <w:noProof/>
          <w:sz w:val="24"/>
          <w:szCs w:val="24"/>
        </w:rPr>
        <w:t>8.</w:t>
      </w:r>
      <w:r w:rsidRPr="009219DE">
        <w:rPr>
          <w:rFonts w:ascii="Times New Roman" w:hAnsi="Times New Roman" w:cs="Times New Roman"/>
          <w:noProof/>
          <w:sz w:val="24"/>
          <w:szCs w:val="24"/>
        </w:rPr>
        <w:tab/>
        <w:t xml:space="preserve">Ozkan, U. S. </w:t>
      </w:r>
      <w:r w:rsidRPr="009219DE">
        <w:rPr>
          <w:rFonts w:ascii="Times New Roman" w:hAnsi="Times New Roman" w:cs="Times New Roman"/>
          <w:i/>
          <w:iCs/>
          <w:noProof/>
          <w:sz w:val="24"/>
          <w:szCs w:val="24"/>
        </w:rPr>
        <w:t>Design of Heterogeneous Catalysts: New Approaches based on Synthesis, Characterization and Modeling</w:t>
      </w:r>
      <w:r w:rsidRPr="009219DE">
        <w:rPr>
          <w:rFonts w:ascii="Times New Roman" w:hAnsi="Times New Roman" w:cs="Times New Roman"/>
          <w:noProof/>
          <w:sz w:val="24"/>
          <w:szCs w:val="24"/>
        </w:rPr>
        <w:t xml:space="preserve">. </w:t>
      </w:r>
      <w:r w:rsidRPr="009219DE">
        <w:rPr>
          <w:rFonts w:ascii="Times New Roman" w:hAnsi="Times New Roman" w:cs="Times New Roman"/>
          <w:i/>
          <w:iCs/>
          <w:noProof/>
          <w:sz w:val="24"/>
          <w:szCs w:val="24"/>
        </w:rPr>
        <w:t>Design of Heterogeneous Catalysts: New Approaches based on Synthesis, Characterization and Modeling</w:t>
      </w:r>
      <w:r w:rsidRPr="009219DE">
        <w:rPr>
          <w:rFonts w:ascii="Times New Roman" w:hAnsi="Times New Roman" w:cs="Times New Roman"/>
          <w:noProof/>
          <w:sz w:val="24"/>
          <w:szCs w:val="24"/>
        </w:rPr>
        <w:t xml:space="preserve"> (2009). doi:10.1002/9783527625321.</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szCs w:val="24"/>
        </w:rPr>
      </w:pPr>
      <w:r w:rsidRPr="009219DE">
        <w:rPr>
          <w:rFonts w:ascii="Times New Roman" w:hAnsi="Times New Roman" w:cs="Times New Roman"/>
          <w:noProof/>
          <w:sz w:val="24"/>
          <w:szCs w:val="24"/>
        </w:rPr>
        <w:t>9.</w:t>
      </w:r>
      <w:r w:rsidRPr="009219DE">
        <w:rPr>
          <w:rFonts w:ascii="Times New Roman" w:hAnsi="Times New Roman" w:cs="Times New Roman"/>
          <w:noProof/>
          <w:sz w:val="24"/>
          <w:szCs w:val="24"/>
        </w:rPr>
        <w:tab/>
        <w:t xml:space="preserve">Herm, Z. R., Swisher, J. A., Smit, B., Krishna, R. &amp; Long, J. R. Metal-organic frameworks as adsorbents for hydrogen purification and precombustion carbon dioxide capture. </w:t>
      </w:r>
      <w:r w:rsidRPr="009219DE">
        <w:rPr>
          <w:rFonts w:ascii="Times New Roman" w:hAnsi="Times New Roman" w:cs="Times New Roman"/>
          <w:i/>
          <w:iCs/>
          <w:noProof/>
          <w:sz w:val="24"/>
          <w:szCs w:val="24"/>
        </w:rPr>
        <w:t>J. Am. Chem. Soc.</w:t>
      </w:r>
      <w:r w:rsidRPr="009219DE">
        <w:rPr>
          <w:rFonts w:ascii="Times New Roman" w:hAnsi="Times New Roman" w:cs="Times New Roman"/>
          <w:noProof/>
          <w:sz w:val="24"/>
          <w:szCs w:val="24"/>
        </w:rPr>
        <w:t xml:space="preserve"> </w:t>
      </w:r>
      <w:r w:rsidRPr="009219DE">
        <w:rPr>
          <w:rFonts w:ascii="Times New Roman" w:hAnsi="Times New Roman" w:cs="Times New Roman"/>
          <w:b/>
          <w:bCs/>
          <w:noProof/>
          <w:sz w:val="24"/>
          <w:szCs w:val="24"/>
        </w:rPr>
        <w:t>133</w:t>
      </w:r>
      <w:r w:rsidRPr="009219DE">
        <w:rPr>
          <w:rFonts w:ascii="Times New Roman" w:hAnsi="Times New Roman" w:cs="Times New Roman"/>
          <w:noProof/>
          <w:sz w:val="24"/>
          <w:szCs w:val="24"/>
        </w:rPr>
        <w:t>, 5664–5667 (2011).</w:t>
      </w:r>
    </w:p>
    <w:p w:rsidR="009219DE" w:rsidRPr="009219DE" w:rsidRDefault="009219DE" w:rsidP="009219DE">
      <w:pPr>
        <w:widowControl w:val="0"/>
        <w:autoSpaceDE w:val="0"/>
        <w:autoSpaceDN w:val="0"/>
        <w:adjustRightInd w:val="0"/>
        <w:spacing w:line="240" w:lineRule="auto"/>
        <w:ind w:left="640" w:hanging="640"/>
        <w:rPr>
          <w:rFonts w:ascii="Times New Roman" w:hAnsi="Times New Roman" w:cs="Times New Roman"/>
          <w:noProof/>
          <w:sz w:val="24"/>
        </w:rPr>
      </w:pPr>
      <w:r w:rsidRPr="009219DE">
        <w:rPr>
          <w:rFonts w:ascii="Times New Roman" w:hAnsi="Times New Roman" w:cs="Times New Roman"/>
          <w:noProof/>
          <w:sz w:val="24"/>
          <w:szCs w:val="24"/>
        </w:rPr>
        <w:lastRenderedPageBreak/>
        <w:t>10.</w:t>
      </w:r>
      <w:r w:rsidRPr="009219DE">
        <w:rPr>
          <w:rFonts w:ascii="Times New Roman" w:hAnsi="Times New Roman" w:cs="Times New Roman"/>
          <w:noProof/>
          <w:sz w:val="24"/>
          <w:szCs w:val="24"/>
        </w:rPr>
        <w:tab/>
        <w:t xml:space="preserve">Dashti, A., Bahrololoomi, A., Amirkhani, F. &amp; Mohammadi, A. H. Estimation of CO2adsorption in high capacity metal-organic frameworks: Applications to greenhouse gas control. </w:t>
      </w:r>
      <w:r w:rsidRPr="009219DE">
        <w:rPr>
          <w:rFonts w:ascii="Times New Roman" w:hAnsi="Times New Roman" w:cs="Times New Roman"/>
          <w:i/>
          <w:iCs/>
          <w:noProof/>
          <w:sz w:val="24"/>
          <w:szCs w:val="24"/>
        </w:rPr>
        <w:t>J. CO2 Util.</w:t>
      </w:r>
      <w:r w:rsidRPr="009219DE">
        <w:rPr>
          <w:rFonts w:ascii="Times New Roman" w:hAnsi="Times New Roman" w:cs="Times New Roman"/>
          <w:noProof/>
          <w:sz w:val="24"/>
          <w:szCs w:val="24"/>
        </w:rPr>
        <w:t xml:space="preserve"> </w:t>
      </w:r>
      <w:r w:rsidRPr="009219DE">
        <w:rPr>
          <w:rFonts w:ascii="Times New Roman" w:hAnsi="Times New Roman" w:cs="Times New Roman"/>
          <w:b/>
          <w:bCs/>
          <w:noProof/>
          <w:sz w:val="24"/>
          <w:szCs w:val="24"/>
        </w:rPr>
        <w:t>41</w:t>
      </w:r>
      <w:r w:rsidRPr="009219DE">
        <w:rPr>
          <w:rFonts w:ascii="Times New Roman" w:hAnsi="Times New Roman" w:cs="Times New Roman"/>
          <w:noProof/>
          <w:sz w:val="24"/>
          <w:szCs w:val="24"/>
        </w:rPr>
        <w:t>, (2020).</w:t>
      </w:r>
    </w:p>
    <w:p w:rsidR="009219DE" w:rsidRPr="009219DE" w:rsidRDefault="009219DE" w:rsidP="009219DE">
      <w:pPr>
        <w:rPr>
          <w:rFonts w:asciiTheme="majorBidi" w:hAnsiTheme="majorBidi" w:cstheme="majorBidi"/>
          <w:sz w:val="24"/>
          <w:szCs w:val="24"/>
        </w:rPr>
      </w:pPr>
      <w:r>
        <w:rPr>
          <w:rFonts w:asciiTheme="majorBidi" w:hAnsiTheme="majorBidi" w:cstheme="majorBidi"/>
          <w:sz w:val="24"/>
          <w:szCs w:val="24"/>
        </w:rPr>
        <w:fldChar w:fldCharType="end"/>
      </w:r>
    </w:p>
    <w:sectPr w:rsidR="009219DE" w:rsidRPr="009219D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B Nazanin">
    <w:altName w:val="Courier New"/>
    <w:charset w:val="B2"/>
    <w:family w:val="auto"/>
    <w:pitch w:val="variable"/>
    <w:sig w:usb0="00002000"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NTG0NDcwMbG0MDJS0lEKTi0uzszPAykwrQUAwXIs4iwAAAA="/>
  </w:docVars>
  <w:rsids>
    <w:rsidRoot w:val="0018389E"/>
    <w:rsid w:val="000166F4"/>
    <w:rsid w:val="00124267"/>
    <w:rsid w:val="00156E51"/>
    <w:rsid w:val="0018389E"/>
    <w:rsid w:val="001A2820"/>
    <w:rsid w:val="001A3F5C"/>
    <w:rsid w:val="002B1F9A"/>
    <w:rsid w:val="005A561A"/>
    <w:rsid w:val="00685CA3"/>
    <w:rsid w:val="006A6D65"/>
    <w:rsid w:val="006F505F"/>
    <w:rsid w:val="00753E1E"/>
    <w:rsid w:val="009219DE"/>
    <w:rsid w:val="0099718A"/>
    <w:rsid w:val="00AE09BE"/>
    <w:rsid w:val="00B81B5E"/>
    <w:rsid w:val="00E37552"/>
    <w:rsid w:val="00EC70EF"/>
    <w:rsid w:val="00F543F5"/>
    <w:rsid w:val="00F831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04C707-9205-41B7-B082-4E3D63B7F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B Nazanin"/>
        <w:sz w:val="28"/>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E3755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6A6D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15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10874</Words>
  <Characters>61984</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SARZAMINRAYANEH</Company>
  <LinksUpToDate>false</LinksUpToDate>
  <CharactersWithSpaces>72713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Martina Cerjak</cp:lastModifiedBy>
  <cp:revision>3</cp:revision>
  <dcterms:created xsi:type="dcterms:W3CDTF">2021-07-27T13:59:00Z</dcterms:created>
  <dcterms:modified xsi:type="dcterms:W3CDTF">2021-07-27T14:00:00Z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http://csl.mendeley.com/styles/616714211/vancouver-4</vt:lpwstr>
  </property>
  <property fmtid="{D5CDD505-2E9C-101B-9397-08002B2CF9AE}" pid="21" name="Mendeley Recent Style Name 9_1">
    <vt:lpwstr>Vancouver - Majedeh Gheytanzadeh</vt:lpwstr>
  </property>
  <property fmtid="{D5CDD505-2E9C-101B-9397-08002B2CF9AE}" pid="22" name="Mendeley Document_1">
    <vt:lpwstr>True</vt:lpwstr>
  </property>
  <property fmtid="{D5CDD505-2E9C-101B-9397-08002B2CF9AE}" pid="23" name="Mendeley Unique User Id_1">
    <vt:lpwstr>81401db0-4d96-37fb-930f-365cec43935b</vt:lpwstr>
  </property>
  <property fmtid="{D5CDD505-2E9C-101B-9397-08002B2CF9AE}" pid="24" name="Mendeley Citation Style_1">
    <vt:lpwstr>http://www.zotero.org/styles/nature</vt:lpwstr>
  </property>
</Properties>
</file>