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7B4033" w14:textId="21376E70" w:rsidR="001033CC" w:rsidRPr="001033CC" w:rsidRDefault="001033CC" w:rsidP="001033CC">
      <w:pPr>
        <w:spacing w:line="276" w:lineRule="auto"/>
        <w:jc w:val="both"/>
        <w:rPr>
          <w:rFonts w:ascii="Times New Roman" w:hAnsi="Times New Roman" w:cs="Times New Roman"/>
          <w:b/>
          <w:bCs/>
          <w:sz w:val="20"/>
          <w:szCs w:val="20"/>
        </w:rPr>
      </w:pPr>
      <w:bookmarkStart w:id="0" w:name="_Toc111284773"/>
      <w:bookmarkStart w:id="1" w:name="_Toc109083979"/>
      <w:r w:rsidRPr="001033CC">
        <w:rPr>
          <w:rFonts w:ascii="Times New Roman" w:hAnsi="Times New Roman" w:cs="Times New Roman"/>
          <w:b/>
          <w:bCs/>
          <w:sz w:val="20"/>
          <w:szCs w:val="20"/>
        </w:rPr>
        <w:t xml:space="preserve">The Effect of Microbiome-modulating </w:t>
      </w:r>
      <w:r w:rsidR="0048062C">
        <w:rPr>
          <w:rFonts w:ascii="Times New Roman" w:hAnsi="Times New Roman" w:cs="Times New Roman"/>
          <w:b/>
          <w:bCs/>
          <w:sz w:val="20"/>
          <w:szCs w:val="20"/>
        </w:rPr>
        <w:t>Probiotics, Prebiotics, and Synbiotics</w:t>
      </w:r>
      <w:r w:rsidRPr="001033CC">
        <w:rPr>
          <w:rFonts w:ascii="Times New Roman" w:hAnsi="Times New Roman" w:cs="Times New Roman"/>
          <w:b/>
          <w:bCs/>
          <w:sz w:val="20"/>
          <w:szCs w:val="20"/>
        </w:rPr>
        <w:t xml:space="preserve"> on Glucose Homeostasis in Type 2 Diabetes: A Systematic Review, Meta-Analysis, and Meta-Regression of Clinical Trials  </w:t>
      </w:r>
    </w:p>
    <w:p w14:paraId="1A5AB082" w14:textId="77777777" w:rsidR="001033CC" w:rsidRPr="001033CC" w:rsidRDefault="001033CC" w:rsidP="001033CC">
      <w:pPr>
        <w:spacing w:line="276" w:lineRule="auto"/>
        <w:jc w:val="both"/>
        <w:rPr>
          <w:rFonts w:ascii="Times New Roman" w:hAnsi="Times New Roman" w:cs="Times New Roman"/>
          <w:sz w:val="20"/>
          <w:szCs w:val="20"/>
          <w:lang w:val="en-GB"/>
        </w:rPr>
      </w:pPr>
      <w:r w:rsidRPr="001033CC">
        <w:rPr>
          <w:rFonts w:ascii="Times New Roman" w:hAnsi="Times New Roman" w:cs="Times New Roman"/>
          <w:sz w:val="20"/>
          <w:szCs w:val="20"/>
          <w:lang w:val="en-GB"/>
        </w:rPr>
        <w:t>Pradipta Paul</w:t>
      </w:r>
      <w:r w:rsidRPr="001033CC">
        <w:rPr>
          <w:rFonts w:ascii="Times New Roman" w:hAnsi="Times New Roman" w:cs="Times New Roman"/>
          <w:sz w:val="20"/>
          <w:szCs w:val="20"/>
          <w:vertAlign w:val="superscript"/>
          <w:lang w:val="en-GB"/>
        </w:rPr>
        <w:t>a</w:t>
      </w:r>
      <w:r w:rsidRPr="001033CC">
        <w:rPr>
          <w:rFonts w:ascii="Times New Roman" w:hAnsi="Times New Roman" w:cs="Times New Roman"/>
          <w:sz w:val="20"/>
          <w:szCs w:val="20"/>
          <w:lang w:val="en-GB"/>
        </w:rPr>
        <w:t xml:space="preserve">, Ridhima </w:t>
      </w:r>
      <w:proofErr w:type="spellStart"/>
      <w:r w:rsidRPr="001033CC">
        <w:rPr>
          <w:rFonts w:ascii="Times New Roman" w:hAnsi="Times New Roman" w:cs="Times New Roman"/>
          <w:sz w:val="20"/>
          <w:szCs w:val="20"/>
          <w:lang w:val="en-GB"/>
        </w:rPr>
        <w:t>Kaul</w:t>
      </w:r>
      <w:r w:rsidRPr="001033CC">
        <w:rPr>
          <w:rFonts w:ascii="Times New Roman" w:hAnsi="Times New Roman" w:cs="Times New Roman"/>
          <w:sz w:val="20"/>
          <w:szCs w:val="20"/>
          <w:vertAlign w:val="superscript"/>
          <w:lang w:val="en-GB"/>
        </w:rPr>
        <w:t>a</w:t>
      </w:r>
      <w:proofErr w:type="spellEnd"/>
      <w:r w:rsidRPr="001033CC">
        <w:rPr>
          <w:rFonts w:ascii="Times New Roman" w:hAnsi="Times New Roman" w:cs="Times New Roman"/>
          <w:sz w:val="20"/>
          <w:szCs w:val="20"/>
          <w:lang w:val="en-GB"/>
        </w:rPr>
        <w:t xml:space="preserve">, Manale </w:t>
      </w:r>
      <w:proofErr w:type="spellStart"/>
      <w:r w:rsidRPr="001033CC">
        <w:rPr>
          <w:rFonts w:ascii="Times New Roman" w:hAnsi="Times New Roman" w:cs="Times New Roman"/>
          <w:sz w:val="20"/>
          <w:szCs w:val="20"/>
          <w:lang w:val="en-GB"/>
        </w:rPr>
        <w:t>Harfouche</w:t>
      </w:r>
      <w:r w:rsidRPr="001033CC">
        <w:rPr>
          <w:rFonts w:ascii="Times New Roman" w:hAnsi="Times New Roman" w:cs="Times New Roman"/>
          <w:sz w:val="20"/>
          <w:szCs w:val="20"/>
          <w:vertAlign w:val="superscript"/>
          <w:lang w:val="en-GB"/>
        </w:rPr>
        <w:t>b,c</w:t>
      </w:r>
      <w:proofErr w:type="spellEnd"/>
      <w:r w:rsidRPr="001033CC">
        <w:rPr>
          <w:rFonts w:ascii="Times New Roman" w:hAnsi="Times New Roman" w:cs="Times New Roman"/>
          <w:sz w:val="20"/>
          <w:szCs w:val="20"/>
          <w:lang w:val="en-GB"/>
        </w:rPr>
        <w:t>, Maryam Arabi</w:t>
      </w:r>
      <w:r w:rsidRPr="001033CC">
        <w:rPr>
          <w:rFonts w:ascii="Times New Roman" w:hAnsi="Times New Roman" w:cs="Times New Roman"/>
          <w:sz w:val="20"/>
          <w:szCs w:val="20"/>
          <w:vertAlign w:val="superscript"/>
          <w:lang w:val="en-GB"/>
        </w:rPr>
        <w:t>a</w:t>
      </w:r>
      <w:r w:rsidRPr="001033CC">
        <w:rPr>
          <w:rFonts w:ascii="Times New Roman" w:hAnsi="Times New Roman" w:cs="Times New Roman"/>
          <w:sz w:val="20"/>
          <w:szCs w:val="20"/>
          <w:lang w:val="en-GB"/>
        </w:rPr>
        <w:t>, Yousef Al-</w:t>
      </w:r>
      <w:proofErr w:type="spellStart"/>
      <w:r w:rsidRPr="001033CC">
        <w:rPr>
          <w:rFonts w:ascii="Times New Roman" w:hAnsi="Times New Roman" w:cs="Times New Roman"/>
          <w:sz w:val="20"/>
          <w:szCs w:val="20"/>
          <w:lang w:val="en-GB"/>
        </w:rPr>
        <w:t>Najjar</w:t>
      </w:r>
      <w:r w:rsidRPr="001033CC">
        <w:rPr>
          <w:rFonts w:ascii="Times New Roman" w:hAnsi="Times New Roman" w:cs="Times New Roman"/>
          <w:sz w:val="20"/>
          <w:szCs w:val="20"/>
          <w:vertAlign w:val="superscript"/>
          <w:lang w:val="en-GB"/>
        </w:rPr>
        <w:t>a</w:t>
      </w:r>
      <w:proofErr w:type="spellEnd"/>
      <w:r w:rsidRPr="001033CC">
        <w:rPr>
          <w:rFonts w:ascii="Times New Roman" w:hAnsi="Times New Roman" w:cs="Times New Roman"/>
          <w:sz w:val="20"/>
          <w:szCs w:val="20"/>
          <w:lang w:val="en-GB"/>
        </w:rPr>
        <w:t xml:space="preserve">, Aparajita </w:t>
      </w:r>
      <w:proofErr w:type="spellStart"/>
      <w:r w:rsidRPr="001033CC">
        <w:rPr>
          <w:rFonts w:ascii="Times New Roman" w:hAnsi="Times New Roman" w:cs="Times New Roman"/>
          <w:sz w:val="20"/>
          <w:szCs w:val="20"/>
          <w:lang w:val="en-GB"/>
        </w:rPr>
        <w:t>Sarkar</w:t>
      </w:r>
      <w:r w:rsidRPr="001033CC">
        <w:rPr>
          <w:rFonts w:ascii="Times New Roman" w:hAnsi="Times New Roman" w:cs="Times New Roman"/>
          <w:sz w:val="20"/>
          <w:szCs w:val="20"/>
          <w:vertAlign w:val="superscript"/>
          <w:lang w:val="en-GB"/>
        </w:rPr>
        <w:t>a</w:t>
      </w:r>
      <w:proofErr w:type="spellEnd"/>
      <w:r w:rsidRPr="001033CC">
        <w:rPr>
          <w:rFonts w:ascii="Times New Roman" w:hAnsi="Times New Roman" w:cs="Times New Roman"/>
          <w:sz w:val="20"/>
          <w:szCs w:val="20"/>
          <w:lang w:val="en-GB"/>
        </w:rPr>
        <w:t xml:space="preserve">, Reya </w:t>
      </w:r>
      <w:proofErr w:type="spellStart"/>
      <w:r w:rsidRPr="001033CC">
        <w:rPr>
          <w:rFonts w:ascii="Times New Roman" w:hAnsi="Times New Roman" w:cs="Times New Roman"/>
          <w:sz w:val="20"/>
          <w:szCs w:val="20"/>
          <w:lang w:val="en-GB"/>
        </w:rPr>
        <w:t>Saliba</w:t>
      </w:r>
      <w:r w:rsidRPr="001033CC">
        <w:rPr>
          <w:rFonts w:ascii="Times New Roman" w:hAnsi="Times New Roman" w:cs="Times New Roman"/>
          <w:sz w:val="20"/>
          <w:szCs w:val="20"/>
          <w:vertAlign w:val="superscript"/>
          <w:lang w:val="en-GB"/>
        </w:rPr>
        <w:t>d</w:t>
      </w:r>
      <w:proofErr w:type="spellEnd"/>
      <w:r w:rsidRPr="001033CC">
        <w:rPr>
          <w:rFonts w:ascii="Times New Roman" w:hAnsi="Times New Roman" w:cs="Times New Roman"/>
          <w:sz w:val="20"/>
          <w:szCs w:val="20"/>
          <w:lang w:val="en-GB"/>
        </w:rPr>
        <w:t xml:space="preserve">, Ali </w:t>
      </w:r>
      <w:proofErr w:type="spellStart"/>
      <w:r w:rsidRPr="001033CC">
        <w:rPr>
          <w:rFonts w:ascii="Times New Roman" w:hAnsi="Times New Roman" w:cs="Times New Roman"/>
          <w:sz w:val="20"/>
          <w:szCs w:val="20"/>
          <w:lang w:val="en-GB"/>
        </w:rPr>
        <w:t>Chaari</w:t>
      </w:r>
      <w:r w:rsidRPr="001033CC">
        <w:rPr>
          <w:rFonts w:ascii="Times New Roman" w:hAnsi="Times New Roman" w:cs="Times New Roman"/>
          <w:sz w:val="20"/>
          <w:szCs w:val="20"/>
          <w:vertAlign w:val="superscript"/>
          <w:lang w:val="en-GB"/>
        </w:rPr>
        <w:t>e</w:t>
      </w:r>
      <w:proofErr w:type="spellEnd"/>
      <w:r w:rsidRPr="001033CC">
        <w:rPr>
          <w:rFonts w:ascii="Times New Roman" w:hAnsi="Times New Roman" w:cs="Times New Roman"/>
          <w:sz w:val="20"/>
          <w:szCs w:val="20"/>
          <w:vertAlign w:val="superscript"/>
          <w:lang w:val="en-GB"/>
        </w:rPr>
        <w:t>,*</w:t>
      </w:r>
    </w:p>
    <w:p w14:paraId="243225BF" w14:textId="77777777" w:rsidR="001033CC" w:rsidRPr="001033CC" w:rsidRDefault="001033CC" w:rsidP="001033CC">
      <w:pPr>
        <w:spacing w:line="276" w:lineRule="auto"/>
        <w:jc w:val="both"/>
        <w:rPr>
          <w:rFonts w:ascii="Times New Roman" w:hAnsi="Times New Roman" w:cs="Times New Roman"/>
          <w:i/>
          <w:sz w:val="20"/>
          <w:szCs w:val="20"/>
        </w:rPr>
      </w:pPr>
      <w:proofErr w:type="spellStart"/>
      <w:r w:rsidRPr="001033CC">
        <w:rPr>
          <w:rFonts w:ascii="Times New Roman" w:hAnsi="Times New Roman" w:cs="Times New Roman"/>
          <w:i/>
          <w:sz w:val="20"/>
          <w:szCs w:val="20"/>
          <w:vertAlign w:val="superscript"/>
          <w:lang w:val="en-GB"/>
        </w:rPr>
        <w:t>a</w:t>
      </w:r>
      <w:r w:rsidRPr="001033CC">
        <w:rPr>
          <w:rFonts w:ascii="Times New Roman" w:hAnsi="Times New Roman" w:cs="Times New Roman"/>
          <w:i/>
          <w:sz w:val="20"/>
          <w:szCs w:val="20"/>
          <w:lang w:val="en-GB"/>
        </w:rPr>
        <w:t>Medical</w:t>
      </w:r>
      <w:proofErr w:type="spellEnd"/>
      <w:r w:rsidRPr="001033CC">
        <w:rPr>
          <w:rFonts w:ascii="Times New Roman" w:hAnsi="Times New Roman" w:cs="Times New Roman"/>
          <w:i/>
          <w:sz w:val="20"/>
          <w:szCs w:val="20"/>
          <w:lang w:val="en-GB"/>
        </w:rPr>
        <w:t xml:space="preserve"> Education Division, Weill Cornell Medicine-Qatar, Cornell University, Qatar Foundation - Education City, P.O. Box 24144, Doha, Qatar; </w:t>
      </w:r>
      <w:proofErr w:type="spellStart"/>
      <w:r w:rsidRPr="001033CC">
        <w:rPr>
          <w:rFonts w:ascii="Times New Roman" w:hAnsi="Times New Roman" w:cs="Times New Roman"/>
          <w:i/>
          <w:sz w:val="20"/>
          <w:szCs w:val="20"/>
          <w:vertAlign w:val="superscript"/>
          <w:lang w:val="en-GB"/>
        </w:rPr>
        <w:t>b</w:t>
      </w:r>
      <w:r w:rsidRPr="001033CC">
        <w:rPr>
          <w:rFonts w:ascii="Times New Roman" w:hAnsi="Times New Roman" w:cs="Times New Roman"/>
          <w:i/>
          <w:sz w:val="20"/>
          <w:szCs w:val="20"/>
          <w:lang w:val="en-GB"/>
        </w:rPr>
        <w:t>Infectious</w:t>
      </w:r>
      <w:proofErr w:type="spellEnd"/>
      <w:r w:rsidRPr="001033CC">
        <w:rPr>
          <w:rFonts w:ascii="Times New Roman" w:hAnsi="Times New Roman" w:cs="Times New Roman"/>
          <w:i/>
          <w:sz w:val="20"/>
          <w:szCs w:val="20"/>
          <w:lang w:val="en-GB"/>
        </w:rPr>
        <w:t xml:space="preserve"> Disease Epidemiology Group, Weill Cornell Medicine-Qatar, Cornell </w:t>
      </w:r>
      <w:proofErr w:type="spellStart"/>
      <w:r w:rsidRPr="001033CC">
        <w:rPr>
          <w:rFonts w:ascii="Times New Roman" w:hAnsi="Times New Roman" w:cs="Times New Roman"/>
          <w:i/>
          <w:sz w:val="20"/>
          <w:szCs w:val="20"/>
          <w:lang w:val="en-GB"/>
        </w:rPr>
        <w:t>Univerasity</w:t>
      </w:r>
      <w:proofErr w:type="spellEnd"/>
      <w:r w:rsidRPr="001033CC">
        <w:rPr>
          <w:rFonts w:ascii="Times New Roman" w:hAnsi="Times New Roman" w:cs="Times New Roman"/>
          <w:i/>
          <w:sz w:val="20"/>
          <w:szCs w:val="20"/>
          <w:lang w:val="en-GB"/>
        </w:rPr>
        <w:t xml:space="preserve">, Qatar Foundation - Education City, P.O. Box 24144, Doha, Qatar; </w:t>
      </w:r>
      <w:proofErr w:type="spellStart"/>
      <w:r w:rsidRPr="001033CC">
        <w:rPr>
          <w:rFonts w:ascii="Times New Roman" w:hAnsi="Times New Roman" w:cs="Times New Roman"/>
          <w:i/>
          <w:sz w:val="20"/>
          <w:szCs w:val="20"/>
          <w:vertAlign w:val="superscript"/>
          <w:lang w:val="en-GB"/>
        </w:rPr>
        <w:t>c</w:t>
      </w:r>
      <w:r w:rsidRPr="001033CC">
        <w:rPr>
          <w:rFonts w:ascii="Times New Roman" w:hAnsi="Times New Roman" w:cs="Times New Roman"/>
          <w:i/>
          <w:sz w:val="20"/>
          <w:szCs w:val="20"/>
          <w:lang w:val="en-GB"/>
        </w:rPr>
        <w:t>World</w:t>
      </w:r>
      <w:proofErr w:type="spellEnd"/>
      <w:r w:rsidRPr="001033CC">
        <w:rPr>
          <w:rFonts w:ascii="Times New Roman" w:hAnsi="Times New Roman" w:cs="Times New Roman"/>
          <w:i/>
          <w:sz w:val="20"/>
          <w:szCs w:val="20"/>
          <w:lang w:val="en-GB"/>
        </w:rPr>
        <w:t xml:space="preserve"> Health Organization Collaborating Centre for Disease Epidemiology Analytics on HIV/AIDS, Sexually Transmitted Infections, and Viral Hepatitis, Weill Cornell Medicine–Qatar, Cornell University, Qatar Foundation – Education City, P.O. Box 24144, Doha, Qatar; </w:t>
      </w:r>
      <w:proofErr w:type="spellStart"/>
      <w:r w:rsidRPr="001033CC">
        <w:rPr>
          <w:rFonts w:ascii="Times New Roman" w:hAnsi="Times New Roman" w:cs="Times New Roman"/>
          <w:i/>
          <w:sz w:val="20"/>
          <w:szCs w:val="20"/>
          <w:vertAlign w:val="superscript"/>
          <w:lang w:val="en-GB"/>
        </w:rPr>
        <w:t>d</w:t>
      </w:r>
      <w:r w:rsidRPr="001033CC">
        <w:rPr>
          <w:rFonts w:ascii="Times New Roman" w:hAnsi="Times New Roman" w:cs="Times New Roman"/>
          <w:i/>
          <w:sz w:val="20"/>
          <w:szCs w:val="20"/>
          <w:lang w:val="en-GB"/>
        </w:rPr>
        <w:t>Health</w:t>
      </w:r>
      <w:proofErr w:type="spellEnd"/>
      <w:r w:rsidRPr="001033CC">
        <w:rPr>
          <w:rFonts w:ascii="Times New Roman" w:hAnsi="Times New Roman" w:cs="Times New Roman"/>
          <w:i/>
          <w:sz w:val="20"/>
          <w:szCs w:val="20"/>
          <w:lang w:val="en-GB"/>
        </w:rPr>
        <w:t xml:space="preserve"> Sciences Library, Weill Cornell Medicine-Qatar, Cornell University, Qatar Foundation - Education City, P.O. Box 24144, Doha, Qatar; </w:t>
      </w:r>
      <w:r w:rsidRPr="001033CC">
        <w:rPr>
          <w:rFonts w:ascii="Times New Roman" w:hAnsi="Times New Roman" w:cs="Times New Roman"/>
          <w:i/>
          <w:sz w:val="20"/>
          <w:szCs w:val="20"/>
          <w:vertAlign w:val="superscript"/>
          <w:lang w:val="en-GB"/>
        </w:rPr>
        <w:t>e</w:t>
      </w:r>
      <w:r w:rsidRPr="001033CC">
        <w:rPr>
          <w:rFonts w:ascii="Times New Roman" w:hAnsi="Times New Roman" w:cs="Times New Roman"/>
          <w:i/>
          <w:sz w:val="20"/>
          <w:szCs w:val="20"/>
        </w:rPr>
        <w:t xml:space="preserve">Premedical Division, Weill Cornell Medicine - Qatar, Qatar Foundation- Education City, P.O. Box 24144, Doha, Qatar. </w:t>
      </w:r>
    </w:p>
    <w:p w14:paraId="32DEE4E8" w14:textId="77777777" w:rsidR="001033CC" w:rsidRPr="001033CC" w:rsidRDefault="001033CC" w:rsidP="001033CC">
      <w:pPr>
        <w:spacing w:line="276" w:lineRule="auto"/>
        <w:jc w:val="both"/>
        <w:rPr>
          <w:rFonts w:ascii="Times New Roman" w:hAnsi="Times New Roman" w:cs="Times New Roman"/>
          <w:iCs/>
          <w:sz w:val="20"/>
          <w:szCs w:val="20"/>
          <w:lang w:val="en-GB"/>
        </w:rPr>
      </w:pPr>
      <w:r w:rsidRPr="001033CC">
        <w:rPr>
          <w:rFonts w:ascii="Times New Roman" w:hAnsi="Times New Roman" w:cs="Times New Roman"/>
          <w:iCs/>
          <w:sz w:val="20"/>
          <w:szCs w:val="20"/>
          <w:lang w:val="en-GB"/>
        </w:rPr>
        <w:t>*To whom correspondence should be addressed:</w:t>
      </w:r>
    </w:p>
    <w:p w14:paraId="2C006DED" w14:textId="77777777" w:rsidR="001033CC" w:rsidRPr="001033CC" w:rsidRDefault="001033CC" w:rsidP="001033CC">
      <w:pPr>
        <w:spacing w:line="276" w:lineRule="auto"/>
        <w:jc w:val="both"/>
        <w:rPr>
          <w:rFonts w:ascii="Times New Roman" w:hAnsi="Times New Roman" w:cs="Times New Roman"/>
          <w:iCs/>
          <w:sz w:val="20"/>
          <w:szCs w:val="20"/>
          <w:lang w:val="en-GB"/>
        </w:rPr>
      </w:pPr>
      <w:r w:rsidRPr="001033CC">
        <w:rPr>
          <w:rFonts w:ascii="Times New Roman" w:hAnsi="Times New Roman" w:cs="Times New Roman"/>
          <w:iCs/>
          <w:sz w:val="20"/>
          <w:szCs w:val="20"/>
          <w:lang w:val="en-GB"/>
        </w:rPr>
        <w:t xml:space="preserve">alc2033@qatar-med.cornell.edu </w:t>
      </w:r>
    </w:p>
    <w:p w14:paraId="2785E82D" w14:textId="77777777" w:rsidR="001033CC" w:rsidRPr="001033CC" w:rsidRDefault="001033CC" w:rsidP="001033CC">
      <w:pPr>
        <w:spacing w:line="276" w:lineRule="auto"/>
        <w:jc w:val="both"/>
        <w:rPr>
          <w:rFonts w:ascii="Times New Roman" w:hAnsi="Times New Roman" w:cs="Times New Roman"/>
          <w:iCs/>
          <w:sz w:val="20"/>
          <w:szCs w:val="20"/>
          <w:lang w:val="en-GB"/>
        </w:rPr>
      </w:pPr>
      <w:r w:rsidRPr="001033CC">
        <w:rPr>
          <w:rFonts w:ascii="Times New Roman" w:hAnsi="Times New Roman" w:cs="Times New Roman"/>
          <w:iCs/>
          <w:sz w:val="20"/>
          <w:szCs w:val="20"/>
          <w:lang w:val="en-GB"/>
        </w:rPr>
        <w:t>ali.chaari@yahoo.fr</w:t>
      </w:r>
    </w:p>
    <w:p w14:paraId="0A6DDB1B" w14:textId="0747BCF2" w:rsidR="001033CC" w:rsidRPr="001033CC" w:rsidRDefault="001033CC" w:rsidP="001033CC">
      <w:pPr>
        <w:spacing w:line="276" w:lineRule="auto"/>
        <w:jc w:val="both"/>
        <w:rPr>
          <w:sz w:val="24"/>
          <w:szCs w:val="24"/>
        </w:rPr>
      </w:pPr>
      <w:r w:rsidRPr="001033CC">
        <w:rPr>
          <w:rFonts w:ascii="Times New Roman" w:hAnsi="Times New Roman" w:cs="Times New Roman"/>
          <w:iCs/>
          <w:sz w:val="20"/>
          <w:szCs w:val="20"/>
          <w:lang w:val="en-GB"/>
        </w:rPr>
        <w:t>Tel.: +974 4492 8432.</w:t>
      </w:r>
    </w:p>
    <w:sdt>
      <w:sdtPr>
        <w:rPr>
          <w:rFonts w:asciiTheme="minorHAnsi" w:eastAsiaTheme="minorHAnsi" w:hAnsiTheme="minorHAnsi" w:cstheme="minorBidi"/>
          <w:color w:val="auto"/>
          <w:sz w:val="22"/>
          <w:szCs w:val="22"/>
        </w:rPr>
        <w:id w:val="-1004583267"/>
        <w:docPartObj>
          <w:docPartGallery w:val="Table of Contents"/>
          <w:docPartUnique/>
        </w:docPartObj>
      </w:sdtPr>
      <w:sdtEndPr>
        <w:rPr>
          <w:b/>
          <w:bCs/>
          <w:noProof/>
        </w:rPr>
      </w:sdtEndPr>
      <w:sdtContent>
        <w:p w14:paraId="22D5E57B" w14:textId="50DEB260" w:rsidR="00FF6360" w:rsidRPr="00316717" w:rsidRDefault="00FF6360">
          <w:pPr>
            <w:pStyle w:val="TOCHeading"/>
            <w:rPr>
              <w:rFonts w:ascii="Times New Roman" w:hAnsi="Times New Roman" w:cs="Times New Roman"/>
            </w:rPr>
          </w:pPr>
          <w:r w:rsidRPr="00316717">
            <w:rPr>
              <w:rFonts w:ascii="Times New Roman" w:hAnsi="Times New Roman" w:cs="Times New Roman"/>
            </w:rPr>
            <w:t>Contents</w:t>
          </w:r>
        </w:p>
        <w:p w14:paraId="2CC5AEB1" w14:textId="76319E6B" w:rsidR="00396D06" w:rsidRPr="00396D06" w:rsidRDefault="00FF6360">
          <w:pPr>
            <w:pStyle w:val="TOC1"/>
            <w:tabs>
              <w:tab w:val="right" w:leader="dot" w:pos="12950"/>
            </w:tabs>
            <w:rPr>
              <w:rFonts w:ascii="Times New Roman" w:eastAsiaTheme="minorEastAsia" w:hAnsi="Times New Roman" w:cs="Times New Roman"/>
              <w:noProof/>
            </w:rPr>
          </w:pPr>
          <w:r w:rsidRPr="00396D06">
            <w:rPr>
              <w:rFonts w:ascii="Times New Roman" w:hAnsi="Times New Roman" w:cs="Times New Roman"/>
            </w:rPr>
            <w:fldChar w:fldCharType="begin"/>
          </w:r>
          <w:r w:rsidRPr="00396D06">
            <w:rPr>
              <w:rFonts w:ascii="Times New Roman" w:hAnsi="Times New Roman" w:cs="Times New Roman"/>
            </w:rPr>
            <w:instrText xml:space="preserve"> TOC \o "1-3" \h \z \u </w:instrText>
          </w:r>
          <w:r w:rsidRPr="00396D06">
            <w:rPr>
              <w:rFonts w:ascii="Times New Roman" w:hAnsi="Times New Roman" w:cs="Times New Roman"/>
            </w:rPr>
            <w:fldChar w:fldCharType="separate"/>
          </w:r>
          <w:hyperlink w:anchor="_Toc116234664" w:history="1">
            <w:r w:rsidR="00396D06" w:rsidRPr="00396D06">
              <w:rPr>
                <w:rStyle w:val="Hyperlink"/>
                <w:rFonts w:ascii="Times New Roman" w:hAnsi="Times New Roman" w:cs="Times New Roman"/>
                <w:noProof/>
              </w:rPr>
              <w:t>Supplementary Table ST1. Further Review of the T2D pathophysiology in relation with the gut microbiome.</w:t>
            </w:r>
            <w:r w:rsidR="00396D06" w:rsidRPr="00396D06">
              <w:rPr>
                <w:rFonts w:ascii="Times New Roman" w:hAnsi="Times New Roman" w:cs="Times New Roman"/>
                <w:noProof/>
                <w:webHidden/>
              </w:rPr>
              <w:tab/>
            </w:r>
            <w:r w:rsidR="00396D06" w:rsidRPr="00396D06">
              <w:rPr>
                <w:rFonts w:ascii="Times New Roman" w:hAnsi="Times New Roman" w:cs="Times New Roman"/>
                <w:noProof/>
                <w:webHidden/>
              </w:rPr>
              <w:fldChar w:fldCharType="begin"/>
            </w:r>
            <w:r w:rsidR="00396D06" w:rsidRPr="00396D06">
              <w:rPr>
                <w:rFonts w:ascii="Times New Roman" w:hAnsi="Times New Roman" w:cs="Times New Roman"/>
                <w:noProof/>
                <w:webHidden/>
              </w:rPr>
              <w:instrText xml:space="preserve"> PAGEREF _Toc116234664 \h </w:instrText>
            </w:r>
            <w:r w:rsidR="00396D06" w:rsidRPr="00396D06">
              <w:rPr>
                <w:rFonts w:ascii="Times New Roman" w:hAnsi="Times New Roman" w:cs="Times New Roman"/>
                <w:noProof/>
                <w:webHidden/>
              </w:rPr>
            </w:r>
            <w:r w:rsidR="00396D06" w:rsidRPr="00396D06">
              <w:rPr>
                <w:rFonts w:ascii="Times New Roman" w:hAnsi="Times New Roman" w:cs="Times New Roman"/>
                <w:noProof/>
                <w:webHidden/>
              </w:rPr>
              <w:fldChar w:fldCharType="separate"/>
            </w:r>
            <w:r w:rsidR="00396D06" w:rsidRPr="00396D06">
              <w:rPr>
                <w:rFonts w:ascii="Times New Roman" w:hAnsi="Times New Roman" w:cs="Times New Roman"/>
                <w:noProof/>
                <w:webHidden/>
              </w:rPr>
              <w:t>3</w:t>
            </w:r>
            <w:r w:rsidR="00396D06" w:rsidRPr="00396D06">
              <w:rPr>
                <w:rFonts w:ascii="Times New Roman" w:hAnsi="Times New Roman" w:cs="Times New Roman"/>
                <w:noProof/>
                <w:webHidden/>
              </w:rPr>
              <w:fldChar w:fldCharType="end"/>
            </w:r>
          </w:hyperlink>
        </w:p>
        <w:p w14:paraId="36CB93E5" w14:textId="6C969FAB" w:rsidR="00396D06" w:rsidRPr="00396D06" w:rsidRDefault="00396D06">
          <w:pPr>
            <w:pStyle w:val="TOC1"/>
            <w:tabs>
              <w:tab w:val="right" w:leader="dot" w:pos="12950"/>
            </w:tabs>
            <w:rPr>
              <w:rFonts w:ascii="Times New Roman" w:eastAsiaTheme="minorEastAsia" w:hAnsi="Times New Roman" w:cs="Times New Roman"/>
              <w:noProof/>
            </w:rPr>
          </w:pPr>
          <w:hyperlink w:anchor="_Toc116234665" w:history="1">
            <w:r w:rsidRPr="00396D06">
              <w:rPr>
                <w:rStyle w:val="Hyperlink"/>
                <w:rFonts w:ascii="Times New Roman" w:hAnsi="Times New Roman" w:cs="Times New Roman"/>
                <w:noProof/>
              </w:rPr>
              <w:t>Supplementary Table ST2. Review of the various biomarkers of glycemia and insulinemia investigated in the study.</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_Toc116234665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4</w:t>
            </w:r>
            <w:r w:rsidRPr="00396D06">
              <w:rPr>
                <w:rFonts w:ascii="Times New Roman" w:hAnsi="Times New Roman" w:cs="Times New Roman"/>
                <w:noProof/>
                <w:webHidden/>
              </w:rPr>
              <w:fldChar w:fldCharType="end"/>
            </w:r>
          </w:hyperlink>
        </w:p>
        <w:p w14:paraId="3AF578A1" w14:textId="69E8BC46" w:rsidR="00396D06" w:rsidRPr="00396D06" w:rsidRDefault="00396D06">
          <w:pPr>
            <w:pStyle w:val="TOC1"/>
            <w:tabs>
              <w:tab w:val="right" w:leader="dot" w:pos="12950"/>
            </w:tabs>
            <w:rPr>
              <w:rFonts w:ascii="Times New Roman" w:eastAsiaTheme="minorEastAsia" w:hAnsi="Times New Roman" w:cs="Times New Roman"/>
              <w:noProof/>
            </w:rPr>
          </w:pPr>
          <w:hyperlink w:anchor="_Toc116234666" w:history="1">
            <w:r w:rsidRPr="00396D06">
              <w:rPr>
                <w:rStyle w:val="Hyperlink"/>
                <w:rFonts w:ascii="Times New Roman" w:hAnsi="Times New Roman" w:cs="Times New Roman"/>
                <w:noProof/>
              </w:rPr>
              <w:t>Supplementary Table ST3. PRISMA Checklist [16] .</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_Toc116234666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5</w:t>
            </w:r>
            <w:r w:rsidRPr="00396D06">
              <w:rPr>
                <w:rFonts w:ascii="Times New Roman" w:hAnsi="Times New Roman" w:cs="Times New Roman"/>
                <w:noProof/>
                <w:webHidden/>
              </w:rPr>
              <w:fldChar w:fldCharType="end"/>
            </w:r>
          </w:hyperlink>
        </w:p>
        <w:p w14:paraId="76219A6B" w14:textId="6BA7CB33" w:rsidR="00396D06" w:rsidRPr="00396D06" w:rsidRDefault="00396D06">
          <w:pPr>
            <w:pStyle w:val="TOC1"/>
            <w:tabs>
              <w:tab w:val="right" w:leader="dot" w:pos="12950"/>
            </w:tabs>
            <w:rPr>
              <w:rFonts w:ascii="Times New Roman" w:eastAsiaTheme="minorEastAsia" w:hAnsi="Times New Roman" w:cs="Times New Roman"/>
              <w:noProof/>
            </w:rPr>
          </w:pPr>
          <w:hyperlink w:anchor="_Toc116234667" w:history="1">
            <w:r w:rsidRPr="00396D06">
              <w:rPr>
                <w:rStyle w:val="Hyperlink"/>
                <w:rFonts w:ascii="Times New Roman" w:hAnsi="Times New Roman" w:cs="Times New Roman"/>
                <w:noProof/>
              </w:rPr>
              <w:t>Supplementary Table ST4. Detailed Search Strategy in Each Database, last updated 10 April 2022</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_Toc116234667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8</w:t>
            </w:r>
            <w:r w:rsidRPr="00396D06">
              <w:rPr>
                <w:rFonts w:ascii="Times New Roman" w:hAnsi="Times New Roman" w:cs="Times New Roman"/>
                <w:noProof/>
                <w:webHidden/>
              </w:rPr>
              <w:fldChar w:fldCharType="end"/>
            </w:r>
          </w:hyperlink>
        </w:p>
        <w:p w14:paraId="022DE439" w14:textId="36B5C932" w:rsidR="00396D06" w:rsidRPr="00396D06" w:rsidRDefault="00396D06">
          <w:pPr>
            <w:pStyle w:val="TOC1"/>
            <w:tabs>
              <w:tab w:val="right" w:leader="dot" w:pos="12950"/>
            </w:tabs>
            <w:rPr>
              <w:rFonts w:ascii="Times New Roman" w:eastAsiaTheme="minorEastAsia" w:hAnsi="Times New Roman" w:cs="Times New Roman"/>
              <w:noProof/>
            </w:rPr>
          </w:pPr>
          <w:hyperlink w:anchor="_Toc116234668" w:history="1">
            <w:r w:rsidRPr="00396D06">
              <w:rPr>
                <w:rStyle w:val="Hyperlink"/>
                <w:rFonts w:ascii="Times New Roman" w:hAnsi="Times New Roman" w:cs="Times New Roman"/>
                <w:noProof/>
              </w:rPr>
              <w:t>Supplementary Table ST5. Data Extraction Variables</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_Toc116234668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9</w:t>
            </w:r>
            <w:r w:rsidRPr="00396D06">
              <w:rPr>
                <w:rFonts w:ascii="Times New Roman" w:hAnsi="Times New Roman" w:cs="Times New Roman"/>
                <w:noProof/>
                <w:webHidden/>
              </w:rPr>
              <w:fldChar w:fldCharType="end"/>
            </w:r>
          </w:hyperlink>
        </w:p>
        <w:p w14:paraId="3599212B" w14:textId="456CB71F" w:rsidR="00396D06" w:rsidRPr="00396D06" w:rsidRDefault="00396D06">
          <w:pPr>
            <w:pStyle w:val="TOC1"/>
            <w:tabs>
              <w:tab w:val="right" w:leader="dot" w:pos="12950"/>
            </w:tabs>
            <w:rPr>
              <w:rFonts w:ascii="Times New Roman" w:eastAsiaTheme="minorEastAsia" w:hAnsi="Times New Roman" w:cs="Times New Roman"/>
              <w:noProof/>
            </w:rPr>
          </w:pPr>
          <w:hyperlink w:anchor="_Toc116234669" w:history="1">
            <w:r w:rsidRPr="00396D06">
              <w:rPr>
                <w:rStyle w:val="Hyperlink"/>
                <w:rFonts w:ascii="Times New Roman" w:hAnsi="Times New Roman" w:cs="Times New Roman"/>
                <w:noProof/>
              </w:rPr>
              <w:t>Supplementary Table ST6. Meta-Regression Analyses of Continuous Variables.</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_Toc116234669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10</w:t>
            </w:r>
            <w:r w:rsidRPr="00396D06">
              <w:rPr>
                <w:rFonts w:ascii="Times New Roman" w:hAnsi="Times New Roman" w:cs="Times New Roman"/>
                <w:noProof/>
                <w:webHidden/>
              </w:rPr>
              <w:fldChar w:fldCharType="end"/>
            </w:r>
          </w:hyperlink>
        </w:p>
        <w:p w14:paraId="4E9A4CE2" w14:textId="42D64960" w:rsidR="00396D06" w:rsidRPr="00396D06" w:rsidRDefault="00396D06">
          <w:pPr>
            <w:pStyle w:val="TOC1"/>
            <w:tabs>
              <w:tab w:val="right" w:leader="dot" w:pos="12950"/>
            </w:tabs>
            <w:rPr>
              <w:rFonts w:ascii="Times New Roman" w:eastAsiaTheme="minorEastAsia" w:hAnsi="Times New Roman" w:cs="Times New Roman"/>
              <w:noProof/>
            </w:rPr>
          </w:pPr>
          <w:hyperlink w:anchor="_Toc116234670" w:history="1">
            <w:r w:rsidRPr="00396D06">
              <w:rPr>
                <w:rStyle w:val="Hyperlink"/>
                <w:rFonts w:ascii="Times New Roman" w:hAnsi="Times New Roman" w:cs="Times New Roman"/>
                <w:noProof/>
              </w:rPr>
              <w:t>Supplementary Table ST7. Summary of the Order of Efficacies of the various Nutraceutical Types classified by Biomarker.</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_Toc116234670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12</w:t>
            </w:r>
            <w:r w:rsidRPr="00396D06">
              <w:rPr>
                <w:rFonts w:ascii="Times New Roman" w:hAnsi="Times New Roman" w:cs="Times New Roman"/>
                <w:noProof/>
                <w:webHidden/>
              </w:rPr>
              <w:fldChar w:fldCharType="end"/>
            </w:r>
          </w:hyperlink>
        </w:p>
        <w:p w14:paraId="108457EA" w14:textId="237CCD8F" w:rsidR="00396D06" w:rsidRPr="00396D06" w:rsidRDefault="00396D06">
          <w:pPr>
            <w:pStyle w:val="TOC1"/>
            <w:tabs>
              <w:tab w:val="right" w:leader="dot" w:pos="12950"/>
            </w:tabs>
            <w:rPr>
              <w:rFonts w:ascii="Times New Roman" w:eastAsiaTheme="minorEastAsia" w:hAnsi="Times New Roman" w:cs="Times New Roman"/>
              <w:noProof/>
            </w:rPr>
          </w:pPr>
          <w:hyperlink w:anchor="_Toc116234671" w:history="1">
            <w:r w:rsidRPr="00396D06">
              <w:rPr>
                <w:rStyle w:val="Hyperlink"/>
                <w:rFonts w:ascii="Times New Roman" w:hAnsi="Times New Roman" w:cs="Times New Roman"/>
                <w:noProof/>
              </w:rPr>
              <w:t>Supplementary Figure SF1. Summary of risk of bias assessment for the included studies.</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_Toc116234671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13</w:t>
            </w:r>
            <w:r w:rsidRPr="00396D06">
              <w:rPr>
                <w:rFonts w:ascii="Times New Roman" w:hAnsi="Times New Roman" w:cs="Times New Roman"/>
                <w:noProof/>
                <w:webHidden/>
              </w:rPr>
              <w:fldChar w:fldCharType="end"/>
            </w:r>
          </w:hyperlink>
        </w:p>
        <w:p w14:paraId="402D6F5E" w14:textId="1223A7A5" w:rsidR="00396D06" w:rsidRPr="00396D06" w:rsidRDefault="00396D06">
          <w:pPr>
            <w:pStyle w:val="TOC1"/>
            <w:tabs>
              <w:tab w:val="right" w:leader="dot" w:pos="12950"/>
            </w:tabs>
            <w:rPr>
              <w:rFonts w:ascii="Times New Roman" w:eastAsiaTheme="minorEastAsia" w:hAnsi="Times New Roman" w:cs="Times New Roman"/>
              <w:noProof/>
            </w:rPr>
          </w:pPr>
          <w:hyperlink w:anchor="_Toc116234672" w:history="1">
            <w:r w:rsidRPr="00396D06">
              <w:rPr>
                <w:rStyle w:val="Hyperlink"/>
                <w:rFonts w:ascii="Times New Roman" w:hAnsi="Times New Roman" w:cs="Times New Roman"/>
                <w:noProof/>
              </w:rPr>
              <w:t>Supplementary Figure SF2. Individual study risk of bias assessments.</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_Toc116234672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14</w:t>
            </w:r>
            <w:r w:rsidRPr="00396D06">
              <w:rPr>
                <w:rFonts w:ascii="Times New Roman" w:hAnsi="Times New Roman" w:cs="Times New Roman"/>
                <w:noProof/>
                <w:webHidden/>
              </w:rPr>
              <w:fldChar w:fldCharType="end"/>
            </w:r>
          </w:hyperlink>
        </w:p>
        <w:p w14:paraId="2A164E4E" w14:textId="1B198809" w:rsidR="00396D06" w:rsidRPr="00396D06" w:rsidRDefault="00396D06">
          <w:pPr>
            <w:pStyle w:val="TOC1"/>
            <w:tabs>
              <w:tab w:val="right" w:leader="dot" w:pos="12950"/>
            </w:tabs>
            <w:rPr>
              <w:rFonts w:ascii="Times New Roman" w:eastAsiaTheme="minorEastAsia" w:hAnsi="Times New Roman" w:cs="Times New Roman"/>
              <w:noProof/>
            </w:rPr>
          </w:pPr>
          <w:hyperlink w:anchor="_Toc116234673" w:history="1">
            <w:r w:rsidRPr="00396D06">
              <w:rPr>
                <w:rStyle w:val="Hyperlink"/>
                <w:rFonts w:ascii="Times New Roman" w:hAnsi="Times New Roman" w:cs="Times New Roman"/>
                <w:noProof/>
              </w:rPr>
              <w:t>Supplementary Figure SF3. Usual and contour-enhanced funnel plots assessing publication bias for (A) FPG, (B) HbA1c, (C) Insulin, (D) HOMA-IR, (E) QUICKI and (F) C-peptide.</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_Toc116234673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15</w:t>
            </w:r>
            <w:r w:rsidRPr="00396D06">
              <w:rPr>
                <w:rFonts w:ascii="Times New Roman" w:hAnsi="Times New Roman" w:cs="Times New Roman"/>
                <w:noProof/>
                <w:webHidden/>
              </w:rPr>
              <w:fldChar w:fldCharType="end"/>
            </w:r>
          </w:hyperlink>
        </w:p>
        <w:p w14:paraId="39DB8AF2" w14:textId="76936146" w:rsidR="00F64335" w:rsidRPr="00396D06" w:rsidRDefault="00396D06" w:rsidP="00396D06">
          <w:pPr>
            <w:pStyle w:val="TOC1"/>
            <w:tabs>
              <w:tab w:val="right" w:leader="dot" w:pos="12950"/>
            </w:tabs>
          </w:pPr>
          <w:hyperlink w:anchor="_Toc116234674" w:history="1">
            <w:r w:rsidRPr="00396D06">
              <w:rPr>
                <w:rStyle w:val="Hyperlink"/>
                <w:rFonts w:ascii="Times New Roman" w:hAnsi="Times New Roman" w:cs="Times New Roman"/>
                <w:noProof/>
              </w:rPr>
              <w:t>Supplementary References</w:t>
            </w:r>
            <w:r w:rsidRPr="00396D06">
              <w:rPr>
                <w:rFonts w:ascii="Times New Roman" w:hAnsi="Times New Roman" w:cs="Times New Roman"/>
                <w:noProof/>
                <w:webHidden/>
              </w:rPr>
              <w:tab/>
            </w:r>
            <w:r w:rsidRPr="00396D06">
              <w:rPr>
                <w:rFonts w:ascii="Times New Roman" w:hAnsi="Times New Roman" w:cs="Times New Roman"/>
                <w:noProof/>
                <w:webHidden/>
              </w:rPr>
              <w:fldChar w:fldCharType="begin"/>
            </w:r>
            <w:r w:rsidRPr="00396D06">
              <w:rPr>
                <w:rFonts w:ascii="Times New Roman" w:hAnsi="Times New Roman" w:cs="Times New Roman"/>
                <w:noProof/>
                <w:webHidden/>
              </w:rPr>
              <w:instrText xml:space="preserve"> PAGEREF _Toc116234674 \h </w:instrText>
            </w:r>
            <w:r w:rsidRPr="00396D06">
              <w:rPr>
                <w:rFonts w:ascii="Times New Roman" w:hAnsi="Times New Roman" w:cs="Times New Roman"/>
                <w:noProof/>
                <w:webHidden/>
              </w:rPr>
            </w:r>
            <w:r w:rsidRPr="00396D06">
              <w:rPr>
                <w:rFonts w:ascii="Times New Roman" w:hAnsi="Times New Roman" w:cs="Times New Roman"/>
                <w:noProof/>
                <w:webHidden/>
              </w:rPr>
              <w:fldChar w:fldCharType="separate"/>
            </w:r>
            <w:r w:rsidRPr="00396D06">
              <w:rPr>
                <w:rFonts w:ascii="Times New Roman" w:hAnsi="Times New Roman" w:cs="Times New Roman"/>
                <w:noProof/>
                <w:webHidden/>
              </w:rPr>
              <w:t>18</w:t>
            </w:r>
            <w:r w:rsidRPr="00396D06">
              <w:rPr>
                <w:rFonts w:ascii="Times New Roman" w:hAnsi="Times New Roman" w:cs="Times New Roman"/>
                <w:noProof/>
                <w:webHidden/>
              </w:rPr>
              <w:fldChar w:fldCharType="end"/>
            </w:r>
          </w:hyperlink>
          <w:r w:rsidR="00FF6360" w:rsidRPr="00396D06">
            <w:rPr>
              <w:rFonts w:ascii="Times New Roman" w:hAnsi="Times New Roman" w:cs="Times New Roman"/>
              <w:b/>
              <w:bCs/>
              <w:noProof/>
            </w:rPr>
            <w:fldChar w:fldCharType="end"/>
          </w:r>
        </w:p>
      </w:sdtContent>
    </w:sdt>
    <w:p w14:paraId="6A1E2960" w14:textId="0C913644" w:rsidR="006F560C" w:rsidRPr="00557FD5" w:rsidRDefault="006F560C" w:rsidP="006F560C">
      <w:pPr>
        <w:pStyle w:val="Heading1"/>
        <w:jc w:val="both"/>
      </w:pPr>
      <w:bookmarkStart w:id="2" w:name="_Toc116234664"/>
      <w:r>
        <w:lastRenderedPageBreak/>
        <w:t>Supplementary Table S</w:t>
      </w:r>
      <w:r w:rsidR="00064AD4">
        <w:t>T</w:t>
      </w:r>
      <w:r w:rsidR="00EF7013">
        <w:t>1</w:t>
      </w:r>
      <w:r>
        <w:t xml:space="preserve">. </w:t>
      </w:r>
      <w:r w:rsidR="00A81FA9" w:rsidRPr="00A81FA9">
        <w:rPr>
          <w:b w:val="0"/>
          <w:bCs w:val="0"/>
        </w:rPr>
        <w:t xml:space="preserve">Further </w:t>
      </w:r>
      <w:r w:rsidRPr="00A81FA9">
        <w:rPr>
          <w:b w:val="0"/>
          <w:bCs w:val="0"/>
        </w:rPr>
        <w:t>R</w:t>
      </w:r>
      <w:r>
        <w:rPr>
          <w:b w:val="0"/>
          <w:bCs w:val="0"/>
        </w:rPr>
        <w:t>eview of the</w:t>
      </w:r>
      <w:r w:rsidRPr="003E2C52">
        <w:rPr>
          <w:b w:val="0"/>
          <w:bCs w:val="0"/>
        </w:rPr>
        <w:t xml:space="preserve"> </w:t>
      </w:r>
      <w:r w:rsidR="00A170CC">
        <w:rPr>
          <w:b w:val="0"/>
          <w:bCs w:val="0"/>
        </w:rPr>
        <w:t>T2D pathophysiology in relation with the gut microbiome</w:t>
      </w:r>
      <w:r w:rsidRPr="003E2C52">
        <w:rPr>
          <w:b w:val="0"/>
          <w:bCs w:val="0"/>
        </w:rPr>
        <w:t>.</w:t>
      </w:r>
      <w:bookmarkEnd w:id="2"/>
    </w:p>
    <w:tbl>
      <w:tblPr>
        <w:tblStyle w:val="PlainTable2"/>
        <w:tblW w:w="0" w:type="auto"/>
        <w:tblCellMar>
          <w:top w:w="43" w:type="dxa"/>
          <w:bottom w:w="43" w:type="dxa"/>
        </w:tblCellMar>
        <w:tblLook w:val="04A0" w:firstRow="1" w:lastRow="0" w:firstColumn="1" w:lastColumn="0" w:noHBand="0" w:noVBand="1"/>
      </w:tblPr>
      <w:tblGrid>
        <w:gridCol w:w="2020"/>
        <w:gridCol w:w="10940"/>
      </w:tblGrid>
      <w:tr w:rsidR="00E734C9" w:rsidRPr="00B12579" w14:paraId="5D307C66" w14:textId="77777777" w:rsidTr="002665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D9D9" w:themeFill="background1" w:themeFillShade="D9"/>
          </w:tcPr>
          <w:p w14:paraId="22263BDE" w14:textId="1B24E56B" w:rsidR="006F560C" w:rsidRPr="00FA0605" w:rsidRDefault="00197A18" w:rsidP="00DF0416">
            <w:pPr>
              <w:tabs>
                <w:tab w:val="left" w:pos="6386"/>
              </w:tabs>
              <w:rPr>
                <w:rFonts w:ascii="Times New Roman" w:hAnsi="Times New Roman" w:cs="Times New Roman"/>
                <w:sz w:val="18"/>
                <w:szCs w:val="18"/>
              </w:rPr>
            </w:pPr>
            <w:r w:rsidRPr="00FA0605">
              <w:rPr>
                <w:rFonts w:ascii="Times New Roman" w:hAnsi="Times New Roman" w:cs="Times New Roman"/>
                <w:sz w:val="18"/>
                <w:szCs w:val="18"/>
              </w:rPr>
              <w:t>Topic</w:t>
            </w:r>
          </w:p>
        </w:tc>
        <w:tc>
          <w:tcPr>
            <w:tcW w:w="0" w:type="auto"/>
            <w:shd w:val="clear" w:color="auto" w:fill="D9D9D9" w:themeFill="background1" w:themeFillShade="D9"/>
          </w:tcPr>
          <w:p w14:paraId="2FD36E05" w14:textId="7AAC22AA" w:rsidR="006F560C" w:rsidRPr="00FA0605" w:rsidRDefault="00197A18" w:rsidP="00DF0416">
            <w:pPr>
              <w:tabs>
                <w:tab w:val="left" w:pos="6386"/>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FA0605">
              <w:rPr>
                <w:rFonts w:ascii="Times New Roman" w:hAnsi="Times New Roman" w:cs="Times New Roman"/>
                <w:sz w:val="18"/>
                <w:szCs w:val="18"/>
              </w:rPr>
              <w:t>Review</w:t>
            </w:r>
          </w:p>
        </w:tc>
      </w:tr>
      <w:tr w:rsidR="00E734C9" w:rsidRPr="00B12579" w14:paraId="1036C5C6" w14:textId="77777777" w:rsidTr="002665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282132F1" w14:textId="1DD47E57" w:rsidR="006F560C" w:rsidRPr="00FA0605" w:rsidRDefault="00345EC8" w:rsidP="00DF0416">
            <w:pPr>
              <w:tabs>
                <w:tab w:val="left" w:pos="6386"/>
              </w:tabs>
              <w:rPr>
                <w:rFonts w:ascii="Times New Roman" w:hAnsi="Times New Roman" w:cs="Times New Roman"/>
                <w:sz w:val="18"/>
                <w:szCs w:val="18"/>
              </w:rPr>
            </w:pPr>
            <w:r w:rsidRPr="00FA0605">
              <w:rPr>
                <w:rFonts w:ascii="Times New Roman" w:hAnsi="Times New Roman" w:cs="Times New Roman"/>
                <w:sz w:val="18"/>
                <w:szCs w:val="18"/>
              </w:rPr>
              <w:t>T2D patho</w:t>
            </w:r>
            <w:r w:rsidR="0014089E" w:rsidRPr="00FA0605">
              <w:rPr>
                <w:rFonts w:ascii="Times New Roman" w:hAnsi="Times New Roman" w:cs="Times New Roman"/>
                <w:sz w:val="18"/>
                <w:szCs w:val="18"/>
              </w:rPr>
              <w:t>logy</w:t>
            </w:r>
          </w:p>
        </w:tc>
        <w:tc>
          <w:tcPr>
            <w:tcW w:w="0" w:type="auto"/>
          </w:tcPr>
          <w:p w14:paraId="1CAC11E2" w14:textId="2336599D" w:rsidR="006F560C" w:rsidRPr="00FA0605" w:rsidRDefault="000D1AB8" w:rsidP="00DF0416">
            <w:pPr>
              <w:tabs>
                <w:tab w:val="left" w:pos="6386"/>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0D1AB8">
              <w:rPr>
                <w:rFonts w:ascii="Times New Roman" w:hAnsi="Times New Roman" w:cs="Times New Roman"/>
                <w:sz w:val="18"/>
                <w:szCs w:val="18"/>
                <w:lang w:val="en-GB"/>
              </w:rPr>
              <w:t xml:space="preserve">T2D reflects a dysfunction in the pancreatic islet β-cells that secrete insulin. As the initial compensation of the high blood glucose levels remain ineffective, these β cells change in function and structure to compensate. Thus, homeostasis is difficult as the secreted levels of insulin is unable to reduce blood glucose levels, resulting in chronic </w:t>
            </w:r>
            <w:r w:rsidRPr="000D1AB8">
              <w:rPr>
                <w:rFonts w:ascii="Times New Roman" w:hAnsi="Times New Roman" w:cs="Times New Roman"/>
                <w:sz w:val="18"/>
                <w:szCs w:val="18"/>
              </w:rPr>
              <w:t>hyperglycemia</w:t>
            </w:r>
            <w:r w:rsidRPr="000D1AB8">
              <w:rPr>
                <w:rFonts w:ascii="Times New Roman" w:hAnsi="Times New Roman" w:cs="Times New Roman"/>
                <w:sz w:val="18"/>
                <w:szCs w:val="18"/>
                <w:lang w:val="en-GB"/>
              </w:rPr>
              <w:t xml:space="preserve">. Apart from this, adipocytes also stimulate insulin resistance. This is done by dysregulation of adipokines, a higher release of free fatty acids (FFAs) and other inflammatory pathways. These, along with a decrease in the number of incretins released (for example, glucagon-like peptide-1 or GLP-I) or resistance to incretins, hyperglucagonemia, increased reabsorption of glucose by the kidneys and abnormal gut microbiome may also contribute to the development of T2D </w:t>
            </w:r>
            <w:r w:rsidRPr="000D1AB8">
              <w:rPr>
                <w:rFonts w:ascii="Times New Roman" w:hAnsi="Times New Roman" w:cs="Times New Roman"/>
                <w:sz w:val="18"/>
                <w:szCs w:val="18"/>
                <w:lang w:val="en-GB"/>
              </w:rPr>
              <w:fldChar w:fldCharType="begin" w:fldLock="1"/>
            </w:r>
            <w:r w:rsidRPr="000D1AB8">
              <w:rPr>
                <w:rFonts w:ascii="Times New Roman" w:hAnsi="Times New Roman" w:cs="Times New Roman"/>
                <w:sz w:val="18"/>
                <w:szCs w:val="18"/>
                <w:lang w:val="en-GB"/>
              </w:rPr>
              <w:instrText>ADDIN CSL_CITATION {"citationItems":[{"id":"ITEM-1","itemData":{"author":[{"dropping-particle":"","family":"Goyal","given":"Rajeev","non-dropping-particle":"","parse-names":false,"suffix":""},{"dropping-particle":"","family":"Jialal","given":"Ishwarlal","non-dropping-particle":"","parse-names":false,"suffix":""}],"container-title":"Diabetes Mellitus Type 2","id":"ITEM-1","issued":{"date-parts":[["2020"]]},"title":"Diabetes Mellitus Type 2 - StatPearls - NCBI Bookshelf - BAB II","type":"article"},"uris":["http://www.mendeley.com/documents/?uuid=3d492722-6875-3f99-8d58-d7b97de6ed7d"]}],"mendeley":{"formattedCitation":"[1]","plainTextFormattedCitation":"[1]","previouslyFormattedCitation":"[1]"},"properties":{"noteIndex":0},"schema":"https://github.com/citation-style-language/schema/raw/master/csl-citation.json"}</w:instrText>
            </w:r>
            <w:r w:rsidRPr="000D1AB8">
              <w:rPr>
                <w:rFonts w:ascii="Times New Roman" w:hAnsi="Times New Roman" w:cs="Times New Roman"/>
                <w:sz w:val="18"/>
                <w:szCs w:val="18"/>
                <w:lang w:val="en-GB"/>
              </w:rPr>
              <w:fldChar w:fldCharType="separate"/>
            </w:r>
            <w:r w:rsidRPr="000D1AB8">
              <w:rPr>
                <w:rFonts w:ascii="Times New Roman" w:hAnsi="Times New Roman" w:cs="Times New Roman"/>
                <w:sz w:val="18"/>
                <w:szCs w:val="18"/>
                <w:lang w:val="en-GB"/>
              </w:rPr>
              <w:t>[1]</w:t>
            </w:r>
            <w:r w:rsidRPr="000D1AB8">
              <w:rPr>
                <w:rFonts w:ascii="Times New Roman" w:hAnsi="Times New Roman" w:cs="Times New Roman"/>
                <w:sz w:val="18"/>
                <w:szCs w:val="18"/>
                <w:lang w:val="en-GB"/>
              </w:rPr>
              <w:fldChar w:fldCharType="end"/>
            </w:r>
            <w:r w:rsidRPr="000D1AB8">
              <w:rPr>
                <w:rFonts w:ascii="Times New Roman" w:hAnsi="Times New Roman" w:cs="Times New Roman"/>
                <w:sz w:val="18"/>
                <w:szCs w:val="18"/>
                <w:lang w:val="en-GB"/>
              </w:rPr>
              <w:t xml:space="preserve">. </w:t>
            </w:r>
          </w:p>
        </w:tc>
      </w:tr>
      <w:tr w:rsidR="00E734C9" w:rsidRPr="00B12579" w14:paraId="2CBCA7F5" w14:textId="77777777" w:rsidTr="00266559">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204DF906" w14:textId="6D8DF3AE" w:rsidR="006F560C" w:rsidRPr="00FA0605" w:rsidRDefault="00E67EFF" w:rsidP="00DF0416">
            <w:pPr>
              <w:tabs>
                <w:tab w:val="left" w:pos="6386"/>
              </w:tabs>
              <w:rPr>
                <w:rFonts w:ascii="Times New Roman" w:hAnsi="Times New Roman" w:cs="Times New Roman"/>
                <w:sz w:val="18"/>
                <w:szCs w:val="18"/>
              </w:rPr>
            </w:pPr>
            <w:r w:rsidRPr="00FA0605">
              <w:rPr>
                <w:rFonts w:ascii="Times New Roman" w:hAnsi="Times New Roman" w:cs="Times New Roman"/>
                <w:sz w:val="18"/>
                <w:szCs w:val="18"/>
              </w:rPr>
              <w:t>Gut Microbiome and T2D</w:t>
            </w:r>
            <w:r w:rsidR="00E734C9" w:rsidRPr="00FA0605">
              <w:rPr>
                <w:rFonts w:ascii="Times New Roman" w:hAnsi="Times New Roman" w:cs="Times New Roman"/>
                <w:sz w:val="18"/>
                <w:szCs w:val="18"/>
              </w:rPr>
              <w:t xml:space="preserve"> pathophysiology</w:t>
            </w:r>
          </w:p>
        </w:tc>
        <w:tc>
          <w:tcPr>
            <w:tcW w:w="0" w:type="auto"/>
          </w:tcPr>
          <w:p w14:paraId="7370CC95" w14:textId="101BD8FF" w:rsidR="00885B5A" w:rsidRDefault="00885B5A" w:rsidP="00885B5A">
            <w:pPr>
              <w:tabs>
                <w:tab w:val="left" w:pos="6386"/>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885B5A">
              <w:rPr>
                <w:rFonts w:ascii="Times New Roman" w:hAnsi="Times New Roman" w:cs="Times New Roman"/>
                <w:sz w:val="18"/>
                <w:szCs w:val="18"/>
              </w:rPr>
              <w:t xml:space="preserve">The gut microbiome is an important factor that must be considered in T2D pathogenesis. The human gut harbors mainly six phyla: </w:t>
            </w:r>
            <w:r w:rsidRPr="00885B5A">
              <w:rPr>
                <w:rFonts w:ascii="Times New Roman" w:hAnsi="Times New Roman" w:cs="Times New Roman"/>
                <w:i/>
                <w:iCs/>
                <w:sz w:val="18"/>
                <w:szCs w:val="18"/>
              </w:rPr>
              <w:t>Bacteroidetes</w:t>
            </w:r>
            <w:r w:rsidRPr="00885B5A">
              <w:rPr>
                <w:rFonts w:ascii="Times New Roman" w:hAnsi="Times New Roman" w:cs="Times New Roman"/>
                <w:sz w:val="18"/>
                <w:szCs w:val="18"/>
              </w:rPr>
              <w:t xml:space="preserve">, </w:t>
            </w:r>
            <w:proofErr w:type="spellStart"/>
            <w:r w:rsidRPr="00885B5A">
              <w:rPr>
                <w:rFonts w:ascii="Times New Roman" w:hAnsi="Times New Roman" w:cs="Times New Roman"/>
                <w:i/>
                <w:iCs/>
                <w:sz w:val="18"/>
                <w:szCs w:val="18"/>
              </w:rPr>
              <w:t>Verrucomicrobia</w:t>
            </w:r>
            <w:proofErr w:type="spellEnd"/>
            <w:r w:rsidRPr="00885B5A">
              <w:rPr>
                <w:rFonts w:ascii="Times New Roman" w:hAnsi="Times New Roman" w:cs="Times New Roman"/>
                <w:sz w:val="18"/>
                <w:szCs w:val="18"/>
              </w:rPr>
              <w:t xml:space="preserve">, </w:t>
            </w:r>
            <w:r w:rsidRPr="00885B5A">
              <w:rPr>
                <w:rFonts w:ascii="Times New Roman" w:hAnsi="Times New Roman" w:cs="Times New Roman"/>
                <w:i/>
                <w:iCs/>
                <w:sz w:val="18"/>
                <w:szCs w:val="18"/>
              </w:rPr>
              <w:t>Actinobacteria</w:t>
            </w:r>
            <w:r w:rsidRPr="00885B5A">
              <w:rPr>
                <w:rFonts w:ascii="Times New Roman" w:hAnsi="Times New Roman" w:cs="Times New Roman"/>
                <w:sz w:val="18"/>
                <w:szCs w:val="18"/>
              </w:rPr>
              <w:t>, </w:t>
            </w:r>
            <w:r w:rsidRPr="00885B5A">
              <w:rPr>
                <w:rFonts w:ascii="Times New Roman" w:hAnsi="Times New Roman" w:cs="Times New Roman"/>
                <w:i/>
                <w:iCs/>
                <w:sz w:val="18"/>
                <w:szCs w:val="18"/>
              </w:rPr>
              <w:t>Fusobacteria</w:t>
            </w:r>
            <w:r w:rsidRPr="00885B5A">
              <w:rPr>
                <w:rFonts w:ascii="Times New Roman" w:hAnsi="Times New Roman" w:cs="Times New Roman"/>
                <w:sz w:val="18"/>
                <w:szCs w:val="18"/>
              </w:rPr>
              <w:t>, </w:t>
            </w:r>
            <w:bookmarkStart w:id="3" w:name="_Hlk99123183"/>
            <w:r w:rsidRPr="00885B5A">
              <w:rPr>
                <w:rFonts w:ascii="Times New Roman" w:hAnsi="Times New Roman" w:cs="Times New Roman"/>
                <w:i/>
                <w:iCs/>
                <w:sz w:val="18"/>
                <w:szCs w:val="18"/>
              </w:rPr>
              <w:t>Bacteroidetes</w:t>
            </w:r>
            <w:bookmarkEnd w:id="3"/>
            <w:r w:rsidRPr="00885B5A">
              <w:rPr>
                <w:rFonts w:ascii="Times New Roman" w:hAnsi="Times New Roman" w:cs="Times New Roman"/>
                <w:i/>
                <w:iCs/>
                <w:sz w:val="18"/>
                <w:szCs w:val="18"/>
              </w:rPr>
              <w:t xml:space="preserve">, </w:t>
            </w:r>
            <w:r w:rsidRPr="00885B5A">
              <w:rPr>
                <w:rFonts w:ascii="Times New Roman" w:hAnsi="Times New Roman" w:cs="Times New Roman"/>
                <w:sz w:val="18"/>
                <w:szCs w:val="18"/>
              </w:rPr>
              <w:t xml:space="preserve">and </w:t>
            </w:r>
            <w:r w:rsidRPr="00885B5A">
              <w:rPr>
                <w:rFonts w:ascii="Times New Roman" w:hAnsi="Times New Roman" w:cs="Times New Roman"/>
                <w:i/>
                <w:iCs/>
                <w:sz w:val="18"/>
                <w:szCs w:val="18"/>
              </w:rPr>
              <w:t>Proteobacteria</w:t>
            </w:r>
            <w:r w:rsidRPr="00885B5A">
              <w:rPr>
                <w:rFonts w:ascii="Times New Roman" w:hAnsi="Times New Roman" w:cs="Times New Roman"/>
                <w:sz w:val="18"/>
                <w:szCs w:val="18"/>
              </w:rPr>
              <w:t xml:space="preserve">. </w:t>
            </w:r>
            <w:r w:rsidRPr="00885B5A">
              <w:rPr>
                <w:rFonts w:ascii="Times New Roman" w:hAnsi="Times New Roman" w:cs="Times New Roman"/>
                <w:i/>
                <w:iCs/>
                <w:sz w:val="18"/>
                <w:szCs w:val="18"/>
              </w:rPr>
              <w:t>Bacteroidetes</w:t>
            </w:r>
            <w:r w:rsidRPr="00885B5A">
              <w:rPr>
                <w:rFonts w:ascii="Times New Roman" w:hAnsi="Times New Roman" w:cs="Times New Roman"/>
                <w:sz w:val="18"/>
                <w:szCs w:val="18"/>
              </w:rPr>
              <w:t> consists of gram-negative bacteria while </w:t>
            </w:r>
            <w:r w:rsidRPr="00885B5A">
              <w:rPr>
                <w:rFonts w:ascii="Times New Roman" w:hAnsi="Times New Roman" w:cs="Times New Roman"/>
                <w:i/>
                <w:iCs/>
                <w:sz w:val="18"/>
                <w:szCs w:val="18"/>
              </w:rPr>
              <w:t>Firmicutes</w:t>
            </w:r>
            <w:r w:rsidRPr="00885B5A">
              <w:rPr>
                <w:rFonts w:ascii="Times New Roman" w:hAnsi="Times New Roman" w:cs="Times New Roman"/>
                <w:sz w:val="18"/>
                <w:szCs w:val="18"/>
              </w:rPr>
              <w:t xml:space="preserve"> consists of mainly gram-positive bacteria. Gut dysbiosis may increase risk of developing T2D. A correlation between a decrease of diversity of the microbiome and insulin resistance was also found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{"citationItems":[{"id":"ITEM-1","itemData":{"DOI":"10.1007/S13668-020-00307-3","ISSN":"21613311","PMID":"32157661","abstract":"Purpose of Review: An increasing body of evidence suggests that the gut microbiome influences the pathogenesis of insulin resistance and type 2 diabetes (T2D). In this review, we will discuss the latest findings regarding the mechanisms linking the gut microbiome and microbial metabolites with T2D and therapeutic approaches based on the gut microbiota for the prevention and treatment of T2D. Recent Findings: Alterations in the gut microbial composition are associated with the risk of T2D. The gut microbiota can metabolize dietary- and host-derived factors to produce numerous microbial metabolites, which are involved in metabolic processes modulating nutrition and energy harvest, gut barrier function, systemic inflammation, and glucose metabolism. Summary: Microbial metabolites are important mediators of microbial-host crosstalk impacting host glucose metabolism. Furthermore, microbiome-based interventions may have beneficial effects on glycemic control. Future research is required to develop personalized T2D therapy based on microbial composition and/or metabolites.","author":[{"dropping-particle":"","family":"Zhu","given":"Tiantian","non-dropping-particle":"","parse-names":false,"suffix":""},{"dropping-particle":"","family":"Goodarzi","given":"Mark O.","non-dropping-particle":"","parse-names":false,"suffix":""}],"container-title":"Current nutrition reports","id":"ITEM-1","issue":"2","issued":{"date-parts":[["2020","6","1"]]},"page":"83","publisher":"NIH Public Access","title":"Metabolites Linking the Gut Microbiome with Risk for Type 2 Diabetes","type":"article-journal","volume":"9"},"uris":["http://www.mendeley.com/documents/?uuid=9ff22c21-ff83-30d0-9435-c49c903460eb"]}],"mendeley":{"formattedCitation":"[2]","plainTextFormattedCitation":"[2]","previouslyFormattedCitation":"[123]"},"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[2]</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xml:space="preserve">. With respect to T2D, </w:t>
            </w:r>
            <w:r w:rsidRPr="00885B5A">
              <w:rPr>
                <w:rFonts w:ascii="Times New Roman" w:hAnsi="Times New Roman" w:cs="Times New Roman"/>
                <w:i/>
                <w:iCs/>
                <w:sz w:val="18"/>
                <w:szCs w:val="18"/>
              </w:rPr>
              <w:t>Bifidobacterium</w:t>
            </w:r>
            <w:r w:rsidRPr="00885B5A">
              <w:rPr>
                <w:rFonts w:ascii="Times New Roman" w:hAnsi="Times New Roman" w:cs="Times New Roman"/>
                <w:sz w:val="18"/>
                <w:szCs w:val="18"/>
              </w:rPr>
              <w:t xml:space="preserve">, </w:t>
            </w:r>
            <w:proofErr w:type="spellStart"/>
            <w:r w:rsidRPr="00885B5A">
              <w:rPr>
                <w:rFonts w:ascii="Times New Roman" w:hAnsi="Times New Roman" w:cs="Times New Roman"/>
                <w:i/>
                <w:iCs/>
                <w:sz w:val="18"/>
                <w:szCs w:val="18"/>
              </w:rPr>
              <w:t>Akkermansia</w:t>
            </w:r>
            <w:proofErr w:type="spellEnd"/>
            <w:r w:rsidRPr="00885B5A">
              <w:rPr>
                <w:rFonts w:ascii="Times New Roman" w:hAnsi="Times New Roman" w:cs="Times New Roman"/>
                <w:sz w:val="18"/>
                <w:szCs w:val="18"/>
              </w:rPr>
              <w:t xml:space="preserve">, </w:t>
            </w:r>
            <w:proofErr w:type="spellStart"/>
            <w:r w:rsidRPr="00885B5A">
              <w:rPr>
                <w:rFonts w:ascii="Times New Roman" w:hAnsi="Times New Roman" w:cs="Times New Roman"/>
                <w:i/>
                <w:iCs/>
                <w:sz w:val="18"/>
                <w:szCs w:val="18"/>
              </w:rPr>
              <w:t>Roseburia</w:t>
            </w:r>
            <w:proofErr w:type="spellEnd"/>
            <w:r w:rsidRPr="00885B5A">
              <w:rPr>
                <w:rFonts w:ascii="Times New Roman" w:hAnsi="Times New Roman" w:cs="Times New Roman"/>
                <w:sz w:val="18"/>
                <w:szCs w:val="18"/>
              </w:rPr>
              <w:t xml:space="preserve"> and </w:t>
            </w:r>
            <w:r w:rsidRPr="00885B5A">
              <w:rPr>
                <w:rFonts w:ascii="Times New Roman" w:hAnsi="Times New Roman" w:cs="Times New Roman"/>
                <w:i/>
                <w:iCs/>
                <w:sz w:val="18"/>
                <w:szCs w:val="18"/>
              </w:rPr>
              <w:t>Faecalibacterium</w:t>
            </w:r>
            <w:r w:rsidRPr="00885B5A">
              <w:rPr>
                <w:rFonts w:ascii="Times New Roman" w:hAnsi="Times New Roman" w:cs="Times New Roman"/>
                <w:sz w:val="18"/>
                <w:szCs w:val="18"/>
              </w:rPr>
              <w:t xml:space="preserve"> showed a negative association, while </w:t>
            </w:r>
            <w:r w:rsidRPr="00885B5A">
              <w:rPr>
                <w:rFonts w:ascii="Times New Roman" w:hAnsi="Times New Roman" w:cs="Times New Roman"/>
                <w:i/>
                <w:iCs/>
                <w:sz w:val="18"/>
                <w:szCs w:val="18"/>
              </w:rPr>
              <w:t>Fusobacterium</w:t>
            </w:r>
            <w:r w:rsidRPr="00885B5A">
              <w:rPr>
                <w:rFonts w:ascii="Times New Roman" w:hAnsi="Times New Roman" w:cs="Times New Roman"/>
                <w:sz w:val="18"/>
                <w:szCs w:val="18"/>
              </w:rPr>
              <w:t>,</w:t>
            </w:r>
            <w:r w:rsidRPr="00885B5A">
              <w:rPr>
                <w:rFonts w:ascii="Times New Roman" w:hAnsi="Times New Roman" w:cs="Times New Roman"/>
                <w:i/>
                <w:iCs/>
                <w:sz w:val="18"/>
                <w:szCs w:val="18"/>
              </w:rPr>
              <w:t xml:space="preserve"> </w:t>
            </w:r>
            <w:proofErr w:type="spellStart"/>
            <w:r w:rsidRPr="00885B5A">
              <w:rPr>
                <w:rFonts w:ascii="Times New Roman" w:hAnsi="Times New Roman" w:cs="Times New Roman"/>
                <w:i/>
                <w:iCs/>
                <w:sz w:val="18"/>
                <w:szCs w:val="18"/>
              </w:rPr>
              <w:t>Blautia</w:t>
            </w:r>
            <w:proofErr w:type="spellEnd"/>
            <w:r w:rsidRPr="00885B5A">
              <w:rPr>
                <w:rFonts w:ascii="Times New Roman" w:hAnsi="Times New Roman" w:cs="Times New Roman"/>
                <w:sz w:val="18"/>
                <w:szCs w:val="18"/>
              </w:rPr>
              <w:t> and </w:t>
            </w:r>
            <w:proofErr w:type="spellStart"/>
            <w:r w:rsidRPr="00885B5A">
              <w:rPr>
                <w:rFonts w:ascii="Times New Roman" w:hAnsi="Times New Roman" w:cs="Times New Roman"/>
                <w:i/>
                <w:iCs/>
                <w:sz w:val="18"/>
                <w:szCs w:val="18"/>
              </w:rPr>
              <w:t>Ruminococcus</w:t>
            </w:r>
            <w:proofErr w:type="spellEnd"/>
            <w:r w:rsidRPr="00885B5A">
              <w:rPr>
                <w:rFonts w:ascii="Times New Roman" w:hAnsi="Times New Roman" w:cs="Times New Roman"/>
                <w:sz w:val="18"/>
                <w:szCs w:val="18"/>
              </w:rPr>
              <w:t xml:space="preserve"> were positively associated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{"citationItems":[{"id":"ITEM-1","itemData":{"DOI":"10.1016/J.EBIOM.2019.11.051","ISSN":"23523964","PMID":"31901868","abstract":"A substantial body of literature has provided evidence for the role of gut microbiota in metabolic diseases including type 2 diabetes. However, reports vary regarding the association of particular taxonomic groups with disease. In this systematic review, we focused on the potential role of different bacterial taxa affecting diabetes. We have summarized evidence from 42 human studies reporting microbial associations with disease, and have identified supporting preclinical studies or clinical trials using treatments with probiotics. Among the commonly reported findings, the genera of Bifidobacterium, Bacteroides, Faecalibacterium, Akkermansia and Roseburia were negatively associated with T2D, while the genera of Ruminococcus, Fusobacterium, and Blautia were positively associated with T2D. We also discussed potential molecular mechanisms of microbiota effects in the onset and progression of T2D.","author":[{"dropping-particle":"","family":"Gurung","given":"Manoj","non-dropping-particle":"","parse-names":false,"suffix":""},{"dropping-particle":"","family":"Li","given":"Zhipeng","non-dropping-particle":"","parse-names":false,"suffix":""},{"dropping-particle":"","family":"You","given":"Hannah","non-dropping-particle":"","parse-names":false,"suffix":""},{"dropping-particle":"","family":"Rodrigues","given":"Richard","non-dropping-particle":"","parse-names":false,"suffix":""},{"dropping-particle":"","family":"Jump","given":"Donald B.","non-dropping-particle":"","parse-names":false,"suffix":""},{"dropping-particle":"","family":"Morgun","given":"Andrey","non-dropping-particle":"","parse-names":false,"suffix":""},{"dropping-particle":"","family":"Shulzhenko","given":"Natalia","non-dropping-particle":"","parse-names":false,"suffix":""}],"container-title":"EBioMedicine","id":"ITEM-1","issued":{"date-parts":[["2020","1","1"]]},"page":"102590","publisher":"Elsevier","title":"Role of gut microbiota in type 2 diabetes pathophysiology","type":"article-journal","volume":"51"},"uris":["http://www.mendeley.com/documents/?uuid=f7ccba9b-da41-3433-873b-423055d45113"]}],"mendeley":{"formattedCitation":"[3]","plainTextFormattedCitation":"[3]","previouslyFormattedCitation":"[124]"},"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[3]</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xml:space="preserve">. Additionally, the movement of gram-negative bacteria like </w:t>
            </w:r>
            <w:r w:rsidRPr="00885B5A">
              <w:rPr>
                <w:rFonts w:ascii="Times New Roman" w:hAnsi="Times New Roman" w:cs="Times New Roman"/>
                <w:i/>
                <w:iCs/>
                <w:sz w:val="18"/>
                <w:szCs w:val="18"/>
              </w:rPr>
              <w:t>Proteobacteria</w:t>
            </w:r>
            <w:r w:rsidRPr="00885B5A">
              <w:rPr>
                <w:rFonts w:ascii="Times New Roman" w:hAnsi="Times New Roman" w:cs="Times New Roman"/>
                <w:sz w:val="18"/>
                <w:szCs w:val="18"/>
              </w:rPr>
              <w:t xml:space="preserve"> from the intestine into the tissues also signals to the development of T2D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{"citationItems":[{"id":"ITEM-1","itemData":{"DOI":"10.1007/S13668-020-00307-3","ISSN":"21613311","PMID":"32157661","abstract":"Purpose of Review: An increasing body of evidence suggests that the gut microbiome influences the pathogenesis of insulin resistance and type 2 diabetes (T2D). In this review, we will discuss the latest findings regarding the mechanisms linking the gut microbiome and microbial metabolites with T2D and therapeutic approaches based on the gut microbiota for the prevention and treatment of T2D. Recent Findings: Alterations in the gut microbial composition are associated with the risk of T2D. The gut microbiota can metabolize dietary- and host-derived factors to produce numerous microbial metabolites, which are involved in metabolic processes modulating nutrition and energy harvest, gut barrier function, systemic inflammation, and glucose metabolism. Summary: Microbial metabolites are important mediators of microbial-host crosstalk impacting host glucose metabolism. Furthermore, microbiome-based interventions may have beneficial effects on glycemic control. Future research is required to develop personalized T2D therapy based on microbial composition and/or metabolites.","author":[{"dropping-particle":"","family":"Zhu","given":"Tiantian","non-dropping-particle":"","parse-names":false,"suffix":""},{"dropping-particle":"","family":"Goodarzi","given":"Mark O.","non-dropping-particle":"","parse-names":false,"suffix":""}],"container-title":"Current nutrition reports","id":"ITEM-1","issue":"2","issued":{"date-parts":[["2020","6","1"]]},"page":"83","publisher":"NIH Public Access","title":"Metabolites Linking the Gut Microbiome with Risk for Type 2 Diabetes","type":"article-journal","volume":"9"},"uris":["http://www.mendeley.com/documents/?uuid=9ff22c21-ff83-30d0-9435-c49c903460eb"]}],"mendeley":{"formattedCitation":"[2]","plainTextFormattedCitation":"[2]","previouslyFormattedCitation":"[123]"},"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[2]</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xml:space="preserve">.  The gut microbiota not only affects the pancreas, but also the liver, muscle, and other metabolic organs. </w:t>
            </w:r>
            <w:r w:rsidRPr="00885B5A">
              <w:rPr>
                <w:rFonts w:ascii="Times New Roman" w:hAnsi="Times New Roman" w:cs="Times New Roman"/>
                <w:i/>
                <w:iCs/>
                <w:sz w:val="18"/>
                <w:szCs w:val="18"/>
              </w:rPr>
              <w:t xml:space="preserve">Bifidobacterium lactis </w:t>
            </w:r>
            <w:r w:rsidRPr="00885B5A">
              <w:rPr>
                <w:rFonts w:ascii="Times New Roman" w:hAnsi="Times New Roman" w:cs="Times New Roman"/>
                <w:sz w:val="18"/>
                <w:szCs w:val="18"/>
              </w:rPr>
              <w:t xml:space="preserve">increases the synthesis of glycogen and represses the genes associated with gluconeogenesis in the liver. It also enhances the movement of GLUT-4 (glucose transporter-4) to the surface of the cell, and thereby, increases glucose uptake. </w:t>
            </w:r>
            <w:r w:rsidRPr="00885B5A">
              <w:rPr>
                <w:rFonts w:ascii="Times New Roman" w:hAnsi="Times New Roman" w:cs="Times New Roman"/>
                <w:i/>
                <w:iCs/>
                <w:sz w:val="18"/>
                <w:szCs w:val="18"/>
              </w:rPr>
              <w:t>Lactobacillus gasseri</w:t>
            </w:r>
            <w:r w:rsidRPr="00885B5A">
              <w:rPr>
                <w:rFonts w:ascii="Times New Roman" w:hAnsi="Times New Roman" w:cs="Times New Roman"/>
                <w:sz w:val="18"/>
                <w:szCs w:val="18"/>
              </w:rPr>
              <w:t xml:space="preserve"> BNR17 also does the same in muscles. </w:t>
            </w:r>
            <w:proofErr w:type="spellStart"/>
            <w:r w:rsidRPr="00885B5A">
              <w:rPr>
                <w:rFonts w:ascii="Times New Roman" w:hAnsi="Times New Roman" w:cs="Times New Roman"/>
                <w:i/>
                <w:iCs/>
                <w:sz w:val="18"/>
                <w:szCs w:val="18"/>
              </w:rPr>
              <w:t>Akkermansia</w:t>
            </w:r>
            <w:proofErr w:type="spellEnd"/>
            <w:r w:rsidRPr="00885B5A">
              <w:rPr>
                <w:rFonts w:ascii="Times New Roman" w:hAnsi="Times New Roman" w:cs="Times New Roman"/>
                <w:i/>
                <w:iCs/>
                <w:sz w:val="18"/>
                <w:szCs w:val="18"/>
              </w:rPr>
              <w:t xml:space="preserve"> </w:t>
            </w:r>
            <w:proofErr w:type="spellStart"/>
            <w:r w:rsidRPr="00885B5A">
              <w:rPr>
                <w:rFonts w:ascii="Times New Roman" w:hAnsi="Times New Roman" w:cs="Times New Roman"/>
                <w:i/>
                <w:iCs/>
                <w:sz w:val="18"/>
                <w:szCs w:val="18"/>
              </w:rPr>
              <w:t>muciniphila</w:t>
            </w:r>
            <w:proofErr w:type="spellEnd"/>
            <w:r w:rsidRPr="00885B5A">
              <w:rPr>
                <w:rFonts w:ascii="Times New Roman" w:hAnsi="Times New Roman" w:cs="Times New Roman"/>
                <w:sz w:val="18"/>
                <w:szCs w:val="18"/>
              </w:rPr>
              <w:t> and </w:t>
            </w:r>
            <w:r w:rsidRPr="00885B5A">
              <w:rPr>
                <w:rFonts w:ascii="Times New Roman" w:hAnsi="Times New Roman" w:cs="Times New Roman"/>
                <w:i/>
                <w:iCs/>
                <w:sz w:val="18"/>
                <w:szCs w:val="18"/>
              </w:rPr>
              <w:t>Lactobacillus plantarum</w:t>
            </w:r>
            <w:r w:rsidRPr="00885B5A">
              <w:rPr>
                <w:rFonts w:ascii="Times New Roman" w:hAnsi="Times New Roman" w:cs="Times New Roman"/>
                <w:sz w:val="18"/>
                <w:szCs w:val="18"/>
              </w:rPr>
              <w:t xml:space="preserve"> were seen to prevent hyperglycemia in mice that were resistant to insulin by repressing the hepatic flavin monooxygenase 3. </w:t>
            </w:r>
            <w:r w:rsidRPr="00885B5A">
              <w:rPr>
                <w:rFonts w:ascii="Times New Roman" w:hAnsi="Times New Roman" w:cs="Times New Roman"/>
                <w:i/>
                <w:iCs/>
                <w:sz w:val="18"/>
                <w:szCs w:val="18"/>
              </w:rPr>
              <w:t xml:space="preserve">A. </w:t>
            </w:r>
            <w:proofErr w:type="spellStart"/>
            <w:r w:rsidRPr="00885B5A">
              <w:rPr>
                <w:rFonts w:ascii="Times New Roman" w:hAnsi="Times New Roman" w:cs="Times New Roman"/>
                <w:i/>
                <w:iCs/>
                <w:sz w:val="18"/>
                <w:szCs w:val="18"/>
              </w:rPr>
              <w:t>muciniphila</w:t>
            </w:r>
            <w:proofErr w:type="spellEnd"/>
            <w:r w:rsidRPr="00885B5A">
              <w:rPr>
                <w:rFonts w:ascii="Times New Roman" w:hAnsi="Times New Roman" w:cs="Times New Roman"/>
                <w:sz w:val="18"/>
                <w:szCs w:val="18"/>
              </w:rPr>
              <w:t xml:space="preserve"> also prevents carbohydrate breakdown, thus decreasing postprandial hyperglycemia. </w:t>
            </w:r>
            <w:r w:rsidRPr="00885B5A">
              <w:rPr>
                <w:rFonts w:ascii="Times New Roman" w:hAnsi="Times New Roman" w:cs="Times New Roman"/>
                <w:i/>
                <w:iCs/>
                <w:sz w:val="18"/>
                <w:szCs w:val="18"/>
              </w:rPr>
              <w:t>L. rhamnosus</w:t>
            </w:r>
            <w:r w:rsidRPr="00885B5A">
              <w:rPr>
                <w:rFonts w:ascii="Times New Roman" w:hAnsi="Times New Roman" w:cs="Times New Roman"/>
                <w:sz w:val="18"/>
                <w:szCs w:val="18"/>
              </w:rPr>
              <w:t xml:space="preserve">, that is a lactobacillus, improves sensitivity to insulin by increasing levels of adiponectin, an adipokine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{"citationItems":[{"id":"ITEM-1","itemData":{"DOI":"10.1016/J.EBIOM.2019.11.051","ISSN":"23523964","PMID":"31901868","abstract":"A substantial body of literature has provided evidence for the role of gut microbiota in metabolic diseases including type 2 diabetes. However, reports vary regarding the association of particular taxonomic groups with disease. In this systematic review, we focused on the potential role of different bacterial taxa affecting diabetes. We have summarized evidence from 42 human studies reporting microbial associations with disease, and have identified supporting preclinical studies or clinical trials using treatments with probiotics. Among the commonly reported findings, the genera of Bifidobacterium, Bacteroides, Faecalibacterium, Akkermansia and Roseburia were negatively associated with T2D, while the genera of Ruminococcus, Fusobacterium, and Blautia were positively associated with T2D. We also discussed potential molecular mechanisms of microbiota effects in the onset and progression of T2D.","author":[{"dropping-particle":"","family":"Gurung","given":"Manoj","non-dropping-particle":"","parse-names":false,"suffix":""},{"dropping-particle":"","family":"Li","given":"Zhipeng","non-dropping-particle":"","parse-names":false,"suffix":""},{"dropping-particle":"","family":"You","given":"Hannah","non-dropping-particle":"","parse-names":false,"suffix":""},{"dropping-particle":"","family":"Rodrigues","given":"Richard","non-dropping-particle":"","parse-names":false,"suffix":""},{"dropping-particle":"","family":"Jump","given":"Donald B.","non-dropping-particle":"","parse-names":false,"suffix":""},{"dropping-particle":"","family":"Morgun","given":"Andrey","non-dropping-particle":"","parse-names":false,"suffix":""},{"dropping-particle":"","family":"Shulzhenko","given":"Natalia","non-dropping-particle":"","parse-names":false,"suffix":""}],"container-title":"EBioMedicine","id":"ITEM-1","issued":{"date-parts":[["2020","1","1"]]},"page":"102590","publisher":"Elsevier","title":"Role of gut microbiota in type 2 diabetes pathophysiology","type":"article-journal","volume":"51"},"uris":["http://www.mendeley.com/documents/?uuid=f7ccba9b-da41-3433-873b-423055d45113"]}],"mendeley":{"formattedCitation":"[3]","plainTextFormattedCitation":"[3]","previouslyFormattedCitation":"[124]"},"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[3]</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xml:space="preserve">. </w:t>
            </w:r>
          </w:p>
          <w:p w14:paraId="176071A0" w14:textId="77777777" w:rsidR="00885B5A" w:rsidRPr="00885B5A" w:rsidRDefault="00885B5A" w:rsidP="00885B5A">
            <w:pPr>
              <w:tabs>
                <w:tab w:val="left" w:pos="6386"/>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p>
          <w:p w14:paraId="6A572894" w14:textId="49655668" w:rsidR="006F560C" w:rsidRPr="00FA0605" w:rsidRDefault="00885B5A" w:rsidP="00885B5A">
            <w:pPr>
              <w:tabs>
                <w:tab w:val="left" w:pos="6386"/>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885B5A">
              <w:rPr>
                <w:rFonts w:ascii="Times New Roman" w:hAnsi="Times New Roman" w:cs="Times New Roman"/>
                <w:sz w:val="18"/>
                <w:szCs w:val="18"/>
              </w:rPr>
              <w:t xml:space="preserve">The gut microbiome also produces various products that also help in glucose homeostasis. For example, butyrate can bind to G-protein coupled receptors, GPCR41 and GPCR43 and stimulates the release of GLP-1 and GLP-2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{"citationItems":[{"id":"ITEM-1","itemData":{"DOI":"10.1016/J.EBIOM.2019.11.051","ISSN":"23523964","PMID":"31901868","abstract":"A substantial body of literature has provided evidence for the role of gut microbiota in metabolic diseases including type 2 diabetes. However, reports vary regarding the association of particular taxonomic groups with disease. In this systematic review, we focused on the potential role of different bacterial taxa affecting diabetes. We have summarized evidence from 42 human studies reporting microbial associations with disease, and have identified supporting preclinical studies or clinical trials using treatments with probiotics. Among the commonly reported findings, the genera of Bifidobacterium, Bacteroides, Faecalibacterium, Akkermansia and Roseburia were negatively associated with T2D, while the genera of Ruminococcus, Fusobacterium, and Blautia were positively associated with T2D. We also discussed potential molecular mechanisms of microbiota effects in the onset and progression of T2D.","author":[{"dropping-particle":"","family":"Gurung","given":"Manoj","non-dropping-particle":"","parse-names":false,"suffix":""},{"dropping-particle":"","family":"Li","given":"Zhipeng","non-dropping-particle":"","parse-names":false,"suffix":""},{"dropping-particle":"","family":"You","given":"Hannah","non-dropping-particle":"","parse-names":false,"suffix":""},{"dropping-particle":"","family":"Rodrigues","given":"Richard","non-dropping-particle":"","parse-names":false,"suffix":""},{"dropping-particle":"","family":"Jump","given":"Donald B.","non-dropping-particle":"","parse-names":false,"suffix":""},{"dropping-particle":"","family":"Morgun","given":"Andrey","non-dropping-particle":"","parse-names":false,"suffix":""},{"dropping-particle":"","family":"Shulzhenko","given":"Natalia","non-dropping-particle":"","parse-names":false,"suffix":""}],"container-title":"EBioMedicine","id":"ITEM-1","issued":{"date-parts":[["2020","1","1"]]},"page":"102590","publisher":"Elsevier","title":"Role of gut microbiota in type 2 diabetes pathophysiology","type":"article-journal","volume":"51"},"uris":["http://www.mendeley.com/documents/?uuid=f7ccba9b-da41-3433-873b-423055d45113"]}],"mendeley":{"formattedCitation":"[3]","plainTextFormattedCitation":"[3]","previouslyFormattedCitation":"[124]"},"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[3]</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xml:space="preserve">. Short chain fatty acids (SCFA), another product also has the same effect as butyrate. The release of GLP-1 enhanced the secretion of insulin, along with inhibiting the secreting of glucagon. GPCR43 activated due to SCFA binding, inhibits the insulin signaling in adipocytes. However, excessive activation of the receptor resulted in increase in systemic insulin sensitivity. Additionally, SCFA itself activates gluconeogenesis in the intestine. Also, butyrate inhibits the enzyme histone deacetylase. This is seen to stimulate the growth and differentiation and enhance the function, along with inhibit cell death, of pancreatic β-cells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{"citationItems":[{"id":"ITEM-1","itemData":{"DOI":"10.1007/S13668-020-00307-3","ISSN":"21613311","PMID":"32157661","abstract":"Purpose of Review: An increasing body of evidence suggests that the gut microbiome influences the pathogenesis of insulin resistance and type 2 diabetes (T2D). In this review, we will discuss the latest findings regarding the mechanisms linking the gut microbiome and microbial metabolites with T2D and therapeutic approaches based on the gut microbiota for the prevention and treatment of T2D. Recent Findings: Alterations in the gut microbial composition are associated with the risk of T2D. The gut microbiota can metabolize dietary- and host-derived factors to produce numerous microbial metabolites, which are involved in metabolic processes modulating nutrition and energy harvest, gut barrier function, systemic inflammation, and glucose metabolism. Summary: Microbial metabolites are important mediators of microbial-host crosstalk impacting host glucose metabolism. Furthermore, microbiome-based interventions may have beneficial effects on glycemic control. Future research is required to develop personalized T2D therapy based on microbial composition and/or metabolites.","author":[{"dropping-particle":"","family":"Zhu","given":"Tiantian","non-dropping-particle":"","parse-names":false,"suffix":""},{"dropping-particle":"","family":"Goodarzi","given":"Mark O.","non-dropping-particle":"","parse-names":false,"suffix":""}],"container-title":"Current nutrition reports","id":"ITEM-1","issue":"2","issued":{"date-parts":[["2020","6","1"]]},"page":"83","publisher":"NIH Public Access","title":"Metabolites Linking the Gut Microbiome with Risk for Type 2 Diabetes","type":"article-journal","volume":"9"},"uris":["http://www.mendeley.com/documents/?uuid=9ff22c21-ff83-30d0-9435-c49c903460eb"]}],"mendeley":{"formattedCitation":"[2]","plainTextFormattedCitation":"[2]","previouslyFormattedCitation":"[123]"},"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[2]</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xml:space="preserve">. </w:t>
            </w:r>
            <w:r w:rsidRPr="00885B5A">
              <w:rPr>
                <w:rFonts w:ascii="Times New Roman" w:hAnsi="Times New Roman" w:cs="Times New Roman"/>
                <w:i/>
                <w:iCs/>
                <w:sz w:val="18"/>
                <w:szCs w:val="18"/>
              </w:rPr>
              <w:t>Bifidobacterium</w:t>
            </w:r>
            <w:r w:rsidRPr="00885B5A">
              <w:rPr>
                <w:rFonts w:ascii="Times New Roman" w:hAnsi="Times New Roman" w:cs="Times New Roman"/>
                <w:sz w:val="18"/>
                <w:szCs w:val="18"/>
              </w:rPr>
              <w:t> and </w:t>
            </w:r>
            <w:r w:rsidRPr="00885B5A">
              <w:rPr>
                <w:rFonts w:ascii="Times New Roman" w:hAnsi="Times New Roman" w:cs="Times New Roman"/>
                <w:i/>
                <w:iCs/>
                <w:sz w:val="18"/>
                <w:szCs w:val="18"/>
              </w:rPr>
              <w:t>Lactobacillus</w:t>
            </w:r>
            <w:r w:rsidRPr="00885B5A">
              <w:rPr>
                <w:rFonts w:ascii="Times New Roman" w:hAnsi="Times New Roman" w:cs="Times New Roman"/>
                <w:sz w:val="18"/>
                <w:szCs w:val="18"/>
              </w:rPr>
              <w:t xml:space="preserve"> can convert primary conjugated bile salts to bile acids that are deconjugated by producing bile salt hydrolases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{"citationItems":[{"id":"ITEM-1","itemData":{"DOI":"10.1016/J.EBIOM.2019.11.051","ISSN":"23523964","PMID":"31901868","abstract":"A substantial body of literature has provided evidence for the role of gut microbiota in metabolic diseases including type 2 diabetes. However, reports vary regarding the association of particular taxonomic groups with disease. In this systematic review, we focused on the potential role of different bacterial taxa affecting diabetes. We have summarized evidence from 42 human studies reporting microbial associations with disease, and have identified supporting preclinical studies or clinical trials using treatments with probiotics. Among the commonly reported findings, the genera of Bifidobacterium, Bacteroides, Faecalibacterium, Akkermansia and Roseburia were negatively associated with T2D, while the genera of Ruminococcus, Fusobacterium, and Blautia were positively associated with T2D. We also discussed potential molecular mechanisms of microbiota effects in the onset and progression of T2D.","author":[{"dropping-particle":"","family":"Gurung","given":"Manoj","non-dropping-particle":"","parse-names":false,"suffix":""},{"dropping-particle":"","family":"Li","given":"Zhipeng","non-dropping-particle":"","parse-names":false,"suffix":""},{"dropping-particle":"","family":"You","given":"Hannah","non-dropping-particle":"","parse-names":false,"suffix":""},{"dropping-particle":"","family":"Rodrigues","given":"Richard","non-dropping-particle":"","parse-names":false,"suffix":""},{"dropping-particle":"","family":"Jump","given":"Donald B.","non-dropping-particle":"","parse-names":false,"suffix":""},{"dropping-particle":"","family":"Morgun","given":"Andrey","non-dropping-particle":"","parse-names":false,"suffix":""},{"dropping-particle":"","family":"Shulzhenko","given":"Natalia","non-dropping-particle":"","parse-names":false,"suffix":""}],"container-title":"EBioMedicine","id":"ITEM-1","issued":{"date-parts":[["2020","1","1"]]},"page":"102590","publisher":"Elsevier","title":"Role of gut microbiota in type 2 diabetes pathophysiology","type":"article-journal","volume":"51"},"uris":["http://www.mendeley.com/documents/?uuid=f7ccba9b-da41-3433-873b-423055d45113"]}],"mendeley":{"formattedCitation":"[3]","plainTextFormattedCitation":"[3]","previouslyFormattedCitation":"[124]"},"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[3]</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xml:space="preserve">. These bile acids bind to the nuclear </w:t>
            </w:r>
            <w:proofErr w:type="spellStart"/>
            <w:r w:rsidRPr="00885B5A">
              <w:rPr>
                <w:rFonts w:ascii="Times New Roman" w:hAnsi="Times New Roman" w:cs="Times New Roman"/>
                <w:sz w:val="18"/>
                <w:szCs w:val="18"/>
              </w:rPr>
              <w:t>farnesoid</w:t>
            </w:r>
            <w:proofErr w:type="spellEnd"/>
            <w:r w:rsidRPr="00885B5A">
              <w:rPr>
                <w:rFonts w:ascii="Times New Roman" w:hAnsi="Times New Roman" w:cs="Times New Roman"/>
                <w:sz w:val="18"/>
                <w:szCs w:val="18"/>
              </w:rPr>
              <w:t xml:space="preserve"> X receptor and G-protein coupled bile acid receptor-1 to release GLP-1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{"citationItems":[{"id":"ITEM-1","itemData":{"DOI":"10.1016/J.EBIOM.2019.11.051","ISSN":"23523964","PMID":"31901868","abstract":"A substantial body of literature has provided evidence for the role of gut microbiota in metabolic diseases including type 2 diabetes. However, reports vary regarding the association of particular taxonomic groups with disease. In this systematic review, we focused on the potential role of different bacterial taxa affecting diabetes. We have summarized evidence from 42 human studies reporting microbial associations with disease, and have identified supporting preclinical studies or clinical trials using treatments with probiotics. Among the commonly reported findings, the genera of Bifidobacterium, Bacteroides, Faecalibacterium, Akkermansia and Roseburia were negatively associated with T2D, while the genera of Ruminococcus, Fusobacterium, and Blautia were positively associated with T2D. We also discussed potential molecular mechanisms of microbiota effects in the onset and progression of T2D.","author":[{"dropping-particle":"","family":"Gurung","given":"Manoj","non-dropping-particle":"","parse-names":false,"suffix":""},{"dropping-particle":"","family":"Li","given":"Zhipeng","non-dropping-particle":"","parse-names":false,"suffix":""},{"dropping-particle":"","family":"You","given":"Hannah","non-dropping-particle":"","parse-names":false,"suffix":""},{"dropping-particle":"","family":"Rodrigues","given":"Richard","non-dropping-particle":"","parse-names":false,"suffix":""},{"dropping-particle":"","family":"Jump","given":"Donald B.","non-dropping-particle":"","parse-names":false,"suffix":""},{"dropping-particle":"","family":"Morgun","given":"Andrey","non-dropping-particle":"","parse-names":false,"suffix":""},{"dropping-particle":"","family":"Shulzhenko","given":"Natalia","non-dropping-particle":"","parse-names":false,"suffix":""}],"container-title":"EBioMedicine","id":"ITEM-1","issued":{"date-parts":[["2020","1","1"]]},"page":"102590","publisher":"Elsevier","title":"Role of gut microbiota in type 2 diabetes pathophysiology","type":"article-journal","volume":"51"},"uris":["http://www.mendeley.com/documents/?uuid=f7ccba9b-da41-3433-873b-423055d45113"]},{"id":"ITEM-2","itemData":{"DOI":"10.1007/S13668-020-00307-3","ISSN":"21613311","PMID":"32157661","abstract":"Purpose of Review: An increasing body of evidence suggests that the gut microbiome influences the pathogenesis of insulin resistance and type 2 diabetes (T2D). In this review, we will discuss the latest findings regarding the mechanisms linking the gut microbiome and microbial metabolites with T2D and therapeutic approaches based on the gut microbiota for the prevention and treatment of T2D. Recent Findings: Alterations in the gut microbial composition are associated with the risk of T2D. The gut microbiota can metabolize dietary- and host-derived factors to produce numerous microbial metabolites, which are involved in metabolic processes modulating nutrition and energy harvest, gut barrier function, systemic inflammation, and glucose metabolism. Summary: Microbial metabolites are important mediators of microbial-host crosstalk impacting host glucose metabolism. Furthermore, microbiome-based interventions may have beneficial effects on glycemic control. Future research is required to develop personalized T2D therapy based on microbial composition and/or metabolites.","author":[{"dropping-particle":"","family":"Zhu","given":"Tiantian","non-dropping-particle":"","parse-names":false,"suffix":""},{"dropping-particle":"","family":"Goodarzi","given":"Mark O.","non-dropping-particle":"","parse-names":false,"suffix":""}],"container-title":"Current nutrition reports","id":"ITEM-2","issue":"2","issued":{"date-parts":[["2020","6","1"]]},"page":"83","publisher":"NIH Public Access","title":"Metabolites Linking the Gut Microbiome with Risk for Type 2 Diabetes","type":"article-journal","volume":"9"},"uris":["http://www.mendeley.com/documents/?uuid=9ff22c21-ff83-30d0-9435-c49c903460eb"]}],"mendeley":{"formattedCitation":"[2,3]","plainTextFormattedCitation":"[2,3]","previouslyFormattedCitation":"[123,124]"},"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[2,3]</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xml:space="preserve">. Bile acids also increase glycogen synthesis while reducing the process of gluconeogenesis in the liver, along with increasing the secretion of insulin. On the other hand, the gut microbiome also synthesizes amino acids with branched chains (BCAA) like valine, leucine, and isoleucine. An increase in BCAA levels is correlated with insulin resistance, increasing the risk of developing T2D. there is also a positive association between BCAA levels in the plasma after fasting and HOMA-IR measures, which may help to diagnose a patient with T2D </w:t>
            </w:r>
            <w:r w:rsidRPr="00885B5A">
              <w:rPr>
                <w:rFonts w:ascii="Times New Roman" w:hAnsi="Times New Roman" w:cs="Times New Roman"/>
                <w:sz w:val="18"/>
                <w:szCs w:val="18"/>
              </w:rPr>
              <w:fldChar w:fldCharType="begin" w:fldLock="1"/>
            </w:r>
            <w:r w:rsidRPr="00885B5A">
              <w:rPr>
                <w:rFonts w:ascii="Times New Roman" w:hAnsi="Times New Roman" w:cs="Times New Roman"/>
                <w:sz w:val="18"/>
                <w:szCs w:val="18"/>
              </w:rPr>
              <w:instrText>ADDIN CSL_CITATION {"citationItems":[{"id":"ITEM-1","itemData":{"DOI":"10.1007/S13668-020-00307-3","ISSN":"21613311","PMID":"32157661","abstract":"Purpose of Review: An increasing body of evidence suggests that the gut microbiome influences the pathogenesis of insulin resistance and type 2 diabetes (T2D). In this review, we will discuss the latest findings regarding the mechanisms linking the gut microbiome and microbial metabolites with T2D and therapeutic approaches based on the gut microbiota for the prevention and treatment of T2D. Recent Findings: Alterations in the gut microbial composition are associated with the risk of T2D. The gut microbiota can metabolize dietary- and host-derived factors to produce numerous microbial metabolites, which are involved in metabolic processes modulating nutrition and energy harvest, gut barrier function, systemic inflammation, and glucose metabolism. Summary: Microbial metabolites are important mediators of microbial-host crosstalk impacting host glucose metabolism. Furthermore, microbiome-based interventions may have beneficial effects on glycemic control. Future research is required to develop personalized T2D therapy based on microbial composition and/or metabolites.","author":[{"dropping-particle":"","family":"Zhu","given":"Tiantian","non-dropping-particle":"","parse-names":false,"suffix":""},{"dropping-particle":"","family":"Goodarzi","given":"Mark O.","non-dropping-particle":"","parse-names":false,"suffix":""}],"container-title":"Current nutrition reports","id":"ITEM-1","issue":"2","issued":{"date-parts":[["2020","6","1"]]},"page":"83","publisher":"NIH Public Access","title":"Metabolites Linking the Gut Microbiome with Risk for Type 2 Diabetes","type":"article-journal","volume":"9"},"uris":["http://www.mendeley.com/documents/?uuid=9ff22c21-ff83-30d0-9435-c49c903460eb"]}],"mendeley":{"formattedCitation":"[2]","plainTextFormattedCitation":"[2]","previouslyFormattedCitation":"[123]"},"properties":{"noteIndex":0},"schema":"https://github.com/citation-style-language/schema/raw/master/csl-citation.json"}</w:instrText>
            </w:r>
            <w:r w:rsidRPr="00885B5A">
              <w:rPr>
                <w:rFonts w:ascii="Times New Roman" w:hAnsi="Times New Roman" w:cs="Times New Roman"/>
                <w:sz w:val="18"/>
                <w:szCs w:val="18"/>
              </w:rPr>
              <w:fldChar w:fldCharType="separate"/>
            </w:r>
            <w:r w:rsidRPr="00885B5A">
              <w:rPr>
                <w:rFonts w:ascii="Times New Roman" w:hAnsi="Times New Roman" w:cs="Times New Roman"/>
                <w:sz w:val="18"/>
                <w:szCs w:val="18"/>
              </w:rPr>
              <w:t>[2]</w:t>
            </w:r>
            <w:r w:rsidRPr="00885B5A">
              <w:rPr>
                <w:rFonts w:ascii="Times New Roman" w:hAnsi="Times New Roman" w:cs="Times New Roman"/>
                <w:sz w:val="18"/>
                <w:szCs w:val="18"/>
              </w:rPr>
              <w:fldChar w:fldCharType="end"/>
            </w:r>
            <w:r w:rsidRPr="00885B5A">
              <w:rPr>
                <w:rFonts w:ascii="Times New Roman" w:hAnsi="Times New Roman" w:cs="Times New Roman"/>
                <w:sz w:val="18"/>
                <w:szCs w:val="18"/>
              </w:rPr>
              <w:t>. Therefore, it is essential to maintain a balance of the gut microbiome.</w:t>
            </w:r>
          </w:p>
        </w:tc>
      </w:tr>
    </w:tbl>
    <w:p w14:paraId="7FDB05E6" w14:textId="77777777" w:rsidR="00FA0605" w:rsidRDefault="00FA0605" w:rsidP="00901AD5">
      <w:pPr>
        <w:pStyle w:val="Heading1"/>
        <w:jc w:val="both"/>
      </w:pPr>
    </w:p>
    <w:p w14:paraId="55C022FC" w14:textId="77777777" w:rsidR="00FA0605" w:rsidRDefault="00FA0605">
      <w:pPr>
        <w:rPr>
          <w:rFonts w:ascii="Times New Roman" w:hAnsi="Times New Roman" w:cs="Times New Roman"/>
          <w:b/>
          <w:bCs/>
          <w:sz w:val="24"/>
          <w:szCs w:val="24"/>
        </w:rPr>
      </w:pPr>
      <w:r>
        <w:br w:type="page"/>
      </w:r>
    </w:p>
    <w:p w14:paraId="3FDDE8B5" w14:textId="107E3B93" w:rsidR="00901AD5" w:rsidRPr="00557FD5" w:rsidRDefault="00901AD5" w:rsidP="00901AD5">
      <w:pPr>
        <w:pStyle w:val="Heading1"/>
        <w:jc w:val="both"/>
      </w:pPr>
      <w:bookmarkStart w:id="4" w:name="_Toc116234665"/>
      <w:r>
        <w:lastRenderedPageBreak/>
        <w:t>Supplementary Table S</w:t>
      </w:r>
      <w:r w:rsidR="00064AD4">
        <w:t>T</w:t>
      </w:r>
      <w:r>
        <w:t xml:space="preserve">2. </w:t>
      </w:r>
      <w:r>
        <w:rPr>
          <w:b w:val="0"/>
          <w:bCs w:val="0"/>
        </w:rPr>
        <w:t>Review of the</w:t>
      </w:r>
      <w:r w:rsidRPr="003E2C52">
        <w:rPr>
          <w:b w:val="0"/>
          <w:bCs w:val="0"/>
        </w:rPr>
        <w:t xml:space="preserve"> </w:t>
      </w:r>
      <w:r>
        <w:rPr>
          <w:b w:val="0"/>
          <w:bCs w:val="0"/>
        </w:rPr>
        <w:t>v</w:t>
      </w:r>
      <w:r w:rsidRPr="003E2C52">
        <w:rPr>
          <w:b w:val="0"/>
          <w:bCs w:val="0"/>
        </w:rPr>
        <w:t xml:space="preserve">arious </w:t>
      </w:r>
      <w:r>
        <w:rPr>
          <w:b w:val="0"/>
          <w:bCs w:val="0"/>
        </w:rPr>
        <w:t>b</w:t>
      </w:r>
      <w:r w:rsidRPr="003E2C52">
        <w:rPr>
          <w:b w:val="0"/>
          <w:bCs w:val="0"/>
        </w:rPr>
        <w:t xml:space="preserve">iomarkers of </w:t>
      </w:r>
      <w:r>
        <w:rPr>
          <w:b w:val="0"/>
          <w:bCs w:val="0"/>
        </w:rPr>
        <w:t>g</w:t>
      </w:r>
      <w:r w:rsidRPr="003E2C52">
        <w:rPr>
          <w:b w:val="0"/>
          <w:bCs w:val="0"/>
        </w:rPr>
        <w:t xml:space="preserve">lycemia and </w:t>
      </w:r>
      <w:r>
        <w:rPr>
          <w:b w:val="0"/>
          <w:bCs w:val="0"/>
        </w:rPr>
        <w:t>i</w:t>
      </w:r>
      <w:r w:rsidRPr="003E2C52">
        <w:rPr>
          <w:b w:val="0"/>
          <w:bCs w:val="0"/>
        </w:rPr>
        <w:t xml:space="preserve">nsulinemia </w:t>
      </w:r>
      <w:r>
        <w:rPr>
          <w:b w:val="0"/>
          <w:bCs w:val="0"/>
        </w:rPr>
        <w:t>i</w:t>
      </w:r>
      <w:r w:rsidRPr="003E2C52">
        <w:rPr>
          <w:b w:val="0"/>
          <w:bCs w:val="0"/>
        </w:rPr>
        <w:t xml:space="preserve">nvestigated in the </w:t>
      </w:r>
      <w:r w:rsidR="00645981">
        <w:rPr>
          <w:b w:val="0"/>
          <w:bCs w:val="0"/>
        </w:rPr>
        <w:t>study</w:t>
      </w:r>
      <w:r w:rsidRPr="003E2C52">
        <w:rPr>
          <w:b w:val="0"/>
          <w:bCs w:val="0"/>
        </w:rPr>
        <w:t>.</w:t>
      </w:r>
      <w:bookmarkEnd w:id="4"/>
    </w:p>
    <w:tbl>
      <w:tblPr>
        <w:tblStyle w:val="PlainTable2"/>
        <w:tblW w:w="0" w:type="auto"/>
        <w:tblCellMar>
          <w:top w:w="43" w:type="dxa"/>
          <w:bottom w:w="43" w:type="dxa"/>
        </w:tblCellMar>
        <w:tblLook w:val="04A0" w:firstRow="1" w:lastRow="0" w:firstColumn="1" w:lastColumn="0" w:noHBand="0" w:noVBand="1"/>
      </w:tblPr>
      <w:tblGrid>
        <w:gridCol w:w="2138"/>
        <w:gridCol w:w="10822"/>
      </w:tblGrid>
      <w:tr w:rsidR="00901AD5" w:rsidRPr="00B12579" w14:paraId="226F5A22" w14:textId="77777777" w:rsidTr="007A069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D9D9" w:themeFill="background1" w:themeFillShade="D9"/>
          </w:tcPr>
          <w:p w14:paraId="3F354BEF" w14:textId="77777777" w:rsidR="00901AD5" w:rsidRPr="00FA0605" w:rsidRDefault="00901AD5" w:rsidP="00DF0416">
            <w:pPr>
              <w:tabs>
                <w:tab w:val="left" w:pos="6386"/>
              </w:tabs>
              <w:rPr>
                <w:rFonts w:ascii="Times New Roman" w:hAnsi="Times New Roman" w:cs="Times New Roman"/>
                <w:sz w:val="18"/>
                <w:szCs w:val="18"/>
              </w:rPr>
            </w:pPr>
            <w:r w:rsidRPr="00FA0605">
              <w:rPr>
                <w:rFonts w:ascii="Times New Roman" w:hAnsi="Times New Roman" w:cs="Times New Roman"/>
                <w:sz w:val="18"/>
                <w:szCs w:val="18"/>
              </w:rPr>
              <w:t>Biomarker</w:t>
            </w:r>
          </w:p>
        </w:tc>
        <w:tc>
          <w:tcPr>
            <w:tcW w:w="0" w:type="auto"/>
            <w:shd w:val="clear" w:color="auto" w:fill="D9D9D9" w:themeFill="background1" w:themeFillShade="D9"/>
          </w:tcPr>
          <w:p w14:paraId="7AAEE40A" w14:textId="77777777" w:rsidR="00901AD5" w:rsidRPr="00FA0605" w:rsidRDefault="00901AD5" w:rsidP="00DF0416">
            <w:pPr>
              <w:tabs>
                <w:tab w:val="left" w:pos="6386"/>
              </w:tabs>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FA0605">
              <w:rPr>
                <w:rFonts w:ascii="Times New Roman" w:hAnsi="Times New Roman" w:cs="Times New Roman"/>
                <w:sz w:val="18"/>
                <w:szCs w:val="18"/>
              </w:rPr>
              <w:t>Function/Explanation</w:t>
            </w:r>
          </w:p>
        </w:tc>
      </w:tr>
      <w:tr w:rsidR="003B206A" w:rsidRPr="00B12579" w14:paraId="208BC9B5" w14:textId="77777777" w:rsidTr="007A0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24E17FA1" w14:textId="77777777" w:rsidR="003B206A" w:rsidRPr="00FA0605" w:rsidRDefault="003B206A" w:rsidP="003B206A">
            <w:pPr>
              <w:tabs>
                <w:tab w:val="left" w:pos="6386"/>
              </w:tabs>
              <w:rPr>
                <w:rFonts w:ascii="Times New Roman" w:hAnsi="Times New Roman" w:cs="Times New Roman"/>
                <w:sz w:val="18"/>
                <w:szCs w:val="18"/>
              </w:rPr>
            </w:pPr>
            <w:r w:rsidRPr="00FA0605">
              <w:rPr>
                <w:rFonts w:ascii="Times New Roman" w:hAnsi="Times New Roman" w:cs="Times New Roman"/>
                <w:sz w:val="18"/>
                <w:szCs w:val="18"/>
              </w:rPr>
              <w:t>Fasting plasma glucose (FPG</w:t>
            </w:r>
            <w:r w:rsidRPr="00FA0605">
              <w:rPr>
                <w:rFonts w:ascii="Times New Roman" w:hAnsi="Times New Roman" w:cs="Times New Roman"/>
                <w:b w:val="0"/>
                <w:bCs w:val="0"/>
                <w:sz w:val="18"/>
                <w:szCs w:val="18"/>
              </w:rPr>
              <w:t>)</w:t>
            </w:r>
          </w:p>
        </w:tc>
        <w:tc>
          <w:tcPr>
            <w:tcW w:w="0" w:type="auto"/>
          </w:tcPr>
          <w:p w14:paraId="79E9FC95" w14:textId="7EB2EC6C" w:rsidR="003B206A" w:rsidRPr="00FA0605" w:rsidRDefault="003B206A" w:rsidP="003B206A">
            <w:pPr>
              <w:tabs>
                <w:tab w:val="left" w:pos="6386"/>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FA0605">
              <w:rPr>
                <w:rFonts w:ascii="Times New Roman" w:hAnsi="Times New Roman" w:cs="Times New Roman"/>
                <w:sz w:val="18"/>
                <w:szCs w:val="18"/>
              </w:rPr>
              <w:t>In order to diagnose, treat, manage, and prevent T2D, various biomarkers are used. An important biomarker is the</w:t>
            </w:r>
            <w:r w:rsidRPr="00FA0605">
              <w:rPr>
                <w:rFonts w:ascii="Times New Roman" w:eastAsia="Times New Roman" w:hAnsi="Times New Roman" w:cs="Times New Roman"/>
                <w:sz w:val="18"/>
                <w:szCs w:val="18"/>
              </w:rPr>
              <w:t xml:space="preserve"> level of glucose in the blood. </w:t>
            </w:r>
            <w:r w:rsidRPr="00FA0605">
              <w:rPr>
                <w:rFonts w:ascii="Times New Roman" w:hAnsi="Times New Roman" w:cs="Times New Roman"/>
                <w:sz w:val="18"/>
                <w:szCs w:val="18"/>
              </w:rPr>
              <w:t>H</w:t>
            </w:r>
            <w:r w:rsidRPr="00FA0605">
              <w:rPr>
                <w:rFonts w:ascii="Times New Roman" w:eastAsia="Times New Roman" w:hAnsi="Times New Roman" w:cs="Times New Roman"/>
                <w:sz w:val="18"/>
                <w:szCs w:val="18"/>
              </w:rPr>
              <w:t xml:space="preserve">igh </w:t>
            </w:r>
            <w:r w:rsidRPr="00FA0605">
              <w:rPr>
                <w:rFonts w:ascii="Times New Roman" w:hAnsi="Times New Roman" w:cs="Times New Roman"/>
                <w:sz w:val="18"/>
                <w:szCs w:val="18"/>
              </w:rPr>
              <w:t xml:space="preserve">blood </w:t>
            </w:r>
            <w:r w:rsidRPr="00FA0605">
              <w:rPr>
                <w:rFonts w:ascii="Times New Roman" w:eastAsia="Times New Roman" w:hAnsi="Times New Roman" w:cs="Times New Roman"/>
                <w:sz w:val="18"/>
                <w:szCs w:val="18"/>
              </w:rPr>
              <w:t>glucose</w:t>
            </w:r>
            <w:r w:rsidRPr="00FA0605">
              <w:rPr>
                <w:rFonts w:ascii="Times New Roman" w:hAnsi="Times New Roman" w:cs="Times New Roman"/>
                <w:sz w:val="18"/>
                <w:szCs w:val="18"/>
              </w:rPr>
              <w:t xml:space="preserve"> or hyperglycemia is an indication of insulin resistance or decreased secretion of insulin, which is seen in patients with T2D. Fasting plasma glucose (FPG) is the direct measure of glucose from the plasma/blood after a period of fasting for at least 8 hours </w:t>
            </w:r>
            <w:r w:rsidRPr="00FA0605">
              <w:rPr>
                <w:rFonts w:ascii="Times New Roman" w:hAnsi="Times New Roman" w:cs="Times New Roman"/>
                <w:sz w:val="18"/>
                <w:szCs w:val="18"/>
              </w:rPr>
              <w:fldChar w:fldCharType="begin" w:fldLock="1"/>
            </w:r>
            <w:r>
              <w:rPr>
                <w:rFonts w:ascii="Times New Roman" w:hAnsi="Times New Roman" w:cs="Times New Roman"/>
                <w:sz w:val="18"/>
                <w:szCs w:val="18"/>
              </w:rPr>
              <w:instrText>ADDIN CSL_CITATION {"citationItems":[{"id":"ITEM-1","itemData":{"DOI":"10.4239/wjd.v7.i14.279","ISSN":"1948-9358","PMID":"27525055","abstract":"Fasting plasma glucose (FPG) as a screening test for gestational diabetes mellitus (GDM) has had a checkered history. During the last three decades, a few initial anecdotal reports have given way to the recent well-conducted studies. This review: (1) traces the history; (2) weighs the advantages and disadvantages; (3) addresses the significance in early pregnancy; (4) underscores the benefits after delivery; and (5) emphasizes the cost savings of using the FPG in the screening of GDM. It also highlights the utility of fasting capillary glucose and stresses the value of the FPG in circumventing the cumbersome oral glucose tolerance test. An understanding of all the caveats is crucial to be able to use the FPG for investigating glucose intolerance in pregnancy. Thus, all health professionals can use the patient-friendly FPG to simplify the onerous algorithms available for the screening and diagnosis of GDM -thereby helping each and every pregnant woman. Core tip: The algorithms for the screening and diagnosis of gestational diabetes mellitus (GDM), advocated by various expert panels, are demanding for both the caregiver and the care-receiver: The widely accepted approach of screening all pregnant women with the oral glucose tolerance test is time-consuming, expensive and unfeasible in most countries. Over three decades of research, summarized in this review, suggests that the fasting plasma glucose can simplify the approach to GDM -only if all the limitations of using it are clearly understood. Agarwal MM. Gestational diabetes mellitus: Screening with fasting plasma glucose. World J Diabetes 2016; 7(14): 279-289 Available from:","author":[{"dropping-particle":"","family":"Agarwal","given":"Mukesh M","non-dropping-particle":"","parse-names":false,"suffix":""}],"container-title":"World Journal of Diabetes","id":"ITEM-1","issue":"14","issued":{"date-parts":[["2016"]]},"page":"279","publisher":"Baishideng Publishing Group Inc","title":"Gestational diabetes mellitus: Screening with fasting plasma glucose","type":"article-journal","volume":"7"},"uris":["http://www.mendeley.com/documents/?uuid=9d80f27d-f392-39d8-9115-eed6f5500bc3"]},{"id":"ITEM-2","itemData":{"DOI":"10.1063/1.4915616","ISSN":"19321058","PMID":"25825613","abstract":"This research presents a multiple enzyme-doped thread-based microfluidic system for blood urea nitrogen (BUN) and glucose detection in human whole blood. A novel enzyme-doped thread coated with a thin polyvinylchloride (PVC) membrane is produced for on-site electrochemical detection of urea and glucose in whole blood. Multiple enzymes can be directly applied to the thread without delicate pretreatment or a surface modification process prior to sealing the thread with PVC membrane. Results indicate that the developed device exhibits a good linear dynamic range for detecting urea and glucose in concentrations from 0.1 mM-10.0 mM (R2=0.9850) and 0.1 mM-13.0mM (R2=0.9668), which is suitable for adoption in detecting the concentrations of blood urea nitrogen (BUN, 1.78-7.12mM) and glucose (3.89-6.11mM) in serum. The detection result also shows that the developed thread-based microfluidic system can successfully separate and detect the ions, BUN, and glucose in blood. The calculated concentrations of BUN and glucose ante cibum (glucose before meal) in the whole blood sample are 3.98mM and 4.94mM, respectively. The developed thread-based microfluidic system provides a simple yet high performance for clinical diagnostics.","author":[{"dropping-particle":"","family":"Yang","given":"Yu An","non-dropping-particle":"","parse-names":false,"suffix":""},{"dropping-particle":"","family":"Lin","given":"Che Hsin","non-dropping-particle":"","parse-names":false,"suffix":""}],"container-title":"Biomicrofluidics","id":"ITEM-2","issue":"2","issued":{"date-parts":[["2015","3","20"]]},"publisher":"American Institute of Physics","title":"Multiple enzyme-doped thread-based microfluidic system for blood urea nitrogen and glucose detection in human whole blood","type":"article-journal","volume":"9"},"uris":["http://www.mendeley.com/documents/?uuid=079490a3-4000-380d-ab5d-f69e8cee010b"]}],"mendeley":{"formattedCitation":"[4,5]","plainTextFormattedCitation":"[4,5]","previouslyFormattedCitation":"[125,126]"},"properties":{"noteIndex":0},"schema":"https://github.com/citation-style-language/schema/raw/master/csl-citation.json"}</w:instrText>
            </w:r>
            <w:r w:rsidRPr="00FA0605">
              <w:rPr>
                <w:rFonts w:ascii="Times New Roman" w:hAnsi="Times New Roman" w:cs="Times New Roman"/>
                <w:sz w:val="18"/>
                <w:szCs w:val="18"/>
              </w:rPr>
              <w:fldChar w:fldCharType="separate"/>
            </w:r>
            <w:r w:rsidRPr="00A62E38">
              <w:rPr>
                <w:rFonts w:ascii="Times New Roman" w:hAnsi="Times New Roman" w:cs="Times New Roman"/>
                <w:noProof/>
                <w:sz w:val="18"/>
                <w:szCs w:val="18"/>
              </w:rPr>
              <w:t>[4,5]</w:t>
            </w:r>
            <w:r w:rsidRPr="00FA0605">
              <w:rPr>
                <w:rFonts w:ascii="Times New Roman" w:hAnsi="Times New Roman" w:cs="Times New Roman"/>
                <w:sz w:val="18"/>
                <w:szCs w:val="18"/>
              </w:rPr>
              <w:fldChar w:fldCharType="end"/>
            </w:r>
            <w:r w:rsidRPr="00FA0605">
              <w:rPr>
                <w:rFonts w:ascii="Times New Roman" w:hAnsi="Times New Roman" w:cs="Times New Roman"/>
                <w:sz w:val="18"/>
                <w:szCs w:val="18"/>
              </w:rPr>
              <w:t xml:space="preserve">. A high FPG indicates that the body is not able to lower the blood glucose levels, which could either be due to insulin resistance or decreased insulin secretion. </w:t>
            </w:r>
            <w:r w:rsidRPr="00FA0605">
              <w:rPr>
                <w:rFonts w:ascii="Times New Roman" w:eastAsia="Times New Roman" w:hAnsi="Times New Roman" w:cs="Times New Roman"/>
                <w:sz w:val="18"/>
                <w:szCs w:val="18"/>
              </w:rPr>
              <w:t xml:space="preserve">Insulin also regulates basal hepatic glucose production or gluconeogenesis by reducing free fatty acids in the hepatic portal system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{"citationItems":[{"id":"ITEM-1","itemData":{"DOI":"10.1210/JS.2019-00065","ISSN":"24721972","PMID":"31528832","abstract":"Hyperinsulinemia is strongly associated with type 2 diabetes. Racial and ethnic minority populations are disproportionately affected by diabetes and obesity-related complications. This mini-review provides an overview of the genetic and environmental factors associated with hyperinsulinemia with a focus on racial and ethnic differences and its metabolic consequences. The data used in this narrative review were collected through research in PubMed and reference review of relevant retrieved articles. Insulin secretion and clearance are regulated processes that influence the development and progression of hyperinsulinemia. Environmental, genetic, and dietary factors are associated with hyperinsulinemia. Certain pharmacotherapies for obesity and bariatric surgery are effective at mitigating hyperinsulinemia and are associated with improved metabolic health. Hyperinsulinemia is associated with many environmental and genetic factors that interact with a wide network of hormones. Recent studies have advanced our understanding of the factors affecting insulin secretion and clearance. Further basic and translational work on hyperinsulinemia may allow for earlier and more personalized treatments for obesity and metabolic diseases.","author":[{"dropping-particle":"","family":"Thomas","given":"Dylan D.","non-dropping-particle":"","parse-names":false,"suffix":""},{"dropping-particle":"","family":"Corkey","given":"Barbara E.","non-dropping-particle":"","parse-names":false,"suffix":""},{"dropping-particle":"","family":"Istfan","given":"Nawfal W.","non-dropping-particle":"","parse-names":false,"suffix":""},{"dropping-particle":"","family":"Apovian","given":"Caroline M.","non-dropping-particle":"","parse-names":false,"suffix":""}],"container-title":"Journal of the Endocrine Society","id":"ITEM-1","issue":"9","issued":{"date-parts":[["2019","9","1"]]},"page":"1727","publisher":"The Endocrine Society","title":"Hyperinsulinemia: An Early Indicator of Metabolic Dysfunction","type":"article-journal","volume":"3"},"uris":["http://www.mendeley.com/documents/?uuid=d45e0ddc-31bc-3b30-bb3e-3001d96ec165"]}],"mendeley":{"formattedCitation":"[6]","plainTextFormattedCitation":"[6]","previouslyFormattedCitation":"[127]"},"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[6]</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Insulin resistance leads to twice as much production of glucose as compared to that of healthy individuals. This results in hyperglycemia in the fasting state in T2D patients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{"citationItems":[{"id":"ITEM-1","itemData":{"DOI":"10.3389/FPHAR.2020.00215/FULL","ISSN":"16639812","abstract":"De novo hepatic glucose production or hepatic gluconeogenesis is the main contributor to hyperglycemia in the fasting state in patients with type 2 diabetes (T2D) owing to insulin resistance, which leads to at least twice as much glucose synthesis compared to healthy subjects. Therefore, control of this pathway is a promising target to avoid the chronic complications associated with elevated glucose levels. Patients with T2D in the rural communities of Mexico use medicinal plants prepared as infusions that are consumed over the day between meals, thus following this rationale (consumption of the infusions in the fasting state), one approach to understanding the possible mechanism of action of medicinal plants is to assess their capacity to inhibit hepatic glucose production. Furthermore, in several of these plants, the presence of phenolic acids able to block the enzyme glucose-6-phosphatase (G6Pase) is reported. In the present work, extracts of Ageratina petiolaris, Bromelia karatas, Equisetum myriochaetum, Rhizophora mangle, and Smilax moranensis, which are Mexican plants that have been traditionally used to treat T2D, were assayed to evaluate their possible hepatic glucose output (HGO) inhibitory activity with a pyruvate tolerance test in 18-h fasted STZ-NA Wistar rats after oral administration of the extracts. In addition, the in vitro effects of the extracts on the last HGO rate-limiting enzyme G6Pase was analyzed. Our results showed that four of these plants had an effect on hepatic glucose production in the in vivo or in vitro assays. A. petiolaris and R. mangle extracts decreased glucose output, preventing an increase in the blood glucose levels and sustaining this prevented increase after pyruvate administration. Moreover, both extracts inhibited the catalytic activity of the G6Pase complex. On the other hand, even though S. moranensis and B. karatas did not exhibit a significant in vivo effect, S. moranensis had the most potent inhibitory effect on this enzymatic system, while the E. myriochaetum extract only inhibited hepatic glucose production in the pyruvate tolerance test. Because of the traditional method in which diabetic patients use plants, hepatic glucose production inhibition seems to be a mechanism that partially explains the common hypoglycemic effect. However, further studies must be carried out to characterize other mechanisms whereby these plants can decrease HGO.","author":[{"dropping-particle":"","family":"Mata-Torres","given":"Gerardo","non-dropping-particle":"","parse-names":false,"suffix":""},{"dropping-particle":"","family":"Andrade-Cetto","given":"Adolfo","non-dropping-particle":"","parse-names":false,"suffix":""},{"dropping-particle":"","family":"Espinoza-Hernández","given":"Fernanda Artemisa","non-dropping-particle":"","parse-names":false,"suffix":""},{"dropping-particle":"","family":"Cárdenas-Vázquez","given":"René","non-dropping-particle":"","parse-names":false,"suffix":""}],"container-title":"Frontiers in Pharmacology","id":"ITEM-1","issued":{"date-parts":[["2020","3","3"]]},"publisher":"Frontiers Media S.A.","title":"Hepatic Glucose Output Inhibition by Mexican Plants Used in the Treatment of Type 2 Diabetes","type":"article-journal","volume":"11"},"uris":["http://www.mendeley.com/documents/?uuid=da6f9550-4159-30f9-b49a-7676b3b0dd06"]}],"mendeley":{"formattedCitation":"[7]","plainTextFormattedCitation":"[7]","previouslyFormattedCitation":"[128]"},"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[7]</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w:t>
            </w:r>
          </w:p>
        </w:tc>
      </w:tr>
      <w:tr w:rsidR="003B206A" w:rsidRPr="00B12579" w14:paraId="2C79D1EB" w14:textId="77777777" w:rsidTr="007A0697">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2DC5D5AF" w14:textId="77777777" w:rsidR="003B206A" w:rsidRPr="00FA0605" w:rsidRDefault="003B206A" w:rsidP="003B206A">
            <w:pPr>
              <w:tabs>
                <w:tab w:val="left" w:pos="6386"/>
              </w:tabs>
              <w:rPr>
                <w:rFonts w:ascii="Times New Roman" w:hAnsi="Times New Roman" w:cs="Times New Roman"/>
                <w:sz w:val="18"/>
                <w:szCs w:val="18"/>
              </w:rPr>
            </w:pPr>
            <w:r w:rsidRPr="00FA0605">
              <w:rPr>
                <w:rFonts w:ascii="Times New Roman" w:hAnsi="Times New Roman" w:cs="Times New Roman"/>
                <w:sz w:val="18"/>
                <w:szCs w:val="18"/>
              </w:rPr>
              <w:t>Glycated Hemoglobin A1c (HbA1c)</w:t>
            </w:r>
          </w:p>
        </w:tc>
        <w:tc>
          <w:tcPr>
            <w:tcW w:w="0" w:type="auto"/>
          </w:tcPr>
          <w:p w14:paraId="19A36581" w14:textId="6EE7CAC3" w:rsidR="003B206A" w:rsidRPr="00FA0605" w:rsidRDefault="003B206A" w:rsidP="003B206A">
            <w:pPr>
              <w:tabs>
                <w:tab w:val="left" w:pos="6386"/>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FA0605">
              <w:rPr>
                <w:rFonts w:ascii="Times New Roman" w:hAnsi="Times New Roman" w:cs="Times New Roman"/>
                <w:sz w:val="18"/>
                <w:szCs w:val="18"/>
              </w:rPr>
              <w:t xml:space="preserve">Glycated Hemoglobin A1c (HbA1c) tests the amount of glucose that coats hemoglobin, i.e., it becomes glycated. All of the blood glucose will attach onto the hemoglobin protein and will be measured. HbA1c test value below 5.7% is normal. A value from 5.7% to 6.4% indicates prediabetes, while a value above 6.5% indicates diabetes </w:t>
            </w:r>
            <w:r w:rsidRPr="00FA0605">
              <w:rPr>
                <w:rFonts w:ascii="Times New Roman" w:hAnsi="Times New Roman" w:cs="Times New Roman"/>
                <w:sz w:val="18"/>
                <w:szCs w:val="18"/>
              </w:rPr>
              <w:fldChar w:fldCharType="begin" w:fldLock="1"/>
            </w:r>
            <w:r>
              <w:rPr>
                <w:rFonts w:ascii="Times New Roman" w:hAnsi="Times New Roman" w:cs="Times New Roman"/>
                <w:sz w:val="18"/>
                <w:szCs w:val="18"/>
              </w:rPr>
              <w:instrText>ADDIN CSL_CITATION {"citationItems":[{"id":"ITEM-1","itemData":{"URL":"https://www.ncbi.nlm.nih.gov/books/NBK549816/","accessed":{"date-parts":[["2022","3","19"]]},"author":[{"dropping-particle":"","family":"Eyth","given":"Emily","non-dropping-particle":"","parse-names":false,"suffix":""},{"dropping-particle":"","family":"Nai","given":"Roopa","non-dropping-particle":"","parse-names":false,"suffix":""}],"id":"ITEM-1","issued":{"date-parts":[["2021","4","5"]]},"title":"Hemoglobin A1C - StatPearls - NCBI Bookshelf","type":"webpage"},"uris":["http://www.mendeley.com/documents/?uuid=221177a0-8236-32c1-bcbd-6ae19a709161"]}],"mendeley":{"formattedCitation":"[8]","plainTextFormattedCitation":"[8]","previouslyFormattedCitation":"[129]"},"properties":{"noteIndex":0},"schema":"https://github.com/citation-style-language/schema/raw/master/csl-citation.json"}</w:instrText>
            </w:r>
            <w:r w:rsidRPr="00FA0605">
              <w:rPr>
                <w:rFonts w:ascii="Times New Roman" w:hAnsi="Times New Roman" w:cs="Times New Roman"/>
                <w:sz w:val="18"/>
                <w:szCs w:val="18"/>
              </w:rPr>
              <w:fldChar w:fldCharType="separate"/>
            </w:r>
            <w:r w:rsidRPr="00A62E38">
              <w:rPr>
                <w:rFonts w:ascii="Times New Roman" w:hAnsi="Times New Roman" w:cs="Times New Roman"/>
                <w:noProof/>
                <w:sz w:val="18"/>
                <w:szCs w:val="18"/>
              </w:rPr>
              <w:t>[8]</w:t>
            </w:r>
            <w:r w:rsidRPr="00FA0605">
              <w:rPr>
                <w:rFonts w:ascii="Times New Roman" w:hAnsi="Times New Roman" w:cs="Times New Roman"/>
                <w:sz w:val="18"/>
                <w:szCs w:val="18"/>
              </w:rPr>
              <w:fldChar w:fldCharType="end"/>
            </w:r>
            <w:r w:rsidRPr="00FA0605">
              <w:rPr>
                <w:rFonts w:ascii="Times New Roman" w:hAnsi="Times New Roman" w:cs="Times New Roman"/>
                <w:sz w:val="18"/>
                <w:szCs w:val="18"/>
              </w:rPr>
              <w:t xml:space="preserve">. Hence, it is an indirect measure of blood glucose </w:t>
            </w:r>
            <w:r w:rsidRPr="00FA0605">
              <w:rPr>
                <w:rFonts w:ascii="Times New Roman" w:hAnsi="Times New Roman" w:cs="Times New Roman"/>
                <w:sz w:val="18"/>
                <w:szCs w:val="18"/>
              </w:rPr>
              <w:fldChar w:fldCharType="begin" w:fldLock="1"/>
            </w:r>
            <w:r>
              <w:rPr>
                <w:rFonts w:ascii="Times New Roman" w:hAnsi="Times New Roman" w:cs="Times New Roman"/>
                <w:sz w:val="18"/>
                <w:szCs w:val="18"/>
              </w:rPr>
              <w:instrText>ADDIN CSL_CITATION {"citationItems":[{"id":"ITEM-1","itemData":{"DOI":"10.4239/wjd.v7.i14.279","ISSN":"1948-9358","PMID":"27525055","abstract":"Fasting plasma glucose (FPG) as a screening test for gestational diabetes mellitus (GDM) has had a checkered history. During the last three decades, a few initial anecdotal reports have given way to the recent well-conducted studies. This review: (1) traces the history; (2) weighs the advantages and disadvantages; (3) addresses the significance in early pregnancy; (4) underscores the benefits after delivery; and (5) emphasizes the cost savings of using the FPG in the screening of GDM. It also highlights the utility of fasting capillary glucose and stresses the value of the FPG in circumventing the cumbersome oral glucose tolerance test. An understanding of all the caveats is crucial to be able to use the FPG for investigating glucose intolerance in pregnancy. Thus, all health professionals can use the patient-friendly FPG to simplify the onerous algorithms available for the screening and diagnosis of GDM -thereby helping each and every pregnant woman. Core tip: The algorithms for the screening and diagnosis of gestational diabetes mellitus (GDM), advocated by various expert panels, are demanding for both the caregiver and the care-receiver: The widely accepted approach of screening all pregnant women with the oral glucose tolerance test is time-consuming, expensive and unfeasible in most countries. Over three decades of research, summarized in this review, suggests that the fasting plasma glucose can simplify the approach to GDM -only if all the limitations of using it are clearly understood. Agarwal MM. Gestational diabetes mellitus: Screening with fasting plasma glucose. World J Diabetes 2016; 7(14): 279-289 Available from:","author":[{"dropping-particle":"","family":"Agarwal","given":"Mukesh M","non-dropping-particle":"","parse-names":false,"suffix":""}],"container-title":"World Journal of Diabetes","id":"ITEM-1","issue":"14","issued":{"date-parts":[["2016"]]},"page":"279","publisher":"Baishideng Publishing Group Inc","title":"Gestational diabetes mellitus: Screening with fasting plasma glucose","type":"article-journal","volume":"7"},"uris":["http://www.mendeley.com/documents/?uuid=9d80f27d-f392-39d8-9115-eed6f5500bc3"]}],"mendeley":{"formattedCitation":"[4]","plainTextFormattedCitation":"[4]","previouslyFormattedCitation":"[125]"},"properties":{"noteIndex":0},"schema":"https://github.com/citation-style-language/schema/raw/master/csl-citation.json"}</w:instrText>
            </w:r>
            <w:r w:rsidRPr="00FA0605">
              <w:rPr>
                <w:rFonts w:ascii="Times New Roman" w:hAnsi="Times New Roman" w:cs="Times New Roman"/>
                <w:sz w:val="18"/>
                <w:szCs w:val="18"/>
              </w:rPr>
              <w:fldChar w:fldCharType="separate"/>
            </w:r>
            <w:r w:rsidRPr="00A62E38">
              <w:rPr>
                <w:rFonts w:ascii="Times New Roman" w:hAnsi="Times New Roman" w:cs="Times New Roman"/>
                <w:noProof/>
                <w:sz w:val="18"/>
                <w:szCs w:val="18"/>
              </w:rPr>
              <w:t>[4]</w:t>
            </w:r>
            <w:r w:rsidRPr="00FA0605">
              <w:rPr>
                <w:rFonts w:ascii="Times New Roman" w:hAnsi="Times New Roman" w:cs="Times New Roman"/>
                <w:sz w:val="18"/>
                <w:szCs w:val="18"/>
              </w:rPr>
              <w:fldChar w:fldCharType="end"/>
            </w:r>
            <w:r w:rsidRPr="00FA0605">
              <w:rPr>
                <w:rFonts w:ascii="Times New Roman" w:hAnsi="Times New Roman" w:cs="Times New Roman"/>
                <w:sz w:val="18"/>
                <w:szCs w:val="18"/>
              </w:rPr>
              <w:t xml:space="preserve">. Chronically high glucose levels, as seen in T2D, will manifest on the surface of the protein, resulting in a high A1c levels </w:t>
            </w:r>
            <w:r w:rsidRPr="00FA0605">
              <w:rPr>
                <w:rFonts w:ascii="Times New Roman" w:hAnsi="Times New Roman" w:cs="Times New Roman"/>
                <w:sz w:val="18"/>
                <w:szCs w:val="18"/>
              </w:rPr>
              <w:fldChar w:fldCharType="begin" w:fldLock="1"/>
            </w:r>
            <w:r>
              <w:rPr>
                <w:rFonts w:ascii="Times New Roman" w:hAnsi="Times New Roman" w:cs="Times New Roman"/>
                <w:sz w:val="18"/>
                <w:szCs w:val="18"/>
              </w:rPr>
              <w:instrText>ADDIN CSL_CITATION {"citationItems":[{"id":"ITEM-1","itemData":{"URL":"https://www.ncbi.nlm.nih.gov/books/NBK549816/","accessed":{"date-parts":[["2022","3","19"]]},"author":[{"dropping-particle":"","family":"Eyth","given":"Emily","non-dropping-particle":"","parse-names":false,"suffix":""},{"dropping-particle":"","family":"Nai","given":"Roopa","non-dropping-particle":"","parse-names":false,"suffix":""}],"id":"ITEM-1","issued":{"date-parts":[["2021","4","5"]]},"title":"Hemoglobin A1C - StatPearls - NCBI Bookshelf","type":"webpage"},"uris":["http://www.mendeley.com/documents/?uuid=221177a0-8236-32c1-bcbd-6ae19a709161"]}],"mendeley":{"formattedCitation":"[8]","plainTextFormattedCitation":"[8]","previouslyFormattedCitation":"[129]"},"properties":{"noteIndex":0},"schema":"https://github.com/citation-style-language/schema/raw/master/csl-citation.json"}</w:instrText>
            </w:r>
            <w:r w:rsidRPr="00FA0605">
              <w:rPr>
                <w:rFonts w:ascii="Times New Roman" w:hAnsi="Times New Roman" w:cs="Times New Roman"/>
                <w:sz w:val="18"/>
                <w:szCs w:val="18"/>
              </w:rPr>
              <w:fldChar w:fldCharType="separate"/>
            </w:r>
            <w:r w:rsidRPr="00A62E38">
              <w:rPr>
                <w:rFonts w:ascii="Times New Roman" w:hAnsi="Times New Roman" w:cs="Times New Roman"/>
                <w:noProof/>
                <w:sz w:val="18"/>
                <w:szCs w:val="18"/>
              </w:rPr>
              <w:t>[8]</w:t>
            </w:r>
            <w:r w:rsidRPr="00FA0605">
              <w:rPr>
                <w:rFonts w:ascii="Times New Roman" w:hAnsi="Times New Roman" w:cs="Times New Roman"/>
                <w:sz w:val="18"/>
                <w:szCs w:val="18"/>
              </w:rPr>
              <w:fldChar w:fldCharType="end"/>
            </w:r>
            <w:r w:rsidRPr="00FA0605">
              <w:rPr>
                <w:rFonts w:ascii="Times New Roman" w:hAnsi="Times New Roman" w:cs="Times New Roman"/>
                <w:sz w:val="18"/>
                <w:szCs w:val="18"/>
              </w:rPr>
              <w:t xml:space="preserve">. </w:t>
            </w:r>
          </w:p>
        </w:tc>
      </w:tr>
      <w:tr w:rsidR="003B206A" w:rsidRPr="00B12579" w14:paraId="5DD594CE" w14:textId="77777777" w:rsidTr="007A0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5876E5DB" w14:textId="77777777" w:rsidR="003B206A" w:rsidRPr="00FA0605" w:rsidRDefault="003B206A" w:rsidP="003B206A">
            <w:pPr>
              <w:tabs>
                <w:tab w:val="left" w:pos="6386"/>
              </w:tabs>
              <w:rPr>
                <w:rFonts w:ascii="Times New Roman" w:hAnsi="Times New Roman" w:cs="Times New Roman"/>
                <w:sz w:val="18"/>
                <w:szCs w:val="18"/>
              </w:rPr>
            </w:pPr>
            <w:r w:rsidRPr="00FA0605">
              <w:rPr>
                <w:rFonts w:ascii="Times New Roman" w:hAnsi="Times New Roman" w:cs="Times New Roman"/>
                <w:sz w:val="18"/>
                <w:szCs w:val="18"/>
              </w:rPr>
              <w:t>Homeostasis model for insulin resistance (</w:t>
            </w:r>
            <w:r w:rsidRPr="00FA0605">
              <w:rPr>
                <w:rFonts w:ascii="Times New Roman" w:eastAsia="Times New Roman" w:hAnsi="Times New Roman" w:cs="Times New Roman"/>
                <w:sz w:val="18"/>
                <w:szCs w:val="18"/>
              </w:rPr>
              <w:t>HOMA-IR)</w:t>
            </w:r>
          </w:p>
        </w:tc>
        <w:tc>
          <w:tcPr>
            <w:tcW w:w="0" w:type="auto"/>
          </w:tcPr>
          <w:p w14:paraId="645CF951" w14:textId="2579C382" w:rsidR="003B206A" w:rsidRPr="00FA0605" w:rsidRDefault="003B206A" w:rsidP="003B206A">
            <w:pPr>
              <w:tabs>
                <w:tab w:val="left" w:pos="6386"/>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FA0605">
              <w:rPr>
                <w:rFonts w:ascii="Times New Roman" w:hAnsi="Times New Roman" w:cs="Times New Roman"/>
                <w:sz w:val="18"/>
                <w:szCs w:val="18"/>
              </w:rPr>
              <w:t>Homeostasis model for insulin resistance (</w:t>
            </w:r>
            <w:r w:rsidRPr="00FA0605">
              <w:rPr>
                <w:rFonts w:ascii="Times New Roman" w:eastAsia="Times New Roman" w:hAnsi="Times New Roman" w:cs="Times New Roman"/>
                <w:sz w:val="18"/>
                <w:szCs w:val="18"/>
              </w:rPr>
              <w:t>HOMA-IR)</w:t>
            </w:r>
            <w:r w:rsidRPr="00FA0605">
              <w:rPr>
                <w:rFonts w:ascii="Times New Roman" w:hAnsi="Times New Roman" w:cs="Times New Roman"/>
                <w:sz w:val="18"/>
                <w:szCs w:val="18"/>
              </w:rPr>
              <w:t xml:space="preserve"> </w:t>
            </w:r>
            <w:r w:rsidRPr="00FA0605">
              <w:rPr>
                <w:rFonts w:ascii="Times New Roman" w:eastAsia="Times New Roman" w:hAnsi="Times New Roman" w:cs="Times New Roman"/>
                <w:sz w:val="18"/>
                <w:szCs w:val="18"/>
              </w:rPr>
              <w:t>is used</w:t>
            </w:r>
            <w:r w:rsidRPr="00FA0605">
              <w:rPr>
                <w:rFonts w:ascii="Times New Roman" w:hAnsi="Times New Roman" w:cs="Times New Roman"/>
                <w:sz w:val="18"/>
                <w:szCs w:val="18"/>
              </w:rPr>
              <w:t xml:space="preserve"> to assess insulin resistance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{"citationItems":[{"id":"ITEM-1","itemData":{"DOI":"10.1007/s00592-018-1175-2","ISSN":"1432-5233","abstract":"Probiotics and/or prebiotics could be a promising approach to improve metabolic disorders by favorably modifying the gut microbial composition.","author":[{"dropping-particle":"","family":"Kassaian","given":"Nazila","non-dropping-particle":"","parse-names":false,"suffix":""},{"dropping-particle":"","family":"Feizi","given":"Awat","non-dropping-particle":"","parse-names":false,"suffix":""},{"dropping-particle":"","family":"Aminorroaya","given":"Ashraf","non-dropping-particle":"","parse-names":false,"suffix":""},{"dropping-particle":"","family":"Jafari","given":"Parvaneh","non-dropping-particle":"","parse-names":false,"suffix":""},{"dropping-particle":"","family":"Ebrahimi","given":"Maryam Tajabadi","non-dropping-particle":"","parse-names":false,"suffix":""},{"dropping-particle":"","family":"Amini","given":"Masoud","non-dropping-particle":"","parse-names":false,"suffix":""}],"container-title":"Acta Diabetologica","id":"ITEM-1","issue":"10","issued":{"date-parts":[["2018"]]},"page":"1019-1028","title":"The effects of probiotics and synbiotic supplementation on glucose and insulin metabolism in adults with prediabetes: a double-blind randomized clinical trial","type":"article-journal","volume":"55"},"uris":["http://www.mendeley.com/documents/?uuid=7e1f3f52-ac92-420c-90e5-b50f465a88e1"]}],"mendeley":{"formattedCitation":"[9]","plainTextFormattedCitation":"[9]","previouslyFormattedCitation":"[130]"},"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[9]</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Insulin resistance occurs when there is decreased uptake of glucose by the cells in the body. This leads to an imbalance in glucose homeostasis, and leads to T2D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{"citationItems":[{"id":"ITEM-1","itemData":{"DOI":"10.6065/APEM.2040090.045","ISSN":"22871292","PMID":"33401880","abstract":"Type 2 diabetes (T2D) is an emerging health risk in obese children and adolescents. Both environmental (lack of physical activity, excess nutritional intake, sedentary lifestyle) and genetic factors contribute to this global epidemic. The growing prevalence of T2D in youth is also associated with a consistently increased incidence of metabolic and cardiovascular complications. Insulin resistance (IR), i.e., whole-body decreased glucose uptake in response to physiological insulin levels, determines impaired glucose homeostasis and it is recognized as cardinal trigger of T2D and cardiovascular disease in both adults and children. In particular, IR and beta-cell dysfunction lead to the persistent hyperglycemia which characterizes T2D. Indeed, both pathological states influence each other and presumably play a crucial, synergistic role in the pathogenesis of T2D, although the precise mechanisms are not completely understood. However, beta-cell dysfunction and IR induce impaired glucose metabolism, thus leading to the progression to T2D. Therefore, understanding the mechanisms correlated with the decline of beta-cell function and IR is crucial in order to control, prevent, and treat T2D in youth. This review focuses on the current knowledge regarding IR and T2D in children and adolescents and showcases interesting opportunities and stimulating challenges for the development of new preventative approaches and therapeutic strategies for young patients with T2D.","author":[{"dropping-particle":"","family":"Castorani","given":"Valeria","non-dropping-particle":"","parse-names":false,"suffix":""},{"dropping-particle":"","family":"Polidori","given":"Nella","non-dropping-particle":"","parse-names":false,"suffix":""},{"dropping-particle":"","family":"Giannini","given":"Cosimo","non-dropping-particle":"","parse-names":false,"suffix":""},{"dropping-particle":"","family":"Blasetti","given":"Annalisa","non-dropping-particle":"","parse-names":false,"suffix":""},{"dropping-particle":"","family":"Chiarelli","given":"Francesco","non-dropping-particle":"","parse-names":false,"suffix":""}],"container-title":"Annals of Pediatric Endocrinology &amp; Metabolism","id":"ITEM-1","issue":"4","issued":{"date-parts":[["2020"]]},"page":"217","publisher":"Korean Society of Pediatric Endocrinology","title":"Insulin resistance and type 2 diabetes in children","type":"article-journal","volume":"25"},"uris":["http://www.mendeley.com/documents/?uuid=67c944a6-0c2c-3631-a7bf-c3d97964dab8"]}],"mendeley":{"formattedCitation":"[10]","plainTextFormattedCitation":"[10]","previouslyFormattedCitation":"[131]"},"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[10]</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HOMA-IR is usually calculated </w:t>
            </w:r>
            <w:r w:rsidRPr="00FA0605">
              <w:rPr>
                <w:rFonts w:ascii="Times New Roman" w:hAnsi="Times New Roman" w:cs="Times New Roman"/>
                <w:sz w:val="18"/>
                <w:szCs w:val="18"/>
              </w:rPr>
              <w:t xml:space="preserve">using the formula: HOMA-IR = (fasting blood glucose (mg ∕dL) × fasting insulin (μIU∕ L)) ∕405 </w:t>
            </w:r>
            <w:r w:rsidRPr="00FA0605">
              <w:rPr>
                <w:rFonts w:ascii="Times New Roman" w:eastAsia="Times New Roman" w:hAnsi="Times New Roman" w:cs="Times New Roman"/>
                <w:sz w:val="18"/>
                <w:szCs w:val="18"/>
                <w:u w:val="single"/>
              </w:rPr>
              <w:fldChar w:fldCharType="begin" w:fldLock="1"/>
            </w:r>
            <w:r>
              <w:rPr>
                <w:rFonts w:ascii="Times New Roman" w:eastAsia="Times New Roman" w:hAnsi="Times New Roman" w:cs="Times New Roman"/>
                <w:sz w:val="18"/>
                <w:szCs w:val="18"/>
                <w:u w:val="single"/>
              </w:rPr>
              <w:instrText>ADDIN CSL_CITATION {"citationItems":[{"id":"ITEM-1","itemData":{"DOI":"10.1007/s00592-018-1175-2","ISSN":"1432-5233","abstract":"Probiotics and/or prebiotics could be a promising approach to improve metabolic disorders by favorably modifying the gut microbial composition.","author":[{"dropping-particle":"","family":"Kassaian","given":"Nazila","non-dropping-particle":"","parse-names":false,"suffix":""},{"dropping-particle":"","family":"Feizi","given":"Awat","non-dropping-particle":"","parse-names":false,"suffix":""},{"dropping-particle":"","family":"Aminorroaya","given":"Ashraf","non-dropping-particle":"","parse-names":false,"suffix":""},{"dropping-particle":"","family":"Jafari","given":"Parvaneh","non-dropping-particle":"","parse-names":false,"suffix":""},{"dropping-particle":"","family":"Ebrahimi","given":"Maryam Tajabadi","non-dropping-particle":"","parse-names":false,"suffix":""},{"dropping-particle":"","family":"Amini","given":"Masoud","non-dropping-particle":"","parse-names":false,"suffix":""}],"container-title":"Acta Diabetologica","id":"ITEM-1","issue":"10","issued":{"date-parts":[["2018"]]},"page":"1019-1028","title":"The effects of probiotics and synbiotic supplementation on glucose and insulin metabolism in adults with prediabetes: a double-blind randomized clinical trial","type":"article-journal","volume":"55"},"uris":["http://www.mendeley.com/documents/?uuid=7e1f3f52-ac92-420c-90e5-b50f465a88e1"]}],"mendeley":{"formattedCitation":"[9]","plainTextFormattedCitation":"[9]","previouslyFormattedCitation":"[130]"},"properties":{"noteIndex":0},"schema":"https://github.com/citation-style-language/schema/raw/master/csl-citation.json"}</w:instrText>
            </w:r>
            <w:r w:rsidRPr="00FA0605">
              <w:rPr>
                <w:rFonts w:ascii="Times New Roman" w:eastAsia="Times New Roman" w:hAnsi="Times New Roman" w:cs="Times New Roman"/>
                <w:sz w:val="18"/>
                <w:szCs w:val="18"/>
                <w:u w:val="single"/>
              </w:rPr>
              <w:fldChar w:fldCharType="separate"/>
            </w:r>
            <w:r w:rsidRPr="00A62E38">
              <w:rPr>
                <w:rFonts w:ascii="Times New Roman" w:eastAsia="Times New Roman" w:hAnsi="Times New Roman" w:cs="Times New Roman"/>
                <w:noProof/>
                <w:sz w:val="18"/>
                <w:szCs w:val="18"/>
              </w:rPr>
              <w:t>[9]</w:t>
            </w:r>
            <w:r w:rsidRPr="00FA0605">
              <w:rPr>
                <w:rFonts w:ascii="Times New Roman" w:eastAsia="Times New Roman" w:hAnsi="Times New Roman" w:cs="Times New Roman"/>
                <w:sz w:val="18"/>
                <w:szCs w:val="18"/>
                <w:u w:val="single"/>
              </w:rPr>
              <w:fldChar w:fldCharType="end"/>
            </w:r>
            <w:r w:rsidRPr="00FA0605">
              <w:rPr>
                <w:rFonts w:ascii="Times New Roman" w:hAnsi="Times New Roman" w:cs="Times New Roman"/>
                <w:sz w:val="18"/>
                <w:szCs w:val="18"/>
              </w:rPr>
              <w:t>.</w:t>
            </w:r>
          </w:p>
        </w:tc>
      </w:tr>
      <w:tr w:rsidR="003B206A" w:rsidRPr="00B12579" w14:paraId="3B160467" w14:textId="77777777" w:rsidTr="007A0697">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65BA90C1" w14:textId="77777777" w:rsidR="003B206A" w:rsidRPr="00FA0605" w:rsidRDefault="003B206A" w:rsidP="003B206A">
            <w:pPr>
              <w:tabs>
                <w:tab w:val="left" w:pos="6386"/>
              </w:tabs>
              <w:rPr>
                <w:rFonts w:ascii="Times New Roman" w:hAnsi="Times New Roman" w:cs="Times New Roman"/>
                <w:sz w:val="18"/>
                <w:szCs w:val="18"/>
              </w:rPr>
            </w:pPr>
            <w:r w:rsidRPr="00FA0605">
              <w:rPr>
                <w:rFonts w:ascii="Times New Roman" w:hAnsi="Times New Roman" w:cs="Times New Roman"/>
                <w:sz w:val="18"/>
                <w:szCs w:val="18"/>
              </w:rPr>
              <w:t>Quantitative insulin sensitivity check index (QUICKI)</w:t>
            </w:r>
          </w:p>
        </w:tc>
        <w:tc>
          <w:tcPr>
            <w:tcW w:w="0" w:type="auto"/>
          </w:tcPr>
          <w:p w14:paraId="415027DC" w14:textId="10A9FD9A" w:rsidR="003B206A" w:rsidRPr="00FA0605" w:rsidRDefault="003B206A" w:rsidP="003B206A">
            <w:pPr>
              <w:tabs>
                <w:tab w:val="left" w:pos="6386"/>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FA0605">
              <w:rPr>
                <w:rFonts w:ascii="Times New Roman" w:hAnsi="Times New Roman" w:cs="Times New Roman"/>
                <w:sz w:val="18"/>
                <w:szCs w:val="18"/>
              </w:rPr>
              <w:t>Quantitative insulin sensitivity check index (QUICKI) assesses the sensitivity to insulin, a decrease in which leads to hyperglycemia. QUICKI can be calculated using the formula: QUICKI = 1∕[log (insulin (</w:t>
            </w:r>
            <w:proofErr w:type="spellStart"/>
            <w:r w:rsidRPr="00FA0605">
              <w:rPr>
                <w:rFonts w:ascii="Times New Roman" w:hAnsi="Times New Roman" w:cs="Times New Roman"/>
                <w:sz w:val="18"/>
                <w:szCs w:val="18"/>
              </w:rPr>
              <w:t>μIU∕mL</w:t>
            </w:r>
            <w:proofErr w:type="spellEnd"/>
            <w:r w:rsidRPr="00FA0605">
              <w:rPr>
                <w:rFonts w:ascii="Times New Roman" w:hAnsi="Times New Roman" w:cs="Times New Roman"/>
                <w:sz w:val="18"/>
                <w:szCs w:val="18"/>
              </w:rPr>
              <w:t>)) + log (glucose (</w:t>
            </w:r>
            <w:proofErr w:type="spellStart"/>
            <w:r w:rsidRPr="00FA0605">
              <w:rPr>
                <w:rFonts w:ascii="Times New Roman" w:hAnsi="Times New Roman" w:cs="Times New Roman"/>
                <w:sz w:val="18"/>
                <w:szCs w:val="18"/>
              </w:rPr>
              <w:t>mg∕dL</w:t>
            </w:r>
            <w:proofErr w:type="spellEnd"/>
            <w:r w:rsidRPr="00FA0605">
              <w:rPr>
                <w:rFonts w:ascii="Times New Roman" w:hAnsi="Times New Roman" w:cs="Times New Roman"/>
                <w:sz w:val="18"/>
                <w:szCs w:val="18"/>
              </w:rPr>
              <w:t xml:space="preserve">))] </w:t>
            </w:r>
            <w:r w:rsidRPr="00FA0605">
              <w:rPr>
                <w:rFonts w:ascii="Times New Roman" w:eastAsia="Times New Roman" w:hAnsi="Times New Roman" w:cs="Times New Roman"/>
                <w:sz w:val="18"/>
                <w:szCs w:val="18"/>
                <w:u w:val="single"/>
              </w:rPr>
              <w:fldChar w:fldCharType="begin" w:fldLock="1"/>
            </w:r>
            <w:r>
              <w:rPr>
                <w:rFonts w:ascii="Times New Roman" w:eastAsia="Times New Roman" w:hAnsi="Times New Roman" w:cs="Times New Roman"/>
                <w:sz w:val="18"/>
                <w:szCs w:val="18"/>
                <w:u w:val="single"/>
              </w:rPr>
              <w:instrText>ADDIN CSL_CITATION {"citationItems":[{"id":"ITEM-1","itemData":{"DOI":"10.1007/s00592-018-1175-2","ISSN":"1432-5233","abstract":"Probiotics and/or prebiotics could be a promising approach to improve metabolic disorders by favorably modifying the gut microbial composition.","author":[{"dropping-particle":"","family":"Kassaian","given":"Nazila","non-dropping-particle":"","parse-names":false,"suffix":""},{"dropping-particle":"","family":"Feizi","given":"Awat","non-dropping-particle":"","parse-names":false,"suffix":""},{"dropping-particle":"","family":"Aminorroaya","given":"Ashraf","non-dropping-particle":"","parse-names":false,"suffix":""},{"dropping-particle":"","family":"Jafari","given":"Parvaneh","non-dropping-particle":"","parse-names":false,"suffix":""},{"dropping-particle":"","family":"Ebrahimi","given":"Maryam Tajabadi","non-dropping-particle":"","parse-names":false,"suffix":""},{"dropping-particle":"","family":"Amini","given":"Masoud","non-dropping-particle":"","parse-names":false,"suffix":""}],"container-title":"Acta Diabetologica","id":"ITEM-1","issue":"10","issued":{"date-parts":[["2018"]]},"page":"1019-1028","title":"The effects of probiotics and synbiotic supplementation on glucose and insulin metabolism in adults with prediabetes: a double-blind randomized clinical trial","type":"article-journal","volume":"55"},"uris":["http://www.mendeley.com/documents/?uuid=7e1f3f52-ac92-420c-90e5-b50f465a88e1"]}],"mendeley":{"formattedCitation":"[9]","plainTextFormattedCitation":"[9]","previouslyFormattedCitation":"[130]"},"properties":{"noteIndex":0},"schema":"https://github.com/citation-style-language/schema/raw/master/csl-citation.json"}</w:instrText>
            </w:r>
            <w:r w:rsidRPr="00FA0605">
              <w:rPr>
                <w:rFonts w:ascii="Times New Roman" w:eastAsia="Times New Roman" w:hAnsi="Times New Roman" w:cs="Times New Roman"/>
                <w:sz w:val="18"/>
                <w:szCs w:val="18"/>
                <w:u w:val="single"/>
              </w:rPr>
              <w:fldChar w:fldCharType="separate"/>
            </w:r>
            <w:r w:rsidRPr="00A62E38">
              <w:rPr>
                <w:rFonts w:ascii="Times New Roman" w:eastAsia="Times New Roman" w:hAnsi="Times New Roman" w:cs="Times New Roman"/>
                <w:noProof/>
                <w:sz w:val="18"/>
                <w:szCs w:val="18"/>
              </w:rPr>
              <w:t>[9]</w:t>
            </w:r>
            <w:r w:rsidRPr="00FA0605">
              <w:rPr>
                <w:rFonts w:ascii="Times New Roman" w:eastAsia="Times New Roman" w:hAnsi="Times New Roman" w:cs="Times New Roman"/>
                <w:sz w:val="18"/>
                <w:szCs w:val="18"/>
                <w:u w:val="single"/>
              </w:rPr>
              <w:fldChar w:fldCharType="end"/>
            </w:r>
            <w:r w:rsidRPr="00FA0605">
              <w:rPr>
                <w:rFonts w:ascii="Times New Roman" w:hAnsi="Times New Roman" w:cs="Times New Roman"/>
                <w:sz w:val="18"/>
                <w:szCs w:val="18"/>
              </w:rPr>
              <w:t>.</w:t>
            </w:r>
          </w:p>
        </w:tc>
      </w:tr>
      <w:tr w:rsidR="003B206A" w:rsidRPr="00B12579" w14:paraId="74347817" w14:textId="77777777" w:rsidTr="007A069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56B3C952" w14:textId="77777777" w:rsidR="003B206A" w:rsidRPr="00FA0605" w:rsidRDefault="003B206A" w:rsidP="003B206A">
            <w:pPr>
              <w:tabs>
                <w:tab w:val="left" w:pos="6386"/>
              </w:tabs>
              <w:rPr>
                <w:rFonts w:ascii="Times New Roman" w:hAnsi="Times New Roman" w:cs="Times New Roman"/>
                <w:sz w:val="18"/>
                <w:szCs w:val="18"/>
              </w:rPr>
            </w:pPr>
            <w:r w:rsidRPr="00FA0605">
              <w:rPr>
                <w:rFonts w:ascii="Times New Roman" w:eastAsia="Times New Roman" w:hAnsi="Times New Roman" w:cs="Times New Roman"/>
                <w:sz w:val="18"/>
                <w:szCs w:val="18"/>
              </w:rPr>
              <w:t>C-peptide</w:t>
            </w:r>
          </w:p>
        </w:tc>
        <w:tc>
          <w:tcPr>
            <w:tcW w:w="0" w:type="auto"/>
          </w:tcPr>
          <w:p w14:paraId="4A3F29D4" w14:textId="1F7F4A0E" w:rsidR="003B206A" w:rsidRPr="00FA0605" w:rsidRDefault="003B206A" w:rsidP="003B206A">
            <w:pPr>
              <w:tabs>
                <w:tab w:val="left" w:pos="6386"/>
              </w:tabs>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8"/>
                <w:szCs w:val="18"/>
              </w:rPr>
            </w:pPr>
            <w:r w:rsidRPr="00FA0605">
              <w:rPr>
                <w:rFonts w:ascii="Times New Roman" w:eastAsia="Times New Roman" w:hAnsi="Times New Roman" w:cs="Times New Roman"/>
                <w:sz w:val="18"/>
                <w:szCs w:val="18"/>
              </w:rPr>
              <w:t xml:space="preserve">The C-peptide is the proinsulin connecting peptide. It is a cleavage product formed when proinsulin is cleaved to synthesize insulin, containing the A and B chains only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{"citationItems":[{"id":"ITEM-1","itemData":{"DOI":"10.1016/B978-0-444-52902-2.00034-5","ISSN":"00729752","PMID":"23931804","abstract":"More than half of all patients with diabetes develop neuropathic disorders affecting the distal sensory and/or motor nerves, or autonomic or cranial nerve functions. Glycemic control can decrease the incidence of neuropathy but is not adequate alone to prevent or treat the disease. This chapter introduces diabetic neuropathy with a morphological description of the disease then describes our current understanding of metabolic and molecular mechanisms that contribute to neurovascular dysfunctions. Key mechanisms include glucose and lipid imbalances and insulin resistance that are interconnected via oxidative stress, inflammation, and altered gene expression. These complex interactions should be considered for the development of new treatment strategies against the onset or progression of neuropathy. Advances in understanding the combined metabolic stressors and the novel study of epigenetics suggest new therapeutic targets to combat this morbid and intractable disease affecting millions of patients with type 1 or type 2 diabetes. © 2013 Elsevier B.V.","author":[{"dropping-particle":"","family":"Vincent","given":"Andrea M.","non-dropping-particle":"","parse-names":false,"suffix":""},{"dropping-particle":"","family":"Calabek","given":"Bernadette","non-dropping-particle":"","parse-names":false,"suffix":""},{"dropping-particle":"","family":"Roberts","given":"Laurel","non-dropping-particle":"","parse-names":false,"suffix":""},{"dropping-particle":"","family":"Feldman","given":"Eva L.","non-dropping-particle":"","parse-names":false,"suffix":""}],"container-title":"Handbook of Clinical Neurology","id":"ITEM-1","issued":{"date-parts":[["2013"]]},"page":"591-606","publisher":"Elsevier B.V.","title":"Biology of diabetic neuropathy","type":"chapter","volume":"115"},"uris":["http://www.mendeley.com/documents/?uuid=ca250425-b42f-3cf1-99ad-cb19b18de426"]}],"mendeley":{"formattedCitation":"[11]","plainTextFormattedCitation":"[11]","previouslyFormattedCitation":"[132]"},"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[11]</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It is secreted along with insulin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{"citationItems":[{"id":"ITEM-1","itemData":{"DOI":"10.1016/B978-0-444-52902-2.00034-5","ISSN":"00729752","PMID":"23931804","abstract":"More than half of all patients with diabetes develop neuropathic disorders affecting the distal sensory and/or motor nerves, or autonomic or cranial nerve functions. Glycemic control can decrease the incidence of neuropathy but is not adequate alone to prevent or treat the disease. This chapter introduces diabetic neuropathy with a morphological description of the disease then describes our current understanding of metabolic and molecular mechanisms that contribute to neurovascular dysfunctions. Key mechanisms include glucose and lipid imbalances and insulin resistance that are interconnected via oxidative stress, inflammation, and altered gene expression. These complex interactions should be considered for the development of new treatment strategies against the onset or progression of neuropathy. Advances in understanding the combined metabolic stressors and the novel study of epigenetics suggest new therapeutic targets to combat this morbid and intractable disease affecting millions of patients with type 1 or type 2 diabetes. © 2013 Elsevier B.V.","author":[{"dropping-particle":"","family":"Vincent","given":"Andrea M.","non-dropping-particle":"","parse-names":false,"suffix":""},{"dropping-particle":"","family":"Calabek","given":"Bernadette","non-dropping-particle":"","parse-names":false,"suffix":""},{"dropping-particle":"","family":"Roberts","given":"Laurel","non-dropping-particle":"","parse-names":false,"suffix":""},{"dropping-particle":"","family":"Feldman","given":"Eva L.","non-dropping-particle":"","parse-names":false,"suffix":""}],"container-title":"Handbook of Clinical Neurology","id":"ITEM-1","issued":{"date-parts":[["2013"]]},"page":"591-606","publisher":"Elsevier B.V.","title":"Biology of diabetic neuropathy","type":"chapter","volume":"115"},"uris":["http://www.mendeley.com/documents/?uuid=ca250425-b42f-3cf1-99ad-cb19b18de426"]}],"mendeley":{"formattedCitation":"[11]","plainTextFormattedCitation":"[11]","previouslyFormattedCitation":"[132]"},"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[11]</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therefore, a low level of C-peptide will indicate a decreased secretion of insulin. The mature insulin is the necessary hormone that lowers the blood glucose levels by increasing glucose uptake by cells. A low level of insulin measured may be due to decreased secretion. However, elevated insulin levels or hyperinsulinemia is strongly correlated with T2D onset. The dysregulation of insulin secretion without hypoglycemia is called hyperinsulinemia and may indicate insulin resistance. Hyperinsulinemia also results due to lack of insulin clearance and may indicate T2D. A lower fasting C-peptide measurement is also associated to an impaired insulin clearance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{"citationItems":[{"id":"ITEM-1","itemData":{"DOI":"10.1210/JS.2019-00065","ISSN":"24721972","PMID":"31528832","abstract":"Hyperinsulinemia is strongly associated with type 2 diabetes. Racial and ethnic minority populations are disproportionately affected by diabetes and obesity-related complications. This mini-review provides an overview of the genetic and environmental factors associated with hyperinsulinemia with a focus on racial and ethnic differences and its metabolic consequences. The data used in this narrative review were collected through research in PubMed and reference review of relevant retrieved articles. Insulin secretion and clearance are regulated processes that influence the development and progression of hyperinsulinemia. Environmental, genetic, and dietary factors are associated with hyperinsulinemia. Certain pharmacotherapies for obesity and bariatric surgery are effective at mitigating hyperinsulinemia and are associated with improved metabolic health. Hyperinsulinemia is associated with many environmental and genetic factors that interact with a wide network of hormones. Recent studies have advanced our understanding of the factors affecting insulin secretion and clearance. Further basic and translational work on hyperinsulinemia may allow for earlier and more personalized treatments for obesity and metabolic diseases.","author":[{"dropping-particle":"","family":"Thomas","given":"Dylan D.","non-dropping-particle":"","parse-names":false,"suffix":""},{"dropping-particle":"","family":"Corkey","given":"Barbara E.","non-dropping-particle":"","parse-names":false,"suffix":""},{"dropping-particle":"","family":"Istfan","given":"Nawfal W.","non-dropping-particle":"","parse-names":false,"suffix":""},{"dropping-particle":"","family":"Apovian","given":"Caroline M.","non-dropping-particle":"","parse-names":false,"suffix":""}],"container-title":"Journal of the Endocrine Society","id":"ITEM-1","issue":"9","issued":{"date-parts":[["2019","9","1"]]},"page":"1727","publisher":"The Endocrine Society","title":"Hyperinsulinemia: An Early Indicator of Metabolic Dysfunction","type":"article-journal","volume":"3"},"uris":["http://www.mendeley.com/documents/?uuid=d45e0ddc-31bc-3b30-bb3e-3001d96ec165"]}],"mendeley":{"formattedCitation":"[6]","plainTextFormattedCitation":"[6]","previouslyFormattedCitation":"[127]"},"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[6]</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w:t>
            </w:r>
          </w:p>
        </w:tc>
      </w:tr>
      <w:tr w:rsidR="003B206A" w:rsidRPr="00B12579" w14:paraId="0DED96EB" w14:textId="77777777" w:rsidTr="007A0697">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1BEFEE8A" w14:textId="77777777" w:rsidR="003B206A" w:rsidRPr="00FA0605" w:rsidRDefault="003B206A" w:rsidP="003B206A">
            <w:pPr>
              <w:tabs>
                <w:tab w:val="left" w:pos="6386"/>
              </w:tabs>
              <w:rPr>
                <w:rFonts w:ascii="Times New Roman" w:hAnsi="Times New Roman" w:cs="Times New Roman"/>
                <w:sz w:val="18"/>
                <w:szCs w:val="18"/>
              </w:rPr>
            </w:pPr>
            <w:r w:rsidRPr="00FA0605">
              <w:rPr>
                <w:rFonts w:ascii="Times New Roman" w:eastAsia="Times New Roman" w:hAnsi="Times New Roman" w:cs="Times New Roman"/>
                <w:sz w:val="18"/>
                <w:szCs w:val="18"/>
              </w:rPr>
              <w:t>Fasting insulin level (FIL)</w:t>
            </w:r>
          </w:p>
        </w:tc>
        <w:tc>
          <w:tcPr>
            <w:tcW w:w="0" w:type="auto"/>
          </w:tcPr>
          <w:p w14:paraId="5E9ED210" w14:textId="0E0FA876" w:rsidR="003B206A" w:rsidRPr="00FA0605" w:rsidRDefault="003B206A" w:rsidP="003B206A">
            <w:pPr>
              <w:tabs>
                <w:tab w:val="left" w:pos="6386"/>
              </w:tabs>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8"/>
                <w:szCs w:val="18"/>
              </w:rPr>
            </w:pPr>
            <w:r w:rsidRPr="00FA0605">
              <w:rPr>
                <w:rFonts w:ascii="Times New Roman" w:eastAsia="Times New Roman" w:hAnsi="Times New Roman" w:cs="Times New Roman"/>
                <w:sz w:val="18"/>
                <w:szCs w:val="18"/>
              </w:rPr>
              <w:t xml:space="preserve">Insulin clearance is important as it regulates the cell response to insulin by reducing the availability of insulin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{"citationItems":[{"id":"ITEM-1","itemData":{"DOI":"10.2337/DC12-1316","ISSN":"01495992","PMID":"23223351","abstract":"OBJECTIVE-We aimed to identify factors that are independently associated with the metabolic clearance rate of insulin (MCRI) and to examine the association ofMCRI with incident type 2 diabetes in nondiabetic Hispanics and African Americans. RESEARCH DESIGN AND METHODS-We investigated 1,116 participants in the Insulin Resistance Atherosclerosis Study (IRAS) Family Study with baseline examinations from 2000 to 2002 and follow-up examinations from 2005 to 2006. Insulin sensitivity (SI), acute insulin response (AIR), and MCRI were determined at baseline from frequently sampled intravenous glucose tolerance tests. MCRI was calculated as the ratio of the insulin dose over the incremental area under the curve of insulin. Incident diabetes was defined as fasting glucose ≥126 mg/dL or antidiabetic medication use by self-report. RESULTS-We observed that SI and HDL cholesterol were independent positive correlates of MCRI, whereas fasting insulin, fasting glucose, subcutaneous adipose tissue, visceral adipose tissue, and AIR were independent negative correlates (all P &lt; 0.05) at baseline. After 5 years of follow-up, 71 (6.4%) participants developed type 2 diabetes. Lower MCRI was associated with a higher risk of incident diabetes after adjusting for demographics, lifestyle factors, HDL cholesterol, indexes of obesity and adiposity, and insulin secretion (odds ratio 2.01 [95% CI 1.30- 3.10], P = 0.0064, per one-SD decrease in loge-transformed MCRI). CONCLUSIONS-Our data showed that lower MCRI predicts the incidence of type 2 diabetes. © 2013 by the American Diabetes Association.","author":[{"dropping-particle":"","family":"Lee","given":"C. Christine","non-dropping-particle":"","parse-names":false,"suffix":""},{"dropping-particle":"","family":"Haffner","given":"Steven M.","non-dropping-particle":"","parse-names":false,"suffix":""},{"dropping-particle":"","family":"Wagenknecht","given":"Lynne E.","non-dropping-particle":"","parse-names":false,"suffix":""},{"dropping-particle":"","family":"Lorenzo","given":"Carlos","non-dropping-particle":"","parse-names":false,"suffix":""},{"dropping-particle":"","family":"Norris","given":"Jill M.","non-dropping-particle":"","parse-names":false,"suffix":""},{"dropping-particle":"","family":"Bergman","given":"Richard N.","non-dropping-particle":"","parse-names":false,"suffix":""},{"dropping-particle":"","family":"Stefanovski","given":"Darko","non-dropping-particle":"","parse-names":false,"suffix":""},{"dropping-particle":"","family":"Anderson","given":"Andrea M.","non-dropping-particle":"","parse-names":false,"suffix":""},{"dropping-particle":"","family":"Rotter","given":"Jerome I.","non-dropping-particle":"","parse-names":false,"suffix":""},{"dropping-particle":"","family":"Goodarzi","given":"Mark O.","non-dropping-particle":"","parse-names":false,"suffix":""},{"dropping-particle":"","family":"Hanley","given":"Anthony J.","non-dropping-particle":"","parse-names":false,"suffix":""}],"container-title":"Diabetes Care","id":"ITEM-1","issue":"4","issued":{"date-parts":[["2013","4"]]},"page":"901","publisher":"American Diabetes Association","title":"Insulin Clearance and the Incidence of Type 2 Diabetes in Hispanics and African Americans: The IRAS Family Study","type":"article-journal","volume":"36"},"uris":["http://www.mendeley.com/documents/?uuid=63c72481-cb33-3150-ba10-cfd60a7f037a"]}],"mendeley":{"formattedCitation":"[12]","plainTextFormattedCitation":"[12]","previouslyFormattedCitation":"[133]"},"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[12]</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Fasting insulin level (FIL) for insulin is the same as FBG for glucose. Insulin is drawn directly from a vein, and the level of insulin is an indicator of T2D. Insulin also binds to the insulin receptors on the erythrocytes. It is interesting to note that the red blood cells (RBC) in humans have 2,000 insulin-binding sites per erythrocyte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{"citationItems":[{"id":"ITEM-1","itemData":{"DOI":"10.2337/DIAB.27.7.701","ISSN":"0012-1797","PMID":"658615","abstract":"Highly specific insulin receptors have been identified on human erythrocytes. A modification of the monocyte insulin radioreceptor technique permitted distinct separation of human erythrocytes with their bound insulin from the free insulin. When incubated with 80 pg. per milliliter of 125I-insulin (pH 8.0, 3.5 hours, 15° C.), erythrocytes from 17 normal volunteers specifically bound 10 per cent (± 1.450 S.D.) of the total 125I-insulin. Less than 15 per cent of the total 125I-insulin bound was nonspecific. Binding of 125I-insulin to human erythrocytes was dependent on pH and temperature. Less than 5 per cent of the insulin available to the plasma membrane was degraded. Both calcium and magnesium enhanced 125I-insulin binding by 100 per cent but had no synergistic effect when mixed in 1:1 molar ratio. Scatchard analysis of the binding data resulted in a curvilinear plot with characteristics typical of negative cooperative interactions between receptor sites and with an unoccupied site affinity constant of 0.1 x 108 M-1. Human erythrocytes have 2,000 insulin binding sites per erythrocyte with 14 sites per square micrometer of surface area. The readily available human erythrocyte, thus, has both specific insulin binding and binding characteristics similar to other human cell types. These studies have provided the basis for further clinical investigation of polypeptide hormone receptors on human erythrocytes.","author":[{"dropping-particle":"","family":"Gambhir","given":"K. K.","non-dropping-particle":"","parse-names":false,"suffix":""},{"dropping-particle":"","family":"Archer","given":"J. A.","non-dropping-particle":"","parse-names":false,"suffix":""},{"dropping-particle":"","family":"Bradley","given":"C. J.","non-dropping-particle":"","parse-names":false,"suffix":""}],"container-title":"Diabetes","id":"ITEM-1","issue":"7","issued":{"date-parts":[["1978"]]},"page":"701-708","publisher":"Diabetes","title":"Characteristics of human erythrocyte insulin receptors","type":"article-journal","volume":"27"},"uris":["http://www.mendeley.com/documents/?uuid=56c13a08-601b-3732-80bf-be4cb28f4b47"]}],"mendeley":{"formattedCitation":"[13]","plainTextFormattedCitation":"[13]","previouslyFormattedCitation":"[134]"},"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[13]</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Insulin, upon binding, increases the rate of glycolysis by activating 6-phosphofructo-1-kinase (PFK)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{"citationItems":[{"id":"ITEM-1","itemData":{"DOI":"10.1016/J.YMGME.2005.06.011","ISSN":"1096-7192","PMID":"16102994","abstract":"Human erythrocytes are highly specialized cells whose function is oxygen transport. These cells' sole metabolic source of energy is the fermentation of glucose via glycolysis. They contain an active insulin receptor and respond to insulin by increasing phosphorylation of tyrosine residues in several proteins. However, no metabolic effects have yet been associated with activation of this receptor in human erythrocytes. Here, we show that insulin increases the rate of glycolysis in human erythrocytes. Lactate production increased 56 and 173% in the presence of 10 and 100 nM insulin, respectively. A higher insulin concentration (1000 nM) partially reversed the stimulation of glycolysis. These effects occur through activation of the key glycolytic enzyme 6-phosphofructo-1-kinase, which exhibits the same pattern of modulation by insulin as seen for glycolytic flux. This modulation also occurs physiologically since ex vivo experiments revealed 50% stimulation of 6-phosphofructo-1-kinase (PFK) activity following a high carbohydrate meal. Insulin increases phosphorylation of PFK and redistributes the enzyme in red blood cells, causing it to detach from the erythrocyte membrane: upon insulin stimulation, the amount of enzyme associated with the plasma decreases by 86%. Detachment is a common mechanism of enzyme activation. As a consequence, insulin prevents up to 68% of red cells hemolysis. These results show that insulin regulates erythrocyte glycolysis and viability and suggest that this regulation is associated to other erythrocyte functions such as oxygen transport. Finally, we suggest that this regulatory mechanism might be compromised in patients with diabetes mellitus. © 2005 Elsevier Inc. All rights reserved.","author":[{"dropping-particle":"","family":"Zancan","given":"Patricia","non-dropping-particle":"","parse-names":false,"suffix":""},{"dropping-particle":"","family":"Sola-Penna","given":"Mauro","non-dropping-particle":"","parse-names":false,"suffix":""}],"container-title":"Molecular genetics and metabolism","id":"ITEM-1","issue":"3","issued":{"date-parts":[["2005","11"]]},"page":"401-411","publisher":"Mol Genet Metab","title":"Regulation of human erythrocyte metabolism by insulin: cellular distribution of 6-phosphofructo-1-kinase and its implication for red blood cell function","type":"article-journal","volume":"86"},"uris":["http://www.mendeley.com/documents/?uuid=f46274b1-1b39-383a-8297-74adffddf315"]}],"mendeley":{"formattedCitation":"[14]","plainTextFormattedCitation":"[14]","previouslyFormattedCitation":"[135]"},"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[14]</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xml:space="preserve">. This reduces the amount of glucose in the bloodstream, as the glucose is used up in glycolysis to produce ATP, NADH and pyruvate molecules. However, in a T2D patient, the insulin binding to erythrocytes was seen to decrease due to a decrease in the number of receptors rather than a reduction in affinity. This was inversely correlated with the concentration of insulin </w:t>
            </w:r>
            <w:r w:rsidRPr="00FA0605">
              <w:rPr>
                <w:rFonts w:ascii="Times New Roman" w:eastAsia="Times New Roman" w:hAnsi="Times New Roman" w:cs="Times New Roman"/>
                <w:sz w:val="18"/>
                <w:szCs w:val="18"/>
              </w:rPr>
              <w:fldChar w:fldCharType="begin" w:fldLock="1"/>
            </w:r>
            <w:r>
              <w:rPr>
                <w:rFonts w:ascii="Times New Roman" w:eastAsia="Times New Roman" w:hAnsi="Times New Roman" w:cs="Times New Roman"/>
                <w:sz w:val="18"/>
                <w:szCs w:val="18"/>
              </w:rPr>
              <w:instrText>ADDIN CSL_CITATION {"citationItems":[{"id":"ITEM-1","itemData":{"DOI":"10.1016/0885-4505(91)90015-D","ISSN":"0885-4505","PMID":"1883623","abstract":"Contents: Structure and characteristics of erythrocyte insulin receptor. Red blood cell age and insulin receptors. Insulin receptors in human disease states. Obesity. Chronic renal failure. Acanthosis nigricans. Miscellaneous disease states. Insulin receptors in children. Insulin receptors in women during pregnancy. Insulin binding and other hormones. Comparison of biosynthetic insulin, pancreatic human insulin and porcine insulin binding to erythrocytes. Effect of exercise on insulin binding to red blood cells of normal human volunteers. Miscellaneous insulin binding studies. Insulin internalization and degradation. Insulin and erythrocyte metabolism. Summary and conclusion. © 1991.","author":[{"dropping-particle":"","family":"Gambhir","given":"Kanwal K.","non-dropping-particle":"","parse-names":false,"suffix":""},{"dropping-particle":"","family":"Agarwal","given":"Veena R.","non-dropping-particle":"","parse-names":false,"suffix":""}],"container-title":"Biochemical medicine and metabolic biology","id":"ITEM-1","issue":"2","issued":{"date-parts":[["1991"]]},"page":"133-153","publisher":"Biochem Med Metab Biol","title":"Red blood cell insulin receptors in health and disease","type":"article-journal","volume":"45"},"uris":["http://www.mendeley.com/documents/?uuid=26e102fd-a1ba-3d48-85c2-081203eaf5c5"]}],"mendeley":{"formattedCitation":"[15]","plainTextFormattedCitation":"[15]","previouslyFormattedCitation":"[136]"},"properties":{"noteIndex":0},"schema":"https://github.com/citation-style-language/schema/raw/master/csl-citation.json"}</w:instrText>
            </w:r>
            <w:r w:rsidRPr="00FA0605">
              <w:rPr>
                <w:rFonts w:ascii="Times New Roman" w:eastAsia="Times New Roman" w:hAnsi="Times New Roman" w:cs="Times New Roman"/>
                <w:sz w:val="18"/>
                <w:szCs w:val="18"/>
              </w:rPr>
              <w:fldChar w:fldCharType="separate"/>
            </w:r>
            <w:r w:rsidRPr="00A62E38">
              <w:rPr>
                <w:rFonts w:ascii="Times New Roman" w:eastAsia="Times New Roman" w:hAnsi="Times New Roman" w:cs="Times New Roman"/>
                <w:noProof/>
                <w:sz w:val="18"/>
                <w:szCs w:val="18"/>
              </w:rPr>
              <w:t>[15]</w:t>
            </w:r>
            <w:r w:rsidRPr="00FA0605">
              <w:rPr>
                <w:rFonts w:ascii="Times New Roman" w:eastAsia="Times New Roman" w:hAnsi="Times New Roman" w:cs="Times New Roman"/>
                <w:sz w:val="18"/>
                <w:szCs w:val="18"/>
              </w:rPr>
              <w:fldChar w:fldCharType="end"/>
            </w:r>
            <w:r w:rsidRPr="00FA0605">
              <w:rPr>
                <w:rFonts w:ascii="Times New Roman" w:eastAsia="Times New Roman" w:hAnsi="Times New Roman" w:cs="Times New Roman"/>
                <w:sz w:val="18"/>
                <w:szCs w:val="18"/>
              </w:rPr>
              <w:t>. This means that at high insulin concentration, there is decreased binding of insulin to erythrocytes. This may be due to increased production of insulin due to insulin resistance, as seen in T2D patients. Therefore, if the amount of free insulin in higher than the amount of insulin bound to erythrocytes, this may indicate T2D.</w:t>
            </w:r>
          </w:p>
        </w:tc>
      </w:tr>
    </w:tbl>
    <w:p w14:paraId="55E2A071" w14:textId="77777777" w:rsidR="00FA0605" w:rsidRDefault="00FA0605" w:rsidP="002B155D">
      <w:pPr>
        <w:pStyle w:val="Heading1"/>
      </w:pPr>
    </w:p>
    <w:p w14:paraId="000DE103" w14:textId="77777777" w:rsidR="00FA0605" w:rsidRDefault="00FA0605">
      <w:pPr>
        <w:rPr>
          <w:rFonts w:ascii="Times New Roman" w:hAnsi="Times New Roman" w:cs="Times New Roman"/>
          <w:b/>
          <w:bCs/>
          <w:sz w:val="24"/>
          <w:szCs w:val="24"/>
        </w:rPr>
      </w:pPr>
      <w:r>
        <w:br w:type="page"/>
      </w:r>
    </w:p>
    <w:p w14:paraId="579FDA6E" w14:textId="37CEB5DB" w:rsidR="002B155D" w:rsidRDefault="002B155D" w:rsidP="002B155D">
      <w:pPr>
        <w:pStyle w:val="Heading1"/>
        <w:rPr>
          <w:rFonts w:eastAsia="Times New Roman"/>
        </w:rPr>
      </w:pPr>
      <w:bookmarkStart w:id="5" w:name="_Toc116234666"/>
      <w:r w:rsidRPr="00B07EBE">
        <w:lastRenderedPageBreak/>
        <w:t xml:space="preserve">Supplementary </w:t>
      </w:r>
      <w:r>
        <w:t>Table S</w:t>
      </w:r>
      <w:r w:rsidR="00064AD4">
        <w:t>T</w:t>
      </w:r>
      <w:r w:rsidR="003D7E78">
        <w:t>3</w:t>
      </w:r>
      <w:r>
        <w:t xml:space="preserve">. </w:t>
      </w:r>
      <w:r w:rsidRPr="00D74280">
        <w:rPr>
          <w:b w:val="0"/>
          <w:bCs w:val="0"/>
        </w:rPr>
        <w:t>PRISMA Checklist</w:t>
      </w:r>
      <w:r w:rsidR="005F6A38">
        <w:rPr>
          <w:b w:val="0"/>
          <w:bCs w:val="0"/>
        </w:rPr>
        <w:t xml:space="preserve"> </w:t>
      </w:r>
      <w:r w:rsidR="005F6A38">
        <w:rPr>
          <w:b w:val="0"/>
          <w:bCs w:val="0"/>
        </w:rPr>
        <w:fldChar w:fldCharType="begin" w:fldLock="1"/>
      </w:r>
      <w:r w:rsidR="00CD03A0">
        <w:rPr>
          <w:b w:val="0"/>
          <w:bCs w:val="0"/>
        </w:rPr>
        <w:instrText>ADDIN CSL_CITATION {"citationItems":[{"id":"ITEM-1","itemData":{"DOI":"10.1136/bmj.n160","ISSN":"17561833","PMID":"33781993","abstract":"The methods and results of systematic reviews should be reported in sufficient detail to allow users to assess the trustworthiness and applicability of the review findings. The Preferred Reporting Items for Systematic reviews and Meta-Analyses (PRISMA) statement was developed to facilitate transparent and complete reporting of systematic reviews and has been updated (to PRISMA 2020) to reflect recent advances in systematic review methodology and terminology. Here, we present the explanation and elaboration paper for PRISMA 2020, where we explain why reporting of each item is recommended, present bullet points that detail the reporting recommendations, and present examples from published reviews. We hope that changes to the content and structure of PRISMA 2020 will facilitate uptake of the guideline and lead to more transparent, complete, and accurate reporting of systematic reviews.","author":[{"dropping-particle":"","family":"Page","given":"Matthew J","non-dropping-particle":"","parse-names":false,"suffix":""},{"dropping-particle":"","family":"Moher","given":"David","non-dropping-particle":"","parse-names":false,"suffix":""},{"dropping-particle":"","family":"Bossuyt","given":"Patrick M","non-dropping-particle":"","parse-names":false,"suffix":""},{"dropping-particle":"","family":"Boutron","given":"Isabelle","non-dropping-particle":"","parse-names":false,"suffix":""},{"dropping-particle":"","family":"Hoffmann","given":"Tammy C","non-dropping-particle":"","parse-names":false,"suffix":""},{"dropping-particle":"","family":"Mulrow","given":"Cynthia D","non-dropping-particle":"","parse-names":false,"suffix":""},{"dropping-particle":"","family":"Shamseer","given":"Larissa","non-dropping-particle":"","parse-names":false,"suffix":""},{"dropping-particle":"","family":"Tetzlaff","given":"Jennifer M","non-dropping-particle":"","parse-names":false,"suffix":""},{"dropping-particle":"","family":"Akl","given":"Elie A","non-dropping-particle":"","parse-names":false,"suffix":""},{"dropping-particle":"","family":"Brennan","given":"Sue E","non-dropping-particle":"","parse-names":false,"suffix":""},{"dropping-particle":"","family":"Chou","given":"Roger","non-dropping-particle":"","parse-names":false,"suffix":""},{"dropping-particle":"","family":"Glanville","given":"Julie","non-dropping-particle":"","parse-names":false,"suffix":""},{"dropping-particle":"","family":"Grimshaw","given":"Jeremy M","non-dropping-particle":"","parse-names":false,"suffix":""},{"dropping-particle":"","family":"Hróbjartsson","given":"Asbjørn","non-dropping-particle":"","parse-names":false,"suffix":""},{"dropping-particle":"","family":"Lalu","given":"Manoj M","non-dropping-particle":"","parse-names":false,"suffix":""},{"dropping-particle":"","family":"Li","given":"Tianjing","non-dropping-particle":"","parse-names":false,"suffix":""},{"dropping-particle":"","family":"Loder","given":"Elizabeth W","non-dropping-particle":"","parse-names":false,"suffix":""},{"dropping-particle":"","family":"Mayo-Wilson","given":"Evan","non-dropping-particle":"","parse-names":false,"suffix":""},{"dropping-particle":"","family":"Mcdonald","given":"Steve","non-dropping-particle":"","parse-names":false,"suffix":""},{"dropping-particle":"","family":"Mcguinness","given":"Luke A","non-dropping-particle":"","parse-names":false,"suffix":""},{"dropping-particle":"","family":"Stewart","given":"Lesley A","non-dropping-particle":"","parse-names":false,"suffix":""},{"dropping-particle":"","family":"Thomas","given":"James","non-dropping-particle":"","parse-names":false,"suffix":""},{"dropping-particle":"","family":"Tricco","given":"Andrea C","non-dropping-particle":"","parse-names":false,"suffix":""},{"dropping-particle":"","family":"Welch","given":"Vivian A","non-dropping-particle":"","parse-names":false,"suffix":""},{"dropping-particle":"","family":"Whiting","given":"Penny","non-dropping-particle":"","parse-names":false,"suffix":""},{"dropping-particle":"","family":"Mckenzie","given":"Joanne E","non-dropping-particle":"","parse-names":false,"suffix":""}],"container-title":"The BMJ","id":"ITEM-1","issued":{"date-parts":[["2021"]]},"title":"PRISMA 2020 explanation and elaboration: Updated guidance and exemplars for reporting systematic reviews","type":"article","volume":"372"},"uris":["http://www.mendeley.com/documents/?uuid=af5d2691-ff8f-3a8e-ad1c-61c8fb186fcb"]}],"mendeley":{"formattedCitation":"[16]","plainTextFormattedCitation":"[16]","previouslyFormattedCitation":"(Page et al., 2021)"},"properties":{"noteIndex":0},"schema":"https://github.com/citation-style-language/schema/raw/master/csl-citation.json"}</w:instrText>
      </w:r>
      <w:r w:rsidR="005F6A38">
        <w:rPr>
          <w:b w:val="0"/>
          <w:bCs w:val="0"/>
        </w:rPr>
        <w:fldChar w:fldCharType="separate"/>
      </w:r>
      <w:r w:rsidR="00CD03A0" w:rsidRPr="00CD03A0">
        <w:rPr>
          <w:b w:val="0"/>
          <w:bCs w:val="0"/>
          <w:noProof/>
        </w:rPr>
        <w:t>[16]</w:t>
      </w:r>
      <w:r w:rsidR="005F6A38">
        <w:rPr>
          <w:b w:val="0"/>
          <w:bCs w:val="0"/>
        </w:rPr>
        <w:fldChar w:fldCharType="end"/>
      </w:r>
      <w:r w:rsidR="00A803C9">
        <w:rPr>
          <w:b w:val="0"/>
          <w:bCs w:val="0"/>
        </w:rPr>
        <w:t xml:space="preserve"> </w:t>
      </w:r>
      <w:r w:rsidRPr="00D74280">
        <w:rPr>
          <w:b w:val="0"/>
          <w:bCs w:val="0"/>
        </w:rPr>
        <w:t>.</w:t>
      </w:r>
      <w:bookmarkEnd w:id="0"/>
      <w:bookmarkEnd w:id="5"/>
    </w:p>
    <w:tbl>
      <w:tblPr>
        <w:tblW w:w="5000" w:type="pct"/>
        <w:tblBorders>
          <w:top w:val="nil"/>
          <w:left w:val="nil"/>
          <w:bottom w:val="nil"/>
          <w:right w:val="nil"/>
        </w:tblBorders>
        <w:tblLook w:val="0000" w:firstRow="0" w:lastRow="0" w:firstColumn="0" w:lastColumn="0" w:noHBand="0" w:noVBand="0"/>
      </w:tblPr>
      <w:tblGrid>
        <w:gridCol w:w="1242"/>
        <w:gridCol w:w="509"/>
        <w:gridCol w:w="9837"/>
        <w:gridCol w:w="1360"/>
      </w:tblGrid>
      <w:tr w:rsidR="00892E82" w:rsidRPr="00F07C0E" w14:paraId="72BAD9A3" w14:textId="77777777" w:rsidTr="00B23F69">
        <w:trPr>
          <w:trHeight w:val="65"/>
          <w:tblHeader/>
        </w:trPr>
        <w:tc>
          <w:tcPr>
            <w:tcW w:w="492" w:type="pct"/>
            <w:tcBorders>
              <w:top w:val="double" w:sz="5" w:space="0" w:color="000000"/>
              <w:left w:val="single" w:sz="5" w:space="0" w:color="000000"/>
              <w:bottom w:val="single" w:sz="4" w:space="0" w:color="auto"/>
              <w:right w:val="single" w:sz="5" w:space="0" w:color="000000"/>
            </w:tcBorders>
            <w:shd w:val="clear" w:color="auto" w:fill="D9E2F3" w:themeFill="accent1" w:themeFillTint="33"/>
            <w:vAlign w:val="center"/>
          </w:tcPr>
          <w:p w14:paraId="3D7E1B79" w14:textId="77777777" w:rsidR="00892E82" w:rsidRPr="00F07C0E" w:rsidRDefault="00892E82" w:rsidP="00B23F69">
            <w:pPr>
              <w:pStyle w:val="Default"/>
              <w:rPr>
                <w:rFonts w:ascii="Arial" w:hAnsi="Arial" w:cs="Arial"/>
                <w:color w:val="auto"/>
                <w:sz w:val="14"/>
                <w:szCs w:val="14"/>
              </w:rPr>
            </w:pPr>
            <w:r w:rsidRPr="00F07C0E">
              <w:rPr>
                <w:rFonts w:ascii="Arial" w:hAnsi="Arial" w:cs="Arial"/>
                <w:b/>
                <w:bCs/>
                <w:color w:val="auto"/>
                <w:sz w:val="14"/>
                <w:szCs w:val="14"/>
              </w:rPr>
              <w:t xml:space="preserve">Section and Topic </w:t>
            </w:r>
          </w:p>
        </w:tc>
        <w:tc>
          <w:tcPr>
            <w:tcW w:w="209" w:type="pct"/>
            <w:tcBorders>
              <w:top w:val="double" w:sz="5" w:space="0" w:color="000000"/>
              <w:left w:val="single" w:sz="5" w:space="0" w:color="000000"/>
              <w:bottom w:val="single" w:sz="4" w:space="0" w:color="auto"/>
              <w:right w:val="single" w:sz="5" w:space="0" w:color="000000"/>
            </w:tcBorders>
            <w:shd w:val="clear" w:color="auto" w:fill="D9E2F3" w:themeFill="accent1" w:themeFillTint="33"/>
            <w:vAlign w:val="center"/>
          </w:tcPr>
          <w:p w14:paraId="29F0BC09" w14:textId="77777777" w:rsidR="00892E82" w:rsidRPr="00F07C0E" w:rsidRDefault="00892E82" w:rsidP="00B23F69">
            <w:pPr>
              <w:pStyle w:val="Default"/>
              <w:rPr>
                <w:rFonts w:ascii="Arial" w:hAnsi="Arial" w:cs="Arial"/>
                <w:b/>
                <w:bCs/>
                <w:color w:val="auto"/>
                <w:sz w:val="14"/>
                <w:szCs w:val="14"/>
              </w:rPr>
            </w:pPr>
            <w:r w:rsidRPr="00F07C0E">
              <w:rPr>
                <w:rFonts w:ascii="Arial" w:hAnsi="Arial" w:cs="Arial"/>
                <w:b/>
                <w:bCs/>
                <w:color w:val="auto"/>
                <w:sz w:val="14"/>
                <w:szCs w:val="14"/>
              </w:rPr>
              <w:t>Item #</w:t>
            </w:r>
          </w:p>
        </w:tc>
        <w:tc>
          <w:tcPr>
            <w:tcW w:w="3811" w:type="pct"/>
            <w:tcBorders>
              <w:top w:val="double" w:sz="5" w:space="0" w:color="000000"/>
              <w:left w:val="single" w:sz="5" w:space="0" w:color="000000"/>
              <w:bottom w:val="single" w:sz="4" w:space="0" w:color="auto"/>
              <w:right w:val="single" w:sz="5" w:space="0" w:color="000000"/>
            </w:tcBorders>
            <w:shd w:val="clear" w:color="auto" w:fill="D9E2F3" w:themeFill="accent1" w:themeFillTint="33"/>
            <w:vAlign w:val="center"/>
          </w:tcPr>
          <w:p w14:paraId="136A7F43" w14:textId="77777777" w:rsidR="00892E82" w:rsidRPr="00F07C0E" w:rsidRDefault="00892E82" w:rsidP="00B23F69">
            <w:pPr>
              <w:pStyle w:val="Default"/>
              <w:rPr>
                <w:rFonts w:ascii="Arial" w:hAnsi="Arial" w:cs="Arial"/>
                <w:color w:val="auto"/>
                <w:sz w:val="14"/>
                <w:szCs w:val="14"/>
              </w:rPr>
            </w:pPr>
            <w:r w:rsidRPr="00F07C0E">
              <w:rPr>
                <w:rFonts w:ascii="Arial" w:hAnsi="Arial" w:cs="Arial"/>
                <w:b/>
                <w:bCs/>
                <w:color w:val="auto"/>
                <w:sz w:val="14"/>
                <w:szCs w:val="14"/>
              </w:rPr>
              <w:t xml:space="preserve">Checklist item </w:t>
            </w:r>
          </w:p>
        </w:tc>
        <w:tc>
          <w:tcPr>
            <w:tcW w:w="488" w:type="pct"/>
            <w:tcBorders>
              <w:top w:val="double" w:sz="5" w:space="0" w:color="000000"/>
              <w:left w:val="single" w:sz="5" w:space="0" w:color="000000"/>
              <w:bottom w:val="single" w:sz="4" w:space="0" w:color="auto"/>
              <w:right w:val="single" w:sz="5" w:space="0" w:color="000000"/>
            </w:tcBorders>
            <w:shd w:val="clear" w:color="auto" w:fill="D9E2F3" w:themeFill="accent1" w:themeFillTint="33"/>
            <w:vAlign w:val="center"/>
          </w:tcPr>
          <w:p w14:paraId="77A0E695" w14:textId="77777777" w:rsidR="00892E82" w:rsidRPr="00F07C0E" w:rsidRDefault="00892E82" w:rsidP="00B23F69">
            <w:pPr>
              <w:pStyle w:val="Default"/>
              <w:rPr>
                <w:rFonts w:ascii="Arial" w:hAnsi="Arial" w:cs="Arial"/>
                <w:color w:val="auto"/>
                <w:sz w:val="14"/>
                <w:szCs w:val="14"/>
              </w:rPr>
            </w:pPr>
            <w:r w:rsidRPr="00F07C0E">
              <w:rPr>
                <w:rFonts w:ascii="Arial" w:hAnsi="Arial" w:cs="Arial"/>
                <w:b/>
                <w:bCs/>
                <w:color w:val="auto"/>
                <w:sz w:val="14"/>
                <w:szCs w:val="14"/>
              </w:rPr>
              <w:t xml:space="preserve">Location where item is reported </w:t>
            </w:r>
          </w:p>
        </w:tc>
      </w:tr>
      <w:tr w:rsidR="00892E82" w:rsidRPr="00F07C0E" w14:paraId="0C6A0181" w14:textId="77777777" w:rsidTr="00B23F69">
        <w:trPr>
          <w:trHeight w:val="193"/>
        </w:trPr>
        <w:tc>
          <w:tcPr>
            <w:tcW w:w="4512" w:type="pct"/>
            <w:gridSpan w:val="3"/>
            <w:tcBorders>
              <w:top w:val="single" w:sz="4" w:space="0" w:color="auto"/>
              <w:left w:val="single" w:sz="5" w:space="0" w:color="000000"/>
              <w:bottom w:val="single" w:sz="5" w:space="0" w:color="000000"/>
              <w:right w:val="single" w:sz="5" w:space="0" w:color="000000"/>
            </w:tcBorders>
            <w:shd w:val="clear" w:color="auto" w:fill="D9D9D9" w:themeFill="background1" w:themeFillShade="D9"/>
            <w:vAlign w:val="center"/>
          </w:tcPr>
          <w:p w14:paraId="053C37A2" w14:textId="77777777" w:rsidR="00892E82" w:rsidRPr="00F07C0E" w:rsidRDefault="00892E82" w:rsidP="00B23F69">
            <w:pPr>
              <w:pStyle w:val="Default"/>
              <w:rPr>
                <w:rFonts w:ascii="Arial" w:hAnsi="Arial" w:cs="Arial"/>
                <w:sz w:val="14"/>
                <w:szCs w:val="14"/>
              </w:rPr>
            </w:pPr>
            <w:r w:rsidRPr="00F07C0E">
              <w:rPr>
                <w:rFonts w:ascii="Arial" w:hAnsi="Arial" w:cs="Arial"/>
                <w:b/>
                <w:bCs/>
                <w:sz w:val="14"/>
                <w:szCs w:val="14"/>
              </w:rPr>
              <w:t xml:space="preserve">TITLE </w:t>
            </w:r>
          </w:p>
        </w:tc>
        <w:tc>
          <w:tcPr>
            <w:tcW w:w="488" w:type="pct"/>
            <w:tcBorders>
              <w:top w:val="single" w:sz="4" w:space="0" w:color="auto"/>
              <w:left w:val="single" w:sz="5" w:space="0" w:color="000000"/>
              <w:bottom w:val="single" w:sz="5" w:space="0" w:color="000000"/>
              <w:right w:val="single" w:sz="5" w:space="0" w:color="000000"/>
            </w:tcBorders>
            <w:shd w:val="clear" w:color="auto" w:fill="D9D9D9" w:themeFill="background1" w:themeFillShade="D9"/>
          </w:tcPr>
          <w:p w14:paraId="722EE73D" w14:textId="77777777" w:rsidR="00892E82" w:rsidRPr="00F07C0E" w:rsidRDefault="00892E82" w:rsidP="00B23F69">
            <w:pPr>
              <w:pStyle w:val="Default"/>
              <w:jc w:val="right"/>
              <w:rPr>
                <w:rFonts w:ascii="Arial" w:hAnsi="Arial" w:cs="Arial"/>
                <w:color w:val="auto"/>
                <w:sz w:val="14"/>
                <w:szCs w:val="14"/>
              </w:rPr>
            </w:pPr>
          </w:p>
        </w:tc>
      </w:tr>
      <w:tr w:rsidR="00892E82" w:rsidRPr="00F07C0E" w14:paraId="0868AF19" w14:textId="77777777" w:rsidTr="00B23F69">
        <w:trPr>
          <w:trHeight w:val="48"/>
        </w:trPr>
        <w:tc>
          <w:tcPr>
            <w:tcW w:w="492" w:type="pct"/>
            <w:tcBorders>
              <w:top w:val="single" w:sz="5" w:space="0" w:color="000000"/>
              <w:left w:val="single" w:sz="5" w:space="0" w:color="000000"/>
              <w:bottom w:val="single" w:sz="4" w:space="0" w:color="auto"/>
              <w:right w:val="single" w:sz="5" w:space="0" w:color="000000"/>
            </w:tcBorders>
          </w:tcPr>
          <w:p w14:paraId="59C86C88"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Title </w:t>
            </w:r>
          </w:p>
        </w:tc>
        <w:tc>
          <w:tcPr>
            <w:tcW w:w="209" w:type="pct"/>
            <w:tcBorders>
              <w:top w:val="single" w:sz="5" w:space="0" w:color="000000"/>
              <w:left w:val="single" w:sz="5" w:space="0" w:color="000000"/>
              <w:bottom w:val="single" w:sz="4" w:space="0" w:color="auto"/>
              <w:right w:val="single" w:sz="5" w:space="0" w:color="000000"/>
            </w:tcBorders>
          </w:tcPr>
          <w:p w14:paraId="78F87FDC"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w:t>
            </w:r>
          </w:p>
        </w:tc>
        <w:tc>
          <w:tcPr>
            <w:tcW w:w="3811" w:type="pct"/>
            <w:tcBorders>
              <w:top w:val="single" w:sz="5" w:space="0" w:color="000000"/>
              <w:left w:val="single" w:sz="5" w:space="0" w:color="000000"/>
              <w:bottom w:val="single" w:sz="4" w:space="0" w:color="auto"/>
              <w:right w:val="single" w:sz="5" w:space="0" w:color="000000"/>
            </w:tcBorders>
          </w:tcPr>
          <w:p w14:paraId="704E0EAF"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Identify the report as a systematic review.</w:t>
            </w:r>
          </w:p>
        </w:tc>
        <w:tc>
          <w:tcPr>
            <w:tcW w:w="488" w:type="pct"/>
            <w:tcBorders>
              <w:top w:val="single" w:sz="5" w:space="0" w:color="000000"/>
              <w:left w:val="single" w:sz="5" w:space="0" w:color="000000"/>
              <w:bottom w:val="single" w:sz="4" w:space="0" w:color="auto"/>
              <w:right w:val="single" w:sz="5" w:space="0" w:color="000000"/>
            </w:tcBorders>
          </w:tcPr>
          <w:p w14:paraId="7D9641D6"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Title</w:t>
            </w:r>
          </w:p>
        </w:tc>
      </w:tr>
      <w:tr w:rsidR="00892E82" w:rsidRPr="00F07C0E" w14:paraId="473AC09F" w14:textId="77777777" w:rsidTr="00B23F69">
        <w:trPr>
          <w:trHeight w:val="184"/>
        </w:trPr>
        <w:tc>
          <w:tcPr>
            <w:tcW w:w="4512" w:type="pct"/>
            <w:gridSpan w:val="3"/>
            <w:tcBorders>
              <w:top w:val="single" w:sz="4" w:space="0" w:color="auto"/>
              <w:left w:val="single" w:sz="5" w:space="0" w:color="000000"/>
              <w:bottom w:val="single" w:sz="5" w:space="0" w:color="000000"/>
              <w:right w:val="single" w:sz="5" w:space="0" w:color="000000"/>
            </w:tcBorders>
            <w:shd w:val="clear" w:color="auto" w:fill="D9D9D9" w:themeFill="background1" w:themeFillShade="D9"/>
            <w:vAlign w:val="center"/>
          </w:tcPr>
          <w:p w14:paraId="33120B67" w14:textId="77777777" w:rsidR="00892E82" w:rsidRPr="00F07C0E" w:rsidRDefault="00892E82" w:rsidP="00B23F69">
            <w:pPr>
              <w:pStyle w:val="Default"/>
              <w:rPr>
                <w:rFonts w:ascii="Arial" w:hAnsi="Arial" w:cs="Arial"/>
                <w:sz w:val="14"/>
                <w:szCs w:val="14"/>
              </w:rPr>
            </w:pPr>
            <w:r w:rsidRPr="00F07C0E">
              <w:rPr>
                <w:rFonts w:ascii="Arial" w:hAnsi="Arial" w:cs="Arial"/>
                <w:b/>
                <w:bCs/>
                <w:sz w:val="14"/>
                <w:szCs w:val="14"/>
              </w:rPr>
              <w:t xml:space="preserve">ABSTRACT </w:t>
            </w:r>
          </w:p>
        </w:tc>
        <w:tc>
          <w:tcPr>
            <w:tcW w:w="488" w:type="pct"/>
            <w:tcBorders>
              <w:top w:val="single" w:sz="4" w:space="0" w:color="auto"/>
              <w:left w:val="single" w:sz="5" w:space="0" w:color="000000"/>
              <w:bottom w:val="single" w:sz="5" w:space="0" w:color="000000"/>
              <w:right w:val="single" w:sz="5" w:space="0" w:color="000000"/>
            </w:tcBorders>
            <w:shd w:val="clear" w:color="auto" w:fill="D9D9D9" w:themeFill="background1" w:themeFillShade="D9"/>
          </w:tcPr>
          <w:p w14:paraId="564C4688" w14:textId="77777777" w:rsidR="00892E82" w:rsidRPr="00F07C0E" w:rsidRDefault="00892E82" w:rsidP="00B23F69">
            <w:pPr>
              <w:pStyle w:val="Default"/>
              <w:jc w:val="right"/>
              <w:rPr>
                <w:rFonts w:ascii="Arial" w:hAnsi="Arial" w:cs="Arial"/>
                <w:color w:val="auto"/>
                <w:sz w:val="14"/>
                <w:szCs w:val="14"/>
              </w:rPr>
            </w:pPr>
          </w:p>
        </w:tc>
      </w:tr>
      <w:tr w:rsidR="00892E82" w:rsidRPr="00F07C0E" w14:paraId="27687324" w14:textId="77777777" w:rsidTr="00B23F69">
        <w:trPr>
          <w:trHeight w:val="48"/>
        </w:trPr>
        <w:tc>
          <w:tcPr>
            <w:tcW w:w="492" w:type="pct"/>
            <w:tcBorders>
              <w:top w:val="single" w:sz="5" w:space="0" w:color="000000"/>
              <w:left w:val="single" w:sz="5" w:space="0" w:color="000000"/>
              <w:bottom w:val="single" w:sz="4" w:space="0" w:color="auto"/>
              <w:right w:val="single" w:sz="5" w:space="0" w:color="000000"/>
            </w:tcBorders>
          </w:tcPr>
          <w:p w14:paraId="33FC7F36"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Abstract </w:t>
            </w:r>
          </w:p>
        </w:tc>
        <w:tc>
          <w:tcPr>
            <w:tcW w:w="209" w:type="pct"/>
            <w:tcBorders>
              <w:top w:val="single" w:sz="5" w:space="0" w:color="000000"/>
              <w:left w:val="single" w:sz="5" w:space="0" w:color="000000"/>
              <w:bottom w:val="single" w:sz="4" w:space="0" w:color="auto"/>
              <w:right w:val="single" w:sz="5" w:space="0" w:color="000000"/>
            </w:tcBorders>
          </w:tcPr>
          <w:p w14:paraId="78A90039"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w:t>
            </w:r>
          </w:p>
        </w:tc>
        <w:tc>
          <w:tcPr>
            <w:tcW w:w="3811" w:type="pct"/>
            <w:tcBorders>
              <w:top w:val="single" w:sz="5" w:space="0" w:color="000000"/>
              <w:left w:val="single" w:sz="5" w:space="0" w:color="000000"/>
              <w:bottom w:val="single" w:sz="4" w:space="0" w:color="auto"/>
              <w:right w:val="single" w:sz="5" w:space="0" w:color="000000"/>
            </w:tcBorders>
          </w:tcPr>
          <w:p w14:paraId="067A8119"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See the PRISMA 2020 for Abstracts checklist.</w:t>
            </w:r>
          </w:p>
        </w:tc>
        <w:tc>
          <w:tcPr>
            <w:tcW w:w="488" w:type="pct"/>
            <w:tcBorders>
              <w:top w:val="single" w:sz="5" w:space="0" w:color="000000"/>
              <w:left w:val="single" w:sz="5" w:space="0" w:color="000000"/>
              <w:bottom w:val="single" w:sz="4" w:space="0" w:color="auto"/>
              <w:right w:val="single" w:sz="5" w:space="0" w:color="000000"/>
            </w:tcBorders>
          </w:tcPr>
          <w:p w14:paraId="24B74F43"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Abstract</w:t>
            </w:r>
          </w:p>
        </w:tc>
      </w:tr>
      <w:tr w:rsidR="00892E82" w:rsidRPr="00F07C0E" w14:paraId="61DB6DF7" w14:textId="77777777" w:rsidTr="00B23F69">
        <w:trPr>
          <w:trHeight w:val="190"/>
        </w:trPr>
        <w:tc>
          <w:tcPr>
            <w:tcW w:w="4512" w:type="pct"/>
            <w:gridSpan w:val="3"/>
            <w:tcBorders>
              <w:top w:val="single" w:sz="4" w:space="0" w:color="auto"/>
              <w:left w:val="single" w:sz="5" w:space="0" w:color="000000"/>
              <w:bottom w:val="single" w:sz="5" w:space="0" w:color="000000"/>
              <w:right w:val="single" w:sz="5" w:space="0" w:color="000000"/>
            </w:tcBorders>
            <w:shd w:val="clear" w:color="auto" w:fill="D9D9D9" w:themeFill="background1" w:themeFillShade="D9"/>
            <w:vAlign w:val="center"/>
          </w:tcPr>
          <w:p w14:paraId="6D15EF96" w14:textId="77777777" w:rsidR="00892E82" w:rsidRPr="00F07C0E" w:rsidRDefault="00892E82" w:rsidP="00B23F69">
            <w:pPr>
              <w:pStyle w:val="Default"/>
              <w:rPr>
                <w:rFonts w:ascii="Arial" w:hAnsi="Arial" w:cs="Arial"/>
                <w:sz w:val="14"/>
                <w:szCs w:val="14"/>
              </w:rPr>
            </w:pPr>
            <w:r w:rsidRPr="00F07C0E">
              <w:rPr>
                <w:rFonts w:ascii="Arial" w:hAnsi="Arial" w:cs="Arial"/>
                <w:b/>
                <w:bCs/>
                <w:sz w:val="14"/>
                <w:szCs w:val="14"/>
              </w:rPr>
              <w:t xml:space="preserve">INTRODUCTION </w:t>
            </w:r>
          </w:p>
        </w:tc>
        <w:tc>
          <w:tcPr>
            <w:tcW w:w="488" w:type="pct"/>
            <w:tcBorders>
              <w:top w:val="single" w:sz="4" w:space="0" w:color="auto"/>
              <w:left w:val="single" w:sz="5" w:space="0" w:color="000000"/>
              <w:bottom w:val="single" w:sz="5" w:space="0" w:color="000000"/>
              <w:right w:val="single" w:sz="5" w:space="0" w:color="000000"/>
            </w:tcBorders>
            <w:shd w:val="clear" w:color="auto" w:fill="D9D9D9" w:themeFill="background1" w:themeFillShade="D9"/>
          </w:tcPr>
          <w:p w14:paraId="7D954094" w14:textId="77777777" w:rsidR="00892E82" w:rsidRPr="00F07C0E" w:rsidRDefault="00892E82" w:rsidP="00B23F69">
            <w:pPr>
              <w:pStyle w:val="Default"/>
              <w:jc w:val="right"/>
              <w:rPr>
                <w:rFonts w:ascii="Arial" w:hAnsi="Arial" w:cs="Arial"/>
                <w:color w:val="auto"/>
                <w:sz w:val="14"/>
                <w:szCs w:val="14"/>
              </w:rPr>
            </w:pPr>
          </w:p>
        </w:tc>
      </w:tr>
      <w:tr w:rsidR="00892E82" w:rsidRPr="00F07C0E" w14:paraId="5773BAF7"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3A1694D7"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Rationale </w:t>
            </w:r>
          </w:p>
        </w:tc>
        <w:tc>
          <w:tcPr>
            <w:tcW w:w="209" w:type="pct"/>
            <w:tcBorders>
              <w:top w:val="single" w:sz="5" w:space="0" w:color="000000"/>
              <w:left w:val="single" w:sz="5" w:space="0" w:color="000000"/>
              <w:bottom w:val="single" w:sz="5" w:space="0" w:color="000000"/>
              <w:right w:val="single" w:sz="5" w:space="0" w:color="000000"/>
            </w:tcBorders>
          </w:tcPr>
          <w:p w14:paraId="0F58DC77"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3</w:t>
            </w:r>
          </w:p>
        </w:tc>
        <w:tc>
          <w:tcPr>
            <w:tcW w:w="3811" w:type="pct"/>
            <w:tcBorders>
              <w:top w:val="single" w:sz="5" w:space="0" w:color="000000"/>
              <w:left w:val="single" w:sz="5" w:space="0" w:color="000000"/>
              <w:bottom w:val="single" w:sz="5" w:space="0" w:color="000000"/>
              <w:right w:val="single" w:sz="5" w:space="0" w:color="000000"/>
            </w:tcBorders>
          </w:tcPr>
          <w:p w14:paraId="5F0E8B55"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the rationale for the review in the context of existing knowledge.</w:t>
            </w:r>
          </w:p>
        </w:tc>
        <w:tc>
          <w:tcPr>
            <w:tcW w:w="488" w:type="pct"/>
            <w:tcBorders>
              <w:top w:val="single" w:sz="5" w:space="0" w:color="000000"/>
              <w:left w:val="single" w:sz="5" w:space="0" w:color="000000"/>
              <w:bottom w:val="single" w:sz="5" w:space="0" w:color="000000"/>
              <w:right w:val="single" w:sz="5" w:space="0" w:color="000000"/>
            </w:tcBorders>
          </w:tcPr>
          <w:p w14:paraId="4C042E5E"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Introduction</w:t>
            </w:r>
          </w:p>
        </w:tc>
      </w:tr>
      <w:tr w:rsidR="00892E82" w:rsidRPr="00F07C0E" w14:paraId="00219A09" w14:textId="77777777" w:rsidTr="00B23F69">
        <w:trPr>
          <w:trHeight w:val="48"/>
        </w:trPr>
        <w:tc>
          <w:tcPr>
            <w:tcW w:w="492" w:type="pct"/>
            <w:tcBorders>
              <w:top w:val="single" w:sz="5" w:space="0" w:color="000000"/>
              <w:left w:val="single" w:sz="5" w:space="0" w:color="000000"/>
              <w:bottom w:val="single" w:sz="4" w:space="0" w:color="auto"/>
              <w:right w:val="single" w:sz="5" w:space="0" w:color="000000"/>
            </w:tcBorders>
          </w:tcPr>
          <w:p w14:paraId="0DD88860"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Objectives </w:t>
            </w:r>
          </w:p>
        </w:tc>
        <w:tc>
          <w:tcPr>
            <w:tcW w:w="209" w:type="pct"/>
            <w:tcBorders>
              <w:top w:val="single" w:sz="5" w:space="0" w:color="000000"/>
              <w:left w:val="single" w:sz="5" w:space="0" w:color="000000"/>
              <w:bottom w:val="single" w:sz="4" w:space="0" w:color="auto"/>
              <w:right w:val="single" w:sz="5" w:space="0" w:color="000000"/>
            </w:tcBorders>
          </w:tcPr>
          <w:p w14:paraId="46F47AE7"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4</w:t>
            </w:r>
          </w:p>
        </w:tc>
        <w:tc>
          <w:tcPr>
            <w:tcW w:w="3811" w:type="pct"/>
            <w:tcBorders>
              <w:top w:val="single" w:sz="5" w:space="0" w:color="000000"/>
              <w:left w:val="single" w:sz="5" w:space="0" w:color="000000"/>
              <w:bottom w:val="single" w:sz="4" w:space="0" w:color="auto"/>
              <w:right w:val="single" w:sz="5" w:space="0" w:color="000000"/>
            </w:tcBorders>
          </w:tcPr>
          <w:p w14:paraId="2C1BDA51"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Provide an explicit statement of the objective(s) or question(s) the review addresses.</w:t>
            </w:r>
          </w:p>
        </w:tc>
        <w:tc>
          <w:tcPr>
            <w:tcW w:w="488" w:type="pct"/>
            <w:tcBorders>
              <w:top w:val="single" w:sz="5" w:space="0" w:color="000000"/>
              <w:left w:val="single" w:sz="5" w:space="0" w:color="000000"/>
              <w:bottom w:val="single" w:sz="4" w:space="0" w:color="auto"/>
              <w:right w:val="single" w:sz="5" w:space="0" w:color="000000"/>
            </w:tcBorders>
          </w:tcPr>
          <w:p w14:paraId="43932C91"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Introduction</w:t>
            </w:r>
          </w:p>
        </w:tc>
      </w:tr>
      <w:tr w:rsidR="00892E82" w:rsidRPr="00F07C0E" w14:paraId="7F640650" w14:textId="77777777" w:rsidTr="00B23F69">
        <w:trPr>
          <w:trHeight w:val="242"/>
        </w:trPr>
        <w:tc>
          <w:tcPr>
            <w:tcW w:w="4512" w:type="pct"/>
            <w:gridSpan w:val="3"/>
            <w:tcBorders>
              <w:top w:val="single" w:sz="4" w:space="0" w:color="auto"/>
              <w:left w:val="single" w:sz="5" w:space="0" w:color="000000"/>
              <w:bottom w:val="single" w:sz="5" w:space="0" w:color="000000"/>
              <w:right w:val="single" w:sz="5" w:space="0" w:color="000000"/>
            </w:tcBorders>
            <w:shd w:val="clear" w:color="auto" w:fill="D9D9D9" w:themeFill="background1" w:themeFillShade="D9"/>
            <w:vAlign w:val="center"/>
          </w:tcPr>
          <w:p w14:paraId="241EF934" w14:textId="77777777" w:rsidR="00892E82" w:rsidRPr="00F07C0E" w:rsidRDefault="00892E82" w:rsidP="00B23F69">
            <w:pPr>
              <w:pStyle w:val="Default"/>
              <w:rPr>
                <w:rFonts w:ascii="Arial" w:hAnsi="Arial" w:cs="Arial"/>
                <w:sz w:val="14"/>
                <w:szCs w:val="14"/>
              </w:rPr>
            </w:pPr>
            <w:r w:rsidRPr="00F07C0E">
              <w:rPr>
                <w:rFonts w:ascii="Arial" w:hAnsi="Arial" w:cs="Arial"/>
                <w:b/>
                <w:bCs/>
                <w:sz w:val="14"/>
                <w:szCs w:val="14"/>
              </w:rPr>
              <w:t xml:space="preserve">METHODS </w:t>
            </w:r>
          </w:p>
        </w:tc>
        <w:tc>
          <w:tcPr>
            <w:tcW w:w="488" w:type="pct"/>
            <w:tcBorders>
              <w:top w:val="single" w:sz="4" w:space="0" w:color="auto"/>
              <w:left w:val="single" w:sz="5" w:space="0" w:color="000000"/>
              <w:bottom w:val="single" w:sz="5" w:space="0" w:color="000000"/>
              <w:right w:val="single" w:sz="5" w:space="0" w:color="000000"/>
            </w:tcBorders>
            <w:shd w:val="clear" w:color="auto" w:fill="D9D9D9" w:themeFill="background1" w:themeFillShade="D9"/>
          </w:tcPr>
          <w:p w14:paraId="534B00A1" w14:textId="77777777" w:rsidR="00892E82" w:rsidRPr="00F07C0E" w:rsidRDefault="00892E82" w:rsidP="00B23F69">
            <w:pPr>
              <w:pStyle w:val="Default"/>
              <w:jc w:val="right"/>
              <w:rPr>
                <w:rFonts w:ascii="Arial" w:hAnsi="Arial" w:cs="Arial"/>
                <w:color w:val="auto"/>
                <w:sz w:val="14"/>
                <w:szCs w:val="14"/>
              </w:rPr>
            </w:pPr>
          </w:p>
        </w:tc>
      </w:tr>
      <w:tr w:rsidR="00892E82" w:rsidRPr="00F07C0E" w14:paraId="786095F2"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3B53257F"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Eligibility criteria </w:t>
            </w:r>
          </w:p>
        </w:tc>
        <w:tc>
          <w:tcPr>
            <w:tcW w:w="209" w:type="pct"/>
            <w:tcBorders>
              <w:top w:val="single" w:sz="5" w:space="0" w:color="000000"/>
              <w:left w:val="single" w:sz="5" w:space="0" w:color="000000"/>
              <w:bottom w:val="single" w:sz="5" w:space="0" w:color="000000"/>
              <w:right w:val="single" w:sz="5" w:space="0" w:color="000000"/>
            </w:tcBorders>
          </w:tcPr>
          <w:p w14:paraId="7FD24B7B"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5</w:t>
            </w:r>
          </w:p>
        </w:tc>
        <w:tc>
          <w:tcPr>
            <w:tcW w:w="3811" w:type="pct"/>
            <w:tcBorders>
              <w:top w:val="single" w:sz="5" w:space="0" w:color="000000"/>
              <w:left w:val="single" w:sz="5" w:space="0" w:color="000000"/>
              <w:bottom w:val="single" w:sz="5" w:space="0" w:color="000000"/>
              <w:right w:val="single" w:sz="5" w:space="0" w:color="000000"/>
            </w:tcBorders>
          </w:tcPr>
          <w:p w14:paraId="41A69F6D"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Specify the inclusion and exclusion criteria for the review and how studies were grouped for the syntheses.</w:t>
            </w:r>
          </w:p>
        </w:tc>
        <w:tc>
          <w:tcPr>
            <w:tcW w:w="488" w:type="pct"/>
            <w:tcBorders>
              <w:top w:val="single" w:sz="5" w:space="0" w:color="000000"/>
              <w:left w:val="single" w:sz="5" w:space="0" w:color="000000"/>
              <w:bottom w:val="single" w:sz="5" w:space="0" w:color="000000"/>
              <w:right w:val="single" w:sz="5" w:space="0" w:color="000000"/>
            </w:tcBorders>
          </w:tcPr>
          <w:p w14:paraId="303EE83F"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5B69F061" w14:textId="77777777" w:rsidTr="00B23F69">
        <w:trPr>
          <w:trHeight w:val="191"/>
        </w:trPr>
        <w:tc>
          <w:tcPr>
            <w:tcW w:w="492" w:type="pct"/>
            <w:tcBorders>
              <w:top w:val="single" w:sz="5" w:space="0" w:color="000000"/>
              <w:left w:val="single" w:sz="5" w:space="0" w:color="000000"/>
              <w:bottom w:val="single" w:sz="5" w:space="0" w:color="000000"/>
              <w:right w:val="single" w:sz="5" w:space="0" w:color="000000"/>
            </w:tcBorders>
          </w:tcPr>
          <w:p w14:paraId="2C6555AF"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Information sources </w:t>
            </w:r>
          </w:p>
        </w:tc>
        <w:tc>
          <w:tcPr>
            <w:tcW w:w="209" w:type="pct"/>
            <w:tcBorders>
              <w:top w:val="single" w:sz="5" w:space="0" w:color="000000"/>
              <w:left w:val="single" w:sz="5" w:space="0" w:color="000000"/>
              <w:bottom w:val="single" w:sz="5" w:space="0" w:color="000000"/>
              <w:right w:val="single" w:sz="5" w:space="0" w:color="000000"/>
            </w:tcBorders>
          </w:tcPr>
          <w:p w14:paraId="4694DC49"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6</w:t>
            </w:r>
          </w:p>
        </w:tc>
        <w:tc>
          <w:tcPr>
            <w:tcW w:w="3811" w:type="pct"/>
            <w:tcBorders>
              <w:top w:val="single" w:sz="5" w:space="0" w:color="000000"/>
              <w:left w:val="single" w:sz="5" w:space="0" w:color="000000"/>
              <w:bottom w:val="single" w:sz="5" w:space="0" w:color="000000"/>
              <w:right w:val="single" w:sz="5" w:space="0" w:color="000000"/>
            </w:tcBorders>
          </w:tcPr>
          <w:p w14:paraId="57D3C1D2"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Specify all databases, registers, websites, organisations, reference lists and other sources searched or consulted to identify studies. Specify the date when each source was last searched or consulted.</w:t>
            </w:r>
          </w:p>
        </w:tc>
        <w:tc>
          <w:tcPr>
            <w:tcW w:w="488" w:type="pct"/>
            <w:tcBorders>
              <w:top w:val="single" w:sz="5" w:space="0" w:color="000000"/>
              <w:left w:val="single" w:sz="5" w:space="0" w:color="000000"/>
              <w:bottom w:val="single" w:sz="5" w:space="0" w:color="000000"/>
              <w:right w:val="single" w:sz="5" w:space="0" w:color="000000"/>
            </w:tcBorders>
          </w:tcPr>
          <w:p w14:paraId="71BF854E"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37348EED"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0A379A93"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Search strategy</w:t>
            </w:r>
          </w:p>
        </w:tc>
        <w:tc>
          <w:tcPr>
            <w:tcW w:w="209" w:type="pct"/>
            <w:tcBorders>
              <w:top w:val="single" w:sz="5" w:space="0" w:color="000000"/>
              <w:left w:val="single" w:sz="5" w:space="0" w:color="000000"/>
              <w:bottom w:val="single" w:sz="5" w:space="0" w:color="000000"/>
              <w:right w:val="single" w:sz="5" w:space="0" w:color="000000"/>
            </w:tcBorders>
          </w:tcPr>
          <w:p w14:paraId="1231AB02"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7</w:t>
            </w:r>
          </w:p>
        </w:tc>
        <w:tc>
          <w:tcPr>
            <w:tcW w:w="3811" w:type="pct"/>
            <w:tcBorders>
              <w:top w:val="single" w:sz="5" w:space="0" w:color="000000"/>
              <w:left w:val="single" w:sz="5" w:space="0" w:color="000000"/>
              <w:bottom w:val="single" w:sz="5" w:space="0" w:color="000000"/>
              <w:right w:val="single" w:sz="5" w:space="0" w:color="000000"/>
            </w:tcBorders>
          </w:tcPr>
          <w:p w14:paraId="167A28A5"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Present the full search strategies for all databases, registers and websites, including any filters and limits used.</w:t>
            </w:r>
          </w:p>
        </w:tc>
        <w:tc>
          <w:tcPr>
            <w:tcW w:w="488" w:type="pct"/>
            <w:tcBorders>
              <w:top w:val="single" w:sz="5" w:space="0" w:color="000000"/>
              <w:left w:val="single" w:sz="5" w:space="0" w:color="000000"/>
              <w:bottom w:val="single" w:sz="5" w:space="0" w:color="000000"/>
              <w:right w:val="single" w:sz="5" w:space="0" w:color="000000"/>
            </w:tcBorders>
          </w:tcPr>
          <w:p w14:paraId="67760F44"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Supplementary Table ST4</w:t>
            </w:r>
          </w:p>
        </w:tc>
      </w:tr>
      <w:tr w:rsidR="00892E82" w:rsidRPr="00F07C0E" w14:paraId="2F934EE0"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765BF129"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Selection process</w:t>
            </w:r>
          </w:p>
        </w:tc>
        <w:tc>
          <w:tcPr>
            <w:tcW w:w="209" w:type="pct"/>
            <w:tcBorders>
              <w:top w:val="single" w:sz="5" w:space="0" w:color="000000"/>
              <w:left w:val="single" w:sz="5" w:space="0" w:color="000000"/>
              <w:bottom w:val="single" w:sz="5" w:space="0" w:color="000000"/>
              <w:right w:val="single" w:sz="5" w:space="0" w:color="000000"/>
            </w:tcBorders>
          </w:tcPr>
          <w:p w14:paraId="403FB4A5"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8</w:t>
            </w:r>
          </w:p>
        </w:tc>
        <w:tc>
          <w:tcPr>
            <w:tcW w:w="3811" w:type="pct"/>
            <w:tcBorders>
              <w:top w:val="single" w:sz="5" w:space="0" w:color="000000"/>
              <w:left w:val="single" w:sz="5" w:space="0" w:color="000000"/>
              <w:bottom w:val="single" w:sz="5" w:space="0" w:color="000000"/>
              <w:right w:val="single" w:sz="5" w:space="0" w:color="000000"/>
            </w:tcBorders>
          </w:tcPr>
          <w:p w14:paraId="6701F66E"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488" w:type="pct"/>
            <w:tcBorders>
              <w:top w:val="single" w:sz="5" w:space="0" w:color="000000"/>
              <w:left w:val="single" w:sz="5" w:space="0" w:color="000000"/>
              <w:bottom w:val="single" w:sz="5" w:space="0" w:color="000000"/>
              <w:right w:val="single" w:sz="5" w:space="0" w:color="000000"/>
            </w:tcBorders>
          </w:tcPr>
          <w:p w14:paraId="5157C7A8"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0D761033" w14:textId="77777777" w:rsidTr="00B23F69">
        <w:trPr>
          <w:trHeight w:val="152"/>
        </w:trPr>
        <w:tc>
          <w:tcPr>
            <w:tcW w:w="492" w:type="pct"/>
            <w:tcBorders>
              <w:top w:val="single" w:sz="5" w:space="0" w:color="000000"/>
              <w:left w:val="single" w:sz="5" w:space="0" w:color="000000"/>
              <w:bottom w:val="single" w:sz="5" w:space="0" w:color="000000"/>
              <w:right w:val="single" w:sz="5" w:space="0" w:color="000000"/>
            </w:tcBorders>
          </w:tcPr>
          <w:p w14:paraId="4145AEDB"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Data collection process </w:t>
            </w:r>
          </w:p>
        </w:tc>
        <w:tc>
          <w:tcPr>
            <w:tcW w:w="209" w:type="pct"/>
            <w:tcBorders>
              <w:top w:val="single" w:sz="5" w:space="0" w:color="000000"/>
              <w:left w:val="single" w:sz="5" w:space="0" w:color="000000"/>
              <w:bottom w:val="single" w:sz="5" w:space="0" w:color="000000"/>
              <w:right w:val="single" w:sz="5" w:space="0" w:color="000000"/>
            </w:tcBorders>
          </w:tcPr>
          <w:p w14:paraId="2951EC57"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9</w:t>
            </w:r>
          </w:p>
        </w:tc>
        <w:tc>
          <w:tcPr>
            <w:tcW w:w="3811" w:type="pct"/>
            <w:tcBorders>
              <w:top w:val="single" w:sz="5" w:space="0" w:color="000000"/>
              <w:left w:val="single" w:sz="5" w:space="0" w:color="000000"/>
              <w:bottom w:val="single" w:sz="5" w:space="0" w:color="000000"/>
              <w:right w:val="single" w:sz="5" w:space="0" w:color="000000"/>
            </w:tcBorders>
          </w:tcPr>
          <w:p w14:paraId="46E484D8"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488" w:type="pct"/>
            <w:tcBorders>
              <w:top w:val="single" w:sz="5" w:space="0" w:color="000000"/>
              <w:left w:val="single" w:sz="5" w:space="0" w:color="000000"/>
              <w:bottom w:val="single" w:sz="5" w:space="0" w:color="000000"/>
              <w:right w:val="single" w:sz="5" w:space="0" w:color="000000"/>
            </w:tcBorders>
          </w:tcPr>
          <w:p w14:paraId="47C937FF"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1C28A40F" w14:textId="77777777" w:rsidTr="00B23F69">
        <w:trPr>
          <w:trHeight w:val="48"/>
        </w:trPr>
        <w:tc>
          <w:tcPr>
            <w:tcW w:w="492" w:type="pct"/>
            <w:vMerge w:val="restart"/>
            <w:tcBorders>
              <w:top w:val="single" w:sz="5" w:space="0" w:color="000000"/>
              <w:left w:val="single" w:sz="5" w:space="0" w:color="000000"/>
              <w:right w:val="single" w:sz="5" w:space="0" w:color="000000"/>
            </w:tcBorders>
          </w:tcPr>
          <w:p w14:paraId="055830D9"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Data items </w:t>
            </w:r>
          </w:p>
        </w:tc>
        <w:tc>
          <w:tcPr>
            <w:tcW w:w="209" w:type="pct"/>
            <w:tcBorders>
              <w:top w:val="single" w:sz="5" w:space="0" w:color="000000"/>
              <w:left w:val="single" w:sz="5" w:space="0" w:color="000000"/>
              <w:bottom w:val="single" w:sz="5" w:space="0" w:color="000000"/>
              <w:right w:val="single" w:sz="5" w:space="0" w:color="000000"/>
            </w:tcBorders>
          </w:tcPr>
          <w:p w14:paraId="2356B0C7"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10a</w:t>
            </w:r>
          </w:p>
        </w:tc>
        <w:tc>
          <w:tcPr>
            <w:tcW w:w="3811" w:type="pct"/>
            <w:tcBorders>
              <w:top w:val="single" w:sz="5" w:space="0" w:color="000000"/>
              <w:left w:val="single" w:sz="5" w:space="0" w:color="000000"/>
              <w:bottom w:val="single" w:sz="5" w:space="0" w:color="000000"/>
              <w:right w:val="single" w:sz="5" w:space="0" w:color="000000"/>
            </w:tcBorders>
          </w:tcPr>
          <w:p w14:paraId="4FC881C2"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488" w:type="pct"/>
            <w:tcBorders>
              <w:top w:val="single" w:sz="5" w:space="0" w:color="000000"/>
              <w:left w:val="single" w:sz="5" w:space="0" w:color="000000"/>
              <w:bottom w:val="single" w:sz="5" w:space="0" w:color="000000"/>
              <w:right w:val="single" w:sz="5" w:space="0" w:color="000000"/>
            </w:tcBorders>
          </w:tcPr>
          <w:p w14:paraId="5A26C38B"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 Supplementary Table ST5</w:t>
            </w:r>
          </w:p>
        </w:tc>
      </w:tr>
      <w:tr w:rsidR="00892E82" w:rsidRPr="00F07C0E" w14:paraId="1B05B544" w14:textId="77777777" w:rsidTr="00B23F69">
        <w:trPr>
          <w:trHeight w:val="48"/>
        </w:trPr>
        <w:tc>
          <w:tcPr>
            <w:tcW w:w="492" w:type="pct"/>
            <w:vMerge/>
            <w:tcBorders>
              <w:left w:val="single" w:sz="5" w:space="0" w:color="000000"/>
              <w:bottom w:val="single" w:sz="5" w:space="0" w:color="000000"/>
              <w:right w:val="single" w:sz="5" w:space="0" w:color="000000"/>
            </w:tcBorders>
          </w:tcPr>
          <w:p w14:paraId="5E2A90E4"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22055292"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10b</w:t>
            </w:r>
          </w:p>
        </w:tc>
        <w:tc>
          <w:tcPr>
            <w:tcW w:w="3811" w:type="pct"/>
            <w:tcBorders>
              <w:top w:val="single" w:sz="5" w:space="0" w:color="000000"/>
              <w:left w:val="single" w:sz="5" w:space="0" w:color="000000"/>
              <w:bottom w:val="single" w:sz="5" w:space="0" w:color="000000"/>
              <w:right w:val="single" w:sz="5" w:space="0" w:color="000000"/>
            </w:tcBorders>
          </w:tcPr>
          <w:p w14:paraId="413D796A"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List and define all other variables for which data were sought (e.g. participant and intervention characteristics, funding sources). Describe any assumptions made about any missing or unclear information.</w:t>
            </w:r>
          </w:p>
        </w:tc>
        <w:tc>
          <w:tcPr>
            <w:tcW w:w="488" w:type="pct"/>
            <w:tcBorders>
              <w:top w:val="single" w:sz="5" w:space="0" w:color="000000"/>
              <w:left w:val="single" w:sz="5" w:space="0" w:color="000000"/>
              <w:bottom w:val="single" w:sz="5" w:space="0" w:color="000000"/>
              <w:right w:val="single" w:sz="5" w:space="0" w:color="000000"/>
            </w:tcBorders>
          </w:tcPr>
          <w:p w14:paraId="6E67B132"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 Supplementary Table ST5</w:t>
            </w:r>
          </w:p>
        </w:tc>
      </w:tr>
      <w:tr w:rsidR="00892E82" w:rsidRPr="00F07C0E" w14:paraId="4D1F29A1"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4507ACF9"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Study risk of bias assessment</w:t>
            </w:r>
          </w:p>
        </w:tc>
        <w:tc>
          <w:tcPr>
            <w:tcW w:w="209" w:type="pct"/>
            <w:tcBorders>
              <w:top w:val="single" w:sz="5" w:space="0" w:color="000000"/>
              <w:left w:val="single" w:sz="5" w:space="0" w:color="000000"/>
              <w:bottom w:val="single" w:sz="5" w:space="0" w:color="000000"/>
              <w:right w:val="single" w:sz="5" w:space="0" w:color="000000"/>
            </w:tcBorders>
          </w:tcPr>
          <w:p w14:paraId="528399EF"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11</w:t>
            </w:r>
          </w:p>
        </w:tc>
        <w:tc>
          <w:tcPr>
            <w:tcW w:w="3811" w:type="pct"/>
            <w:tcBorders>
              <w:top w:val="single" w:sz="5" w:space="0" w:color="000000"/>
              <w:left w:val="single" w:sz="5" w:space="0" w:color="000000"/>
              <w:bottom w:val="single" w:sz="5" w:space="0" w:color="000000"/>
              <w:right w:val="single" w:sz="5" w:space="0" w:color="000000"/>
            </w:tcBorders>
          </w:tcPr>
          <w:p w14:paraId="1DB5389F"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488" w:type="pct"/>
            <w:tcBorders>
              <w:top w:val="single" w:sz="5" w:space="0" w:color="000000"/>
              <w:left w:val="single" w:sz="5" w:space="0" w:color="000000"/>
              <w:bottom w:val="single" w:sz="5" w:space="0" w:color="000000"/>
              <w:right w:val="single" w:sz="5" w:space="0" w:color="000000"/>
            </w:tcBorders>
          </w:tcPr>
          <w:p w14:paraId="4C49FA96"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37B25D95"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3F8CD6DC"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Effect measures </w:t>
            </w:r>
          </w:p>
        </w:tc>
        <w:tc>
          <w:tcPr>
            <w:tcW w:w="209" w:type="pct"/>
            <w:tcBorders>
              <w:top w:val="single" w:sz="5" w:space="0" w:color="000000"/>
              <w:left w:val="single" w:sz="5" w:space="0" w:color="000000"/>
              <w:bottom w:val="single" w:sz="5" w:space="0" w:color="000000"/>
              <w:right w:val="single" w:sz="5" w:space="0" w:color="000000"/>
            </w:tcBorders>
          </w:tcPr>
          <w:p w14:paraId="191B99CE"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12</w:t>
            </w:r>
          </w:p>
        </w:tc>
        <w:tc>
          <w:tcPr>
            <w:tcW w:w="3811" w:type="pct"/>
            <w:tcBorders>
              <w:top w:val="single" w:sz="5" w:space="0" w:color="000000"/>
              <w:left w:val="single" w:sz="5" w:space="0" w:color="000000"/>
              <w:bottom w:val="single" w:sz="5" w:space="0" w:color="000000"/>
              <w:right w:val="single" w:sz="5" w:space="0" w:color="000000"/>
            </w:tcBorders>
          </w:tcPr>
          <w:p w14:paraId="52E82C2E"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Specify for each outcome the effect measure(s) (e.g. risk ratio, mean difference) used in the synthesis or presentation of results.</w:t>
            </w:r>
          </w:p>
        </w:tc>
        <w:tc>
          <w:tcPr>
            <w:tcW w:w="488" w:type="pct"/>
            <w:tcBorders>
              <w:top w:val="single" w:sz="5" w:space="0" w:color="000000"/>
              <w:left w:val="single" w:sz="5" w:space="0" w:color="000000"/>
              <w:bottom w:val="single" w:sz="5" w:space="0" w:color="000000"/>
              <w:right w:val="single" w:sz="5" w:space="0" w:color="000000"/>
            </w:tcBorders>
          </w:tcPr>
          <w:p w14:paraId="2FF3D154"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521ADED7" w14:textId="77777777" w:rsidTr="00B23F69">
        <w:trPr>
          <w:trHeight w:val="48"/>
        </w:trPr>
        <w:tc>
          <w:tcPr>
            <w:tcW w:w="492" w:type="pct"/>
            <w:vMerge w:val="restart"/>
            <w:tcBorders>
              <w:top w:val="single" w:sz="5" w:space="0" w:color="000000"/>
              <w:left w:val="single" w:sz="5" w:space="0" w:color="000000"/>
              <w:right w:val="single" w:sz="5" w:space="0" w:color="000000"/>
            </w:tcBorders>
          </w:tcPr>
          <w:p w14:paraId="50BCDD57"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Synthesis methods</w:t>
            </w:r>
          </w:p>
        </w:tc>
        <w:tc>
          <w:tcPr>
            <w:tcW w:w="209" w:type="pct"/>
            <w:tcBorders>
              <w:top w:val="single" w:sz="5" w:space="0" w:color="000000"/>
              <w:left w:val="single" w:sz="5" w:space="0" w:color="000000"/>
              <w:bottom w:val="single" w:sz="5" w:space="0" w:color="000000"/>
              <w:right w:val="single" w:sz="5" w:space="0" w:color="000000"/>
            </w:tcBorders>
          </w:tcPr>
          <w:p w14:paraId="788445FE"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13a</w:t>
            </w:r>
          </w:p>
        </w:tc>
        <w:tc>
          <w:tcPr>
            <w:tcW w:w="3811" w:type="pct"/>
            <w:tcBorders>
              <w:top w:val="single" w:sz="5" w:space="0" w:color="000000"/>
              <w:left w:val="single" w:sz="5" w:space="0" w:color="000000"/>
              <w:bottom w:val="single" w:sz="5" w:space="0" w:color="000000"/>
              <w:right w:val="single" w:sz="5" w:space="0" w:color="000000"/>
            </w:tcBorders>
          </w:tcPr>
          <w:p w14:paraId="057E16FD"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the processes used to decide which studies were eligible for each synthesis (e.g. tabulating the study intervention characteristics and comparing against the planned groups for each synthesis (item #5)).</w:t>
            </w:r>
          </w:p>
        </w:tc>
        <w:tc>
          <w:tcPr>
            <w:tcW w:w="488" w:type="pct"/>
            <w:tcBorders>
              <w:top w:val="single" w:sz="5" w:space="0" w:color="000000"/>
              <w:left w:val="single" w:sz="5" w:space="0" w:color="000000"/>
              <w:bottom w:val="single" w:sz="5" w:space="0" w:color="000000"/>
              <w:right w:val="single" w:sz="5" w:space="0" w:color="000000"/>
            </w:tcBorders>
          </w:tcPr>
          <w:p w14:paraId="5144A92C"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6F1FC155" w14:textId="77777777" w:rsidTr="00B23F69">
        <w:trPr>
          <w:trHeight w:val="48"/>
        </w:trPr>
        <w:tc>
          <w:tcPr>
            <w:tcW w:w="492" w:type="pct"/>
            <w:vMerge/>
            <w:tcBorders>
              <w:left w:val="single" w:sz="5" w:space="0" w:color="000000"/>
              <w:right w:val="single" w:sz="5" w:space="0" w:color="000000"/>
            </w:tcBorders>
          </w:tcPr>
          <w:p w14:paraId="6BE3C07C"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1B5C41D8"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13b</w:t>
            </w:r>
          </w:p>
        </w:tc>
        <w:tc>
          <w:tcPr>
            <w:tcW w:w="3811" w:type="pct"/>
            <w:tcBorders>
              <w:top w:val="single" w:sz="5" w:space="0" w:color="000000"/>
              <w:left w:val="single" w:sz="5" w:space="0" w:color="000000"/>
              <w:bottom w:val="single" w:sz="5" w:space="0" w:color="000000"/>
              <w:right w:val="single" w:sz="5" w:space="0" w:color="000000"/>
            </w:tcBorders>
          </w:tcPr>
          <w:p w14:paraId="3D56CB6B"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any methods required to prepare the data for presentation or synthesis, such as handling of missing summary statistics, or data conversions.</w:t>
            </w:r>
          </w:p>
        </w:tc>
        <w:tc>
          <w:tcPr>
            <w:tcW w:w="488" w:type="pct"/>
            <w:tcBorders>
              <w:top w:val="single" w:sz="5" w:space="0" w:color="000000"/>
              <w:left w:val="single" w:sz="5" w:space="0" w:color="000000"/>
              <w:bottom w:val="single" w:sz="5" w:space="0" w:color="000000"/>
              <w:right w:val="single" w:sz="5" w:space="0" w:color="000000"/>
            </w:tcBorders>
          </w:tcPr>
          <w:p w14:paraId="45C69A71"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4853A3C7" w14:textId="77777777" w:rsidTr="00B23F69">
        <w:trPr>
          <w:trHeight w:val="48"/>
        </w:trPr>
        <w:tc>
          <w:tcPr>
            <w:tcW w:w="492" w:type="pct"/>
            <w:vMerge/>
            <w:tcBorders>
              <w:left w:val="single" w:sz="5" w:space="0" w:color="000000"/>
              <w:right w:val="single" w:sz="5" w:space="0" w:color="000000"/>
            </w:tcBorders>
          </w:tcPr>
          <w:p w14:paraId="3048C361"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727C307C"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13c</w:t>
            </w:r>
          </w:p>
        </w:tc>
        <w:tc>
          <w:tcPr>
            <w:tcW w:w="3811" w:type="pct"/>
            <w:tcBorders>
              <w:top w:val="single" w:sz="5" w:space="0" w:color="000000"/>
              <w:left w:val="single" w:sz="5" w:space="0" w:color="000000"/>
              <w:bottom w:val="single" w:sz="5" w:space="0" w:color="000000"/>
              <w:right w:val="single" w:sz="5" w:space="0" w:color="000000"/>
            </w:tcBorders>
          </w:tcPr>
          <w:p w14:paraId="215CF37E"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any methods used to tabulate or visually display results of individual studies and syntheses.</w:t>
            </w:r>
          </w:p>
        </w:tc>
        <w:tc>
          <w:tcPr>
            <w:tcW w:w="488" w:type="pct"/>
            <w:tcBorders>
              <w:top w:val="single" w:sz="5" w:space="0" w:color="000000"/>
              <w:left w:val="single" w:sz="5" w:space="0" w:color="000000"/>
              <w:bottom w:val="single" w:sz="5" w:space="0" w:color="000000"/>
              <w:right w:val="single" w:sz="5" w:space="0" w:color="000000"/>
            </w:tcBorders>
          </w:tcPr>
          <w:p w14:paraId="05F5F8BA"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23D9A510" w14:textId="77777777" w:rsidTr="00B23F69">
        <w:trPr>
          <w:trHeight w:val="48"/>
        </w:trPr>
        <w:tc>
          <w:tcPr>
            <w:tcW w:w="492" w:type="pct"/>
            <w:vMerge/>
            <w:tcBorders>
              <w:left w:val="single" w:sz="5" w:space="0" w:color="000000"/>
              <w:right w:val="single" w:sz="5" w:space="0" w:color="000000"/>
            </w:tcBorders>
          </w:tcPr>
          <w:p w14:paraId="4BBEE993"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761395E6"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13d</w:t>
            </w:r>
          </w:p>
        </w:tc>
        <w:tc>
          <w:tcPr>
            <w:tcW w:w="3811" w:type="pct"/>
            <w:tcBorders>
              <w:top w:val="single" w:sz="5" w:space="0" w:color="000000"/>
              <w:left w:val="single" w:sz="5" w:space="0" w:color="000000"/>
              <w:bottom w:val="single" w:sz="5" w:space="0" w:color="000000"/>
              <w:right w:val="single" w:sz="5" w:space="0" w:color="000000"/>
            </w:tcBorders>
          </w:tcPr>
          <w:p w14:paraId="686A8F2A"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any methods used to synthesize results and provide a rationale for the choice(s). If meta-analysis was performed, describe the model(s), method(s) to identify the presence and extent of statistical heterogeneity, and software package(s) used.</w:t>
            </w:r>
          </w:p>
        </w:tc>
        <w:tc>
          <w:tcPr>
            <w:tcW w:w="488" w:type="pct"/>
            <w:tcBorders>
              <w:top w:val="single" w:sz="5" w:space="0" w:color="000000"/>
              <w:left w:val="single" w:sz="5" w:space="0" w:color="000000"/>
              <w:bottom w:val="single" w:sz="5" w:space="0" w:color="000000"/>
              <w:right w:val="single" w:sz="5" w:space="0" w:color="000000"/>
            </w:tcBorders>
          </w:tcPr>
          <w:p w14:paraId="5B032CC7"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3610DD51" w14:textId="77777777" w:rsidTr="00B23F69">
        <w:trPr>
          <w:trHeight w:val="48"/>
        </w:trPr>
        <w:tc>
          <w:tcPr>
            <w:tcW w:w="492" w:type="pct"/>
            <w:vMerge/>
            <w:tcBorders>
              <w:left w:val="single" w:sz="5" w:space="0" w:color="000000"/>
              <w:right w:val="single" w:sz="5" w:space="0" w:color="000000"/>
            </w:tcBorders>
          </w:tcPr>
          <w:p w14:paraId="6F9E1753"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1EF1B40E"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13e</w:t>
            </w:r>
          </w:p>
        </w:tc>
        <w:tc>
          <w:tcPr>
            <w:tcW w:w="3811" w:type="pct"/>
            <w:tcBorders>
              <w:top w:val="single" w:sz="5" w:space="0" w:color="000000"/>
              <w:left w:val="single" w:sz="5" w:space="0" w:color="000000"/>
              <w:bottom w:val="single" w:sz="5" w:space="0" w:color="000000"/>
              <w:right w:val="single" w:sz="5" w:space="0" w:color="000000"/>
            </w:tcBorders>
          </w:tcPr>
          <w:p w14:paraId="39953BF4"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any methods used to explore possible causes of heterogeneity among study results (e.g. subgroup analysis, meta-regression).</w:t>
            </w:r>
          </w:p>
        </w:tc>
        <w:tc>
          <w:tcPr>
            <w:tcW w:w="488" w:type="pct"/>
            <w:tcBorders>
              <w:top w:val="single" w:sz="5" w:space="0" w:color="000000"/>
              <w:left w:val="single" w:sz="5" w:space="0" w:color="000000"/>
              <w:bottom w:val="single" w:sz="5" w:space="0" w:color="000000"/>
              <w:right w:val="single" w:sz="5" w:space="0" w:color="000000"/>
            </w:tcBorders>
          </w:tcPr>
          <w:p w14:paraId="2D29C254"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067E0546" w14:textId="77777777" w:rsidTr="00B23F69">
        <w:trPr>
          <w:trHeight w:val="50"/>
        </w:trPr>
        <w:tc>
          <w:tcPr>
            <w:tcW w:w="492" w:type="pct"/>
            <w:vMerge/>
            <w:tcBorders>
              <w:left w:val="single" w:sz="5" w:space="0" w:color="000000"/>
              <w:bottom w:val="single" w:sz="5" w:space="0" w:color="000000"/>
              <w:right w:val="single" w:sz="5" w:space="0" w:color="000000"/>
            </w:tcBorders>
          </w:tcPr>
          <w:p w14:paraId="40074D3C"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732AC458"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13f</w:t>
            </w:r>
          </w:p>
        </w:tc>
        <w:tc>
          <w:tcPr>
            <w:tcW w:w="3811" w:type="pct"/>
            <w:tcBorders>
              <w:top w:val="single" w:sz="5" w:space="0" w:color="000000"/>
              <w:left w:val="single" w:sz="5" w:space="0" w:color="000000"/>
              <w:bottom w:val="single" w:sz="5" w:space="0" w:color="000000"/>
              <w:right w:val="single" w:sz="5" w:space="0" w:color="000000"/>
            </w:tcBorders>
          </w:tcPr>
          <w:p w14:paraId="4ABB6419"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any sensitivity analyses conducted to assess robustness of the synthesized results.</w:t>
            </w:r>
          </w:p>
        </w:tc>
        <w:tc>
          <w:tcPr>
            <w:tcW w:w="488" w:type="pct"/>
            <w:tcBorders>
              <w:top w:val="single" w:sz="5" w:space="0" w:color="000000"/>
              <w:left w:val="single" w:sz="5" w:space="0" w:color="000000"/>
              <w:bottom w:val="single" w:sz="5" w:space="0" w:color="000000"/>
              <w:right w:val="single" w:sz="5" w:space="0" w:color="000000"/>
            </w:tcBorders>
          </w:tcPr>
          <w:p w14:paraId="11FBDDF0"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1C52CC67"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2B9D140A"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Reporting bias assessment</w:t>
            </w:r>
          </w:p>
        </w:tc>
        <w:tc>
          <w:tcPr>
            <w:tcW w:w="209" w:type="pct"/>
            <w:tcBorders>
              <w:top w:val="single" w:sz="5" w:space="0" w:color="000000"/>
              <w:left w:val="single" w:sz="5" w:space="0" w:color="000000"/>
              <w:bottom w:val="single" w:sz="5" w:space="0" w:color="000000"/>
              <w:right w:val="single" w:sz="5" w:space="0" w:color="000000"/>
            </w:tcBorders>
          </w:tcPr>
          <w:p w14:paraId="441693A8"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14</w:t>
            </w:r>
          </w:p>
        </w:tc>
        <w:tc>
          <w:tcPr>
            <w:tcW w:w="3811" w:type="pct"/>
            <w:tcBorders>
              <w:top w:val="single" w:sz="5" w:space="0" w:color="000000"/>
              <w:left w:val="single" w:sz="5" w:space="0" w:color="000000"/>
              <w:bottom w:val="single" w:sz="5" w:space="0" w:color="000000"/>
              <w:right w:val="single" w:sz="5" w:space="0" w:color="000000"/>
            </w:tcBorders>
          </w:tcPr>
          <w:p w14:paraId="312B6D92"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any methods used to assess risk of bias due to missing results in a synthesis (arising from reporting biases).</w:t>
            </w:r>
          </w:p>
        </w:tc>
        <w:tc>
          <w:tcPr>
            <w:tcW w:w="488" w:type="pct"/>
            <w:tcBorders>
              <w:top w:val="single" w:sz="5" w:space="0" w:color="000000"/>
              <w:left w:val="single" w:sz="5" w:space="0" w:color="000000"/>
              <w:bottom w:val="single" w:sz="5" w:space="0" w:color="000000"/>
              <w:right w:val="single" w:sz="5" w:space="0" w:color="000000"/>
            </w:tcBorders>
          </w:tcPr>
          <w:p w14:paraId="6A175633"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43A94E15" w14:textId="77777777" w:rsidTr="00B23F69">
        <w:trPr>
          <w:trHeight w:val="48"/>
        </w:trPr>
        <w:tc>
          <w:tcPr>
            <w:tcW w:w="492" w:type="pct"/>
            <w:tcBorders>
              <w:top w:val="single" w:sz="5" w:space="0" w:color="000000"/>
              <w:left w:val="single" w:sz="5" w:space="0" w:color="000000"/>
              <w:bottom w:val="single" w:sz="4" w:space="0" w:color="auto"/>
              <w:right w:val="single" w:sz="5" w:space="0" w:color="000000"/>
            </w:tcBorders>
          </w:tcPr>
          <w:p w14:paraId="2F785825"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Certainty assessment</w:t>
            </w:r>
          </w:p>
        </w:tc>
        <w:tc>
          <w:tcPr>
            <w:tcW w:w="209" w:type="pct"/>
            <w:tcBorders>
              <w:top w:val="single" w:sz="5" w:space="0" w:color="000000"/>
              <w:left w:val="single" w:sz="5" w:space="0" w:color="000000"/>
              <w:bottom w:val="single" w:sz="4" w:space="0" w:color="auto"/>
              <w:right w:val="single" w:sz="5" w:space="0" w:color="000000"/>
            </w:tcBorders>
          </w:tcPr>
          <w:p w14:paraId="36DA5D48"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15</w:t>
            </w:r>
          </w:p>
        </w:tc>
        <w:tc>
          <w:tcPr>
            <w:tcW w:w="3811" w:type="pct"/>
            <w:tcBorders>
              <w:top w:val="single" w:sz="5" w:space="0" w:color="000000"/>
              <w:left w:val="single" w:sz="5" w:space="0" w:color="000000"/>
              <w:bottom w:val="single" w:sz="4" w:space="0" w:color="auto"/>
              <w:right w:val="single" w:sz="5" w:space="0" w:color="000000"/>
            </w:tcBorders>
          </w:tcPr>
          <w:p w14:paraId="723964D3"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any methods used to assess certainty (or confidence) in the body of evidence for an outcome.</w:t>
            </w:r>
          </w:p>
        </w:tc>
        <w:tc>
          <w:tcPr>
            <w:tcW w:w="488" w:type="pct"/>
            <w:tcBorders>
              <w:top w:val="single" w:sz="5" w:space="0" w:color="000000"/>
              <w:left w:val="single" w:sz="5" w:space="0" w:color="000000"/>
              <w:bottom w:val="single" w:sz="4" w:space="0" w:color="auto"/>
              <w:right w:val="single" w:sz="5" w:space="0" w:color="000000"/>
            </w:tcBorders>
          </w:tcPr>
          <w:p w14:paraId="1EDDF268"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4CA4F47B" w14:textId="77777777" w:rsidTr="00B23F69">
        <w:trPr>
          <w:trHeight w:val="224"/>
        </w:trPr>
        <w:tc>
          <w:tcPr>
            <w:tcW w:w="4512" w:type="pct"/>
            <w:gridSpan w:val="3"/>
            <w:tcBorders>
              <w:top w:val="single" w:sz="4" w:space="0" w:color="auto"/>
              <w:left w:val="single" w:sz="5" w:space="0" w:color="000000"/>
              <w:bottom w:val="single" w:sz="5" w:space="0" w:color="000000"/>
              <w:right w:val="single" w:sz="5" w:space="0" w:color="000000"/>
            </w:tcBorders>
            <w:shd w:val="clear" w:color="auto" w:fill="D9D9D9" w:themeFill="background1" w:themeFillShade="D9"/>
            <w:vAlign w:val="center"/>
          </w:tcPr>
          <w:p w14:paraId="51254E59" w14:textId="77777777" w:rsidR="00892E82" w:rsidRPr="00F07C0E" w:rsidRDefault="00892E82" w:rsidP="00B23F69">
            <w:pPr>
              <w:pStyle w:val="Default"/>
              <w:rPr>
                <w:rFonts w:ascii="Arial" w:hAnsi="Arial" w:cs="Arial"/>
                <w:sz w:val="14"/>
                <w:szCs w:val="14"/>
              </w:rPr>
            </w:pPr>
            <w:r w:rsidRPr="00F07C0E">
              <w:rPr>
                <w:rFonts w:ascii="Arial" w:hAnsi="Arial" w:cs="Arial"/>
                <w:b/>
                <w:bCs/>
                <w:sz w:val="14"/>
                <w:szCs w:val="14"/>
              </w:rPr>
              <w:lastRenderedPageBreak/>
              <w:t xml:space="preserve">RESULTS </w:t>
            </w:r>
          </w:p>
        </w:tc>
        <w:tc>
          <w:tcPr>
            <w:tcW w:w="488" w:type="pct"/>
            <w:tcBorders>
              <w:top w:val="single" w:sz="4" w:space="0" w:color="auto"/>
              <w:left w:val="single" w:sz="5" w:space="0" w:color="000000"/>
              <w:bottom w:val="single" w:sz="5" w:space="0" w:color="000000"/>
              <w:right w:val="single" w:sz="5" w:space="0" w:color="000000"/>
            </w:tcBorders>
            <w:shd w:val="clear" w:color="auto" w:fill="D9D9D9" w:themeFill="background1" w:themeFillShade="D9"/>
          </w:tcPr>
          <w:p w14:paraId="1F3B9A8E" w14:textId="77777777" w:rsidR="00892E82" w:rsidRPr="00F07C0E" w:rsidRDefault="00892E82" w:rsidP="00B23F69">
            <w:pPr>
              <w:pStyle w:val="Default"/>
              <w:jc w:val="center"/>
              <w:rPr>
                <w:rFonts w:ascii="Arial" w:hAnsi="Arial" w:cs="Arial"/>
                <w:color w:val="auto"/>
                <w:sz w:val="14"/>
                <w:szCs w:val="14"/>
              </w:rPr>
            </w:pPr>
          </w:p>
        </w:tc>
      </w:tr>
      <w:tr w:rsidR="00892E82" w:rsidRPr="00F07C0E" w14:paraId="208F0C8F" w14:textId="77777777" w:rsidTr="00B23F69">
        <w:trPr>
          <w:trHeight w:val="48"/>
        </w:trPr>
        <w:tc>
          <w:tcPr>
            <w:tcW w:w="492" w:type="pct"/>
            <w:vMerge w:val="restart"/>
            <w:tcBorders>
              <w:top w:val="single" w:sz="5" w:space="0" w:color="000000"/>
              <w:left w:val="single" w:sz="5" w:space="0" w:color="000000"/>
              <w:right w:val="single" w:sz="5" w:space="0" w:color="000000"/>
            </w:tcBorders>
          </w:tcPr>
          <w:p w14:paraId="6F43E3AE"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Study selection </w:t>
            </w:r>
          </w:p>
        </w:tc>
        <w:tc>
          <w:tcPr>
            <w:tcW w:w="209" w:type="pct"/>
            <w:tcBorders>
              <w:top w:val="single" w:sz="5" w:space="0" w:color="000000"/>
              <w:left w:val="single" w:sz="5" w:space="0" w:color="000000"/>
              <w:bottom w:val="single" w:sz="5" w:space="0" w:color="000000"/>
              <w:right w:val="single" w:sz="5" w:space="0" w:color="000000"/>
            </w:tcBorders>
          </w:tcPr>
          <w:p w14:paraId="1A82719D"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16a</w:t>
            </w:r>
          </w:p>
        </w:tc>
        <w:tc>
          <w:tcPr>
            <w:tcW w:w="3811" w:type="pct"/>
            <w:tcBorders>
              <w:top w:val="single" w:sz="5" w:space="0" w:color="000000"/>
              <w:left w:val="single" w:sz="5" w:space="0" w:color="000000"/>
              <w:bottom w:val="single" w:sz="5" w:space="0" w:color="000000"/>
              <w:right w:val="single" w:sz="5" w:space="0" w:color="000000"/>
            </w:tcBorders>
          </w:tcPr>
          <w:p w14:paraId="194D60FD"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the results of the search and selection process, from the number of records identified in the search to the number of studies included in the review, ideally using a flow diagram.</w:t>
            </w:r>
          </w:p>
        </w:tc>
        <w:tc>
          <w:tcPr>
            <w:tcW w:w="488" w:type="pct"/>
            <w:tcBorders>
              <w:top w:val="single" w:sz="5" w:space="0" w:color="000000"/>
              <w:left w:val="single" w:sz="5" w:space="0" w:color="000000"/>
              <w:bottom w:val="single" w:sz="5" w:space="0" w:color="000000"/>
              <w:right w:val="single" w:sz="5" w:space="0" w:color="000000"/>
            </w:tcBorders>
          </w:tcPr>
          <w:p w14:paraId="488E924A"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Results</w:t>
            </w:r>
          </w:p>
        </w:tc>
      </w:tr>
      <w:tr w:rsidR="00892E82" w:rsidRPr="00F07C0E" w14:paraId="33AA2202" w14:textId="77777777" w:rsidTr="00B23F69">
        <w:trPr>
          <w:trHeight w:val="48"/>
        </w:trPr>
        <w:tc>
          <w:tcPr>
            <w:tcW w:w="492" w:type="pct"/>
            <w:vMerge/>
            <w:tcBorders>
              <w:left w:val="single" w:sz="5" w:space="0" w:color="000000"/>
              <w:bottom w:val="single" w:sz="5" w:space="0" w:color="000000"/>
              <w:right w:val="single" w:sz="5" w:space="0" w:color="000000"/>
            </w:tcBorders>
          </w:tcPr>
          <w:p w14:paraId="2AE17E1A"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27AF6F1B"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16b</w:t>
            </w:r>
          </w:p>
        </w:tc>
        <w:tc>
          <w:tcPr>
            <w:tcW w:w="3811" w:type="pct"/>
            <w:tcBorders>
              <w:top w:val="single" w:sz="5" w:space="0" w:color="000000"/>
              <w:left w:val="single" w:sz="5" w:space="0" w:color="000000"/>
              <w:bottom w:val="single" w:sz="5" w:space="0" w:color="000000"/>
              <w:right w:val="single" w:sz="5" w:space="0" w:color="000000"/>
            </w:tcBorders>
          </w:tcPr>
          <w:p w14:paraId="1046397A"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Cite studies that might appear to meet the inclusion criteria, but which were excluded, and explain why they were excluded.</w:t>
            </w:r>
          </w:p>
        </w:tc>
        <w:tc>
          <w:tcPr>
            <w:tcW w:w="488" w:type="pct"/>
            <w:tcBorders>
              <w:top w:val="single" w:sz="5" w:space="0" w:color="000000"/>
              <w:left w:val="single" w:sz="5" w:space="0" w:color="000000"/>
              <w:bottom w:val="single" w:sz="5" w:space="0" w:color="000000"/>
              <w:right w:val="single" w:sz="5" w:space="0" w:color="000000"/>
            </w:tcBorders>
          </w:tcPr>
          <w:p w14:paraId="7117A88D"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w:t>
            </w:r>
          </w:p>
        </w:tc>
      </w:tr>
      <w:tr w:rsidR="00892E82" w:rsidRPr="00F07C0E" w14:paraId="7DDD5B0B" w14:textId="77777777" w:rsidTr="00B23F69">
        <w:trPr>
          <w:trHeight w:val="103"/>
        </w:trPr>
        <w:tc>
          <w:tcPr>
            <w:tcW w:w="492" w:type="pct"/>
            <w:tcBorders>
              <w:top w:val="single" w:sz="5" w:space="0" w:color="000000"/>
              <w:left w:val="single" w:sz="5" w:space="0" w:color="000000"/>
              <w:bottom w:val="single" w:sz="5" w:space="0" w:color="000000"/>
              <w:right w:val="single" w:sz="5" w:space="0" w:color="000000"/>
            </w:tcBorders>
          </w:tcPr>
          <w:p w14:paraId="20E77913"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Study characteristics </w:t>
            </w:r>
          </w:p>
        </w:tc>
        <w:tc>
          <w:tcPr>
            <w:tcW w:w="209" w:type="pct"/>
            <w:tcBorders>
              <w:top w:val="single" w:sz="5" w:space="0" w:color="000000"/>
              <w:left w:val="single" w:sz="5" w:space="0" w:color="000000"/>
              <w:bottom w:val="single" w:sz="5" w:space="0" w:color="000000"/>
              <w:right w:val="single" w:sz="5" w:space="0" w:color="000000"/>
            </w:tcBorders>
          </w:tcPr>
          <w:p w14:paraId="6B1C9947"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17</w:t>
            </w:r>
          </w:p>
        </w:tc>
        <w:tc>
          <w:tcPr>
            <w:tcW w:w="3811" w:type="pct"/>
            <w:tcBorders>
              <w:top w:val="single" w:sz="5" w:space="0" w:color="000000"/>
              <w:left w:val="single" w:sz="5" w:space="0" w:color="000000"/>
              <w:bottom w:val="single" w:sz="5" w:space="0" w:color="000000"/>
              <w:right w:val="single" w:sz="5" w:space="0" w:color="000000"/>
            </w:tcBorders>
          </w:tcPr>
          <w:p w14:paraId="43312EA8"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Cite each included study and present its characteristics.</w:t>
            </w:r>
          </w:p>
        </w:tc>
        <w:tc>
          <w:tcPr>
            <w:tcW w:w="488" w:type="pct"/>
            <w:tcBorders>
              <w:top w:val="single" w:sz="5" w:space="0" w:color="000000"/>
              <w:left w:val="single" w:sz="5" w:space="0" w:color="000000"/>
              <w:bottom w:val="single" w:sz="5" w:space="0" w:color="000000"/>
              <w:right w:val="single" w:sz="5" w:space="0" w:color="000000"/>
            </w:tcBorders>
          </w:tcPr>
          <w:p w14:paraId="50D7B23B"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Results</w:t>
            </w:r>
          </w:p>
        </w:tc>
      </w:tr>
      <w:tr w:rsidR="00892E82" w:rsidRPr="00F07C0E" w14:paraId="6BFE644A"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2FFABE7E"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Risk of bias in studies </w:t>
            </w:r>
          </w:p>
        </w:tc>
        <w:tc>
          <w:tcPr>
            <w:tcW w:w="209" w:type="pct"/>
            <w:tcBorders>
              <w:top w:val="single" w:sz="5" w:space="0" w:color="000000"/>
              <w:left w:val="single" w:sz="5" w:space="0" w:color="000000"/>
              <w:bottom w:val="single" w:sz="5" w:space="0" w:color="000000"/>
              <w:right w:val="single" w:sz="5" w:space="0" w:color="000000"/>
            </w:tcBorders>
          </w:tcPr>
          <w:p w14:paraId="416AA73D"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18</w:t>
            </w:r>
          </w:p>
        </w:tc>
        <w:tc>
          <w:tcPr>
            <w:tcW w:w="3811" w:type="pct"/>
            <w:tcBorders>
              <w:top w:val="single" w:sz="5" w:space="0" w:color="000000"/>
              <w:left w:val="single" w:sz="5" w:space="0" w:color="000000"/>
              <w:bottom w:val="single" w:sz="5" w:space="0" w:color="000000"/>
              <w:right w:val="single" w:sz="5" w:space="0" w:color="000000"/>
            </w:tcBorders>
          </w:tcPr>
          <w:p w14:paraId="339EA33B"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Present assessments of risk of bias for each included study.</w:t>
            </w:r>
          </w:p>
        </w:tc>
        <w:tc>
          <w:tcPr>
            <w:tcW w:w="488" w:type="pct"/>
            <w:tcBorders>
              <w:top w:val="single" w:sz="5" w:space="0" w:color="000000"/>
              <w:left w:val="single" w:sz="5" w:space="0" w:color="000000"/>
              <w:bottom w:val="single" w:sz="5" w:space="0" w:color="000000"/>
              <w:right w:val="single" w:sz="5" w:space="0" w:color="000000"/>
            </w:tcBorders>
          </w:tcPr>
          <w:p w14:paraId="67E8E0A1"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Results; Supplementary Figure SF1, SF2</w:t>
            </w:r>
          </w:p>
        </w:tc>
      </w:tr>
      <w:tr w:rsidR="00892E82" w:rsidRPr="00F07C0E" w14:paraId="7BB05787"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195A68FD"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Results of individual studies </w:t>
            </w:r>
          </w:p>
        </w:tc>
        <w:tc>
          <w:tcPr>
            <w:tcW w:w="209" w:type="pct"/>
            <w:tcBorders>
              <w:top w:val="single" w:sz="5" w:space="0" w:color="000000"/>
              <w:left w:val="single" w:sz="5" w:space="0" w:color="000000"/>
              <w:bottom w:val="single" w:sz="5" w:space="0" w:color="000000"/>
              <w:right w:val="single" w:sz="5" w:space="0" w:color="000000"/>
            </w:tcBorders>
          </w:tcPr>
          <w:p w14:paraId="3C7A805C"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19</w:t>
            </w:r>
          </w:p>
        </w:tc>
        <w:tc>
          <w:tcPr>
            <w:tcW w:w="3811" w:type="pct"/>
            <w:tcBorders>
              <w:top w:val="single" w:sz="5" w:space="0" w:color="000000"/>
              <w:left w:val="single" w:sz="5" w:space="0" w:color="000000"/>
              <w:bottom w:val="single" w:sz="5" w:space="0" w:color="000000"/>
              <w:right w:val="single" w:sz="5" w:space="0" w:color="000000"/>
            </w:tcBorders>
          </w:tcPr>
          <w:p w14:paraId="429B2A14"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For all outcomes, present, for each study: (a) summary statistics for each group (where appropriate) and (b) an effect estimate and its precision (e.g. confidence/credible interval), ideally using structured tables or plots.</w:t>
            </w:r>
          </w:p>
        </w:tc>
        <w:tc>
          <w:tcPr>
            <w:tcW w:w="488" w:type="pct"/>
            <w:tcBorders>
              <w:top w:val="single" w:sz="5" w:space="0" w:color="000000"/>
              <w:left w:val="single" w:sz="5" w:space="0" w:color="000000"/>
              <w:bottom w:val="single" w:sz="5" w:space="0" w:color="000000"/>
              <w:right w:val="single" w:sz="5" w:space="0" w:color="000000"/>
            </w:tcBorders>
          </w:tcPr>
          <w:p w14:paraId="55AA273E"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Table 1</w:t>
            </w:r>
          </w:p>
        </w:tc>
      </w:tr>
      <w:tr w:rsidR="00892E82" w:rsidRPr="00F07C0E" w14:paraId="3EEA871C" w14:textId="77777777" w:rsidTr="00B23F69">
        <w:trPr>
          <w:trHeight w:val="48"/>
        </w:trPr>
        <w:tc>
          <w:tcPr>
            <w:tcW w:w="492" w:type="pct"/>
            <w:vMerge w:val="restart"/>
            <w:tcBorders>
              <w:top w:val="single" w:sz="5" w:space="0" w:color="000000"/>
              <w:left w:val="single" w:sz="5" w:space="0" w:color="000000"/>
              <w:right w:val="single" w:sz="5" w:space="0" w:color="000000"/>
            </w:tcBorders>
          </w:tcPr>
          <w:p w14:paraId="371AC65D"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Results of syntheses</w:t>
            </w:r>
          </w:p>
        </w:tc>
        <w:tc>
          <w:tcPr>
            <w:tcW w:w="209" w:type="pct"/>
            <w:tcBorders>
              <w:top w:val="single" w:sz="5" w:space="0" w:color="000000"/>
              <w:left w:val="single" w:sz="5" w:space="0" w:color="000000"/>
              <w:bottom w:val="single" w:sz="5" w:space="0" w:color="000000"/>
              <w:right w:val="single" w:sz="5" w:space="0" w:color="000000"/>
            </w:tcBorders>
          </w:tcPr>
          <w:p w14:paraId="19389C0E"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20a</w:t>
            </w:r>
          </w:p>
        </w:tc>
        <w:tc>
          <w:tcPr>
            <w:tcW w:w="3811" w:type="pct"/>
            <w:tcBorders>
              <w:top w:val="single" w:sz="5" w:space="0" w:color="000000"/>
              <w:left w:val="single" w:sz="5" w:space="0" w:color="000000"/>
              <w:bottom w:val="single" w:sz="5" w:space="0" w:color="000000"/>
              <w:right w:val="single" w:sz="5" w:space="0" w:color="000000"/>
            </w:tcBorders>
          </w:tcPr>
          <w:p w14:paraId="2BC77664"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For each synthesis, briefly summarise the characteristics and risk of bias among contributing studies.</w:t>
            </w:r>
          </w:p>
        </w:tc>
        <w:tc>
          <w:tcPr>
            <w:tcW w:w="488" w:type="pct"/>
            <w:tcBorders>
              <w:top w:val="single" w:sz="5" w:space="0" w:color="000000"/>
              <w:left w:val="single" w:sz="5" w:space="0" w:color="000000"/>
              <w:bottom w:val="single" w:sz="5" w:space="0" w:color="000000"/>
              <w:right w:val="single" w:sz="5" w:space="0" w:color="000000"/>
            </w:tcBorders>
          </w:tcPr>
          <w:p w14:paraId="1E15A1BD"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Results; Supplementary Figure S1, S2</w:t>
            </w:r>
          </w:p>
        </w:tc>
      </w:tr>
      <w:tr w:rsidR="00892E82" w:rsidRPr="00F07C0E" w14:paraId="56BAEA73" w14:textId="77777777" w:rsidTr="00B23F69">
        <w:trPr>
          <w:trHeight w:val="203"/>
        </w:trPr>
        <w:tc>
          <w:tcPr>
            <w:tcW w:w="492" w:type="pct"/>
            <w:vMerge/>
            <w:tcBorders>
              <w:left w:val="single" w:sz="5" w:space="0" w:color="000000"/>
              <w:right w:val="single" w:sz="5" w:space="0" w:color="000000"/>
            </w:tcBorders>
          </w:tcPr>
          <w:p w14:paraId="464E0088"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3977468F"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20b</w:t>
            </w:r>
          </w:p>
        </w:tc>
        <w:tc>
          <w:tcPr>
            <w:tcW w:w="3811" w:type="pct"/>
            <w:tcBorders>
              <w:top w:val="single" w:sz="5" w:space="0" w:color="000000"/>
              <w:left w:val="single" w:sz="5" w:space="0" w:color="000000"/>
              <w:bottom w:val="single" w:sz="5" w:space="0" w:color="000000"/>
              <w:right w:val="single" w:sz="5" w:space="0" w:color="000000"/>
            </w:tcBorders>
          </w:tcPr>
          <w:p w14:paraId="2FDABE08"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488" w:type="pct"/>
            <w:tcBorders>
              <w:top w:val="single" w:sz="5" w:space="0" w:color="000000"/>
              <w:left w:val="single" w:sz="5" w:space="0" w:color="000000"/>
              <w:bottom w:val="single" w:sz="5" w:space="0" w:color="000000"/>
              <w:right w:val="single" w:sz="5" w:space="0" w:color="000000"/>
            </w:tcBorders>
          </w:tcPr>
          <w:p w14:paraId="75B909D3"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Results, Table 2, Figure 2, Supplementary Table ST6, Supplementary Figure SF4</w:t>
            </w:r>
          </w:p>
        </w:tc>
      </w:tr>
      <w:tr w:rsidR="00892E82" w:rsidRPr="00F07C0E" w14:paraId="4B5791E3" w14:textId="77777777" w:rsidTr="00B23F69">
        <w:trPr>
          <w:trHeight w:val="48"/>
        </w:trPr>
        <w:tc>
          <w:tcPr>
            <w:tcW w:w="492" w:type="pct"/>
            <w:vMerge/>
            <w:tcBorders>
              <w:left w:val="single" w:sz="5" w:space="0" w:color="000000"/>
              <w:right w:val="single" w:sz="5" w:space="0" w:color="000000"/>
            </w:tcBorders>
          </w:tcPr>
          <w:p w14:paraId="5BC10EEC"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18666913"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20c</w:t>
            </w:r>
          </w:p>
        </w:tc>
        <w:tc>
          <w:tcPr>
            <w:tcW w:w="3811" w:type="pct"/>
            <w:tcBorders>
              <w:top w:val="single" w:sz="5" w:space="0" w:color="000000"/>
              <w:left w:val="single" w:sz="5" w:space="0" w:color="000000"/>
              <w:bottom w:val="single" w:sz="5" w:space="0" w:color="000000"/>
              <w:right w:val="single" w:sz="5" w:space="0" w:color="000000"/>
            </w:tcBorders>
          </w:tcPr>
          <w:p w14:paraId="2BD9C29D"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Present results of all investigations of possible causes of heterogeneity among study results.</w:t>
            </w:r>
          </w:p>
        </w:tc>
        <w:tc>
          <w:tcPr>
            <w:tcW w:w="488" w:type="pct"/>
            <w:tcBorders>
              <w:top w:val="single" w:sz="5" w:space="0" w:color="000000"/>
              <w:left w:val="single" w:sz="5" w:space="0" w:color="000000"/>
              <w:bottom w:val="single" w:sz="5" w:space="0" w:color="000000"/>
              <w:right w:val="single" w:sz="5" w:space="0" w:color="000000"/>
            </w:tcBorders>
          </w:tcPr>
          <w:p w14:paraId="5C0BCA2A"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Results, Table 2, Supplementary Table ST4</w:t>
            </w:r>
          </w:p>
        </w:tc>
      </w:tr>
      <w:tr w:rsidR="00892E82" w:rsidRPr="00F07C0E" w14:paraId="38674F70" w14:textId="77777777" w:rsidTr="00B23F69">
        <w:trPr>
          <w:trHeight w:val="48"/>
        </w:trPr>
        <w:tc>
          <w:tcPr>
            <w:tcW w:w="492" w:type="pct"/>
            <w:vMerge/>
            <w:tcBorders>
              <w:left w:val="single" w:sz="5" w:space="0" w:color="000000"/>
              <w:bottom w:val="single" w:sz="5" w:space="0" w:color="000000"/>
              <w:right w:val="single" w:sz="5" w:space="0" w:color="000000"/>
            </w:tcBorders>
          </w:tcPr>
          <w:p w14:paraId="79848921"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6C8DA4C1"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20d</w:t>
            </w:r>
          </w:p>
        </w:tc>
        <w:tc>
          <w:tcPr>
            <w:tcW w:w="3811" w:type="pct"/>
            <w:tcBorders>
              <w:top w:val="single" w:sz="5" w:space="0" w:color="000000"/>
              <w:left w:val="single" w:sz="5" w:space="0" w:color="000000"/>
              <w:bottom w:val="single" w:sz="5" w:space="0" w:color="000000"/>
              <w:right w:val="single" w:sz="5" w:space="0" w:color="000000"/>
            </w:tcBorders>
          </w:tcPr>
          <w:p w14:paraId="10F6845D"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Present results of all sensitivity analyses conducted to assess the robustness of the synthesized results.</w:t>
            </w:r>
          </w:p>
        </w:tc>
        <w:tc>
          <w:tcPr>
            <w:tcW w:w="488" w:type="pct"/>
            <w:tcBorders>
              <w:top w:val="single" w:sz="5" w:space="0" w:color="000000"/>
              <w:left w:val="single" w:sz="5" w:space="0" w:color="000000"/>
              <w:bottom w:val="single" w:sz="5" w:space="0" w:color="000000"/>
              <w:right w:val="single" w:sz="5" w:space="0" w:color="000000"/>
            </w:tcBorders>
          </w:tcPr>
          <w:p w14:paraId="5C40AE30"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Supplementary Table ST6, Supplementary Figure SF3, SF4.</w:t>
            </w:r>
          </w:p>
        </w:tc>
      </w:tr>
      <w:tr w:rsidR="00892E82" w:rsidRPr="00F07C0E" w14:paraId="1E31C0D6"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6E5F5A05"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Reporting biases</w:t>
            </w:r>
          </w:p>
        </w:tc>
        <w:tc>
          <w:tcPr>
            <w:tcW w:w="209" w:type="pct"/>
            <w:tcBorders>
              <w:top w:val="single" w:sz="5" w:space="0" w:color="000000"/>
              <w:left w:val="single" w:sz="5" w:space="0" w:color="000000"/>
              <w:bottom w:val="single" w:sz="5" w:space="0" w:color="000000"/>
              <w:right w:val="single" w:sz="5" w:space="0" w:color="000000"/>
            </w:tcBorders>
          </w:tcPr>
          <w:p w14:paraId="5B0D65F4"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21</w:t>
            </w:r>
          </w:p>
        </w:tc>
        <w:tc>
          <w:tcPr>
            <w:tcW w:w="3811" w:type="pct"/>
            <w:tcBorders>
              <w:top w:val="single" w:sz="5" w:space="0" w:color="000000"/>
              <w:left w:val="single" w:sz="5" w:space="0" w:color="000000"/>
              <w:bottom w:val="single" w:sz="5" w:space="0" w:color="000000"/>
              <w:right w:val="single" w:sz="5" w:space="0" w:color="000000"/>
            </w:tcBorders>
          </w:tcPr>
          <w:p w14:paraId="2C0D3076"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Present assessments of risk of bias due to missing results (arising from reporting biases) for each synthesis assessed.</w:t>
            </w:r>
          </w:p>
        </w:tc>
        <w:tc>
          <w:tcPr>
            <w:tcW w:w="488" w:type="pct"/>
            <w:tcBorders>
              <w:top w:val="single" w:sz="5" w:space="0" w:color="000000"/>
              <w:left w:val="single" w:sz="5" w:space="0" w:color="000000"/>
              <w:bottom w:val="single" w:sz="5" w:space="0" w:color="000000"/>
              <w:right w:val="single" w:sz="5" w:space="0" w:color="000000"/>
            </w:tcBorders>
          </w:tcPr>
          <w:p w14:paraId="1108EB26"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Supplementary Figure SF1, SF2</w:t>
            </w:r>
          </w:p>
        </w:tc>
      </w:tr>
      <w:tr w:rsidR="00892E82" w:rsidRPr="00F07C0E" w14:paraId="7A69EFDA" w14:textId="77777777" w:rsidTr="00B23F69">
        <w:trPr>
          <w:trHeight w:val="48"/>
        </w:trPr>
        <w:tc>
          <w:tcPr>
            <w:tcW w:w="492" w:type="pct"/>
            <w:tcBorders>
              <w:top w:val="single" w:sz="5" w:space="0" w:color="000000"/>
              <w:left w:val="single" w:sz="5" w:space="0" w:color="000000"/>
              <w:bottom w:val="single" w:sz="4" w:space="0" w:color="auto"/>
              <w:right w:val="single" w:sz="5" w:space="0" w:color="000000"/>
            </w:tcBorders>
          </w:tcPr>
          <w:p w14:paraId="75BF95C6"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Certainty of evidence </w:t>
            </w:r>
          </w:p>
        </w:tc>
        <w:tc>
          <w:tcPr>
            <w:tcW w:w="209" w:type="pct"/>
            <w:tcBorders>
              <w:top w:val="single" w:sz="5" w:space="0" w:color="000000"/>
              <w:left w:val="single" w:sz="5" w:space="0" w:color="000000"/>
              <w:bottom w:val="single" w:sz="4" w:space="0" w:color="auto"/>
              <w:right w:val="single" w:sz="5" w:space="0" w:color="000000"/>
            </w:tcBorders>
          </w:tcPr>
          <w:p w14:paraId="51E1CA6F"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22</w:t>
            </w:r>
          </w:p>
        </w:tc>
        <w:tc>
          <w:tcPr>
            <w:tcW w:w="3811" w:type="pct"/>
            <w:tcBorders>
              <w:top w:val="single" w:sz="5" w:space="0" w:color="000000"/>
              <w:left w:val="single" w:sz="5" w:space="0" w:color="000000"/>
              <w:bottom w:val="single" w:sz="4" w:space="0" w:color="auto"/>
              <w:right w:val="single" w:sz="5" w:space="0" w:color="000000"/>
            </w:tcBorders>
          </w:tcPr>
          <w:p w14:paraId="5E1FE7C1"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Present assessments of certainty (or confidence) in the body of evidence for each outcome assessed.</w:t>
            </w:r>
          </w:p>
        </w:tc>
        <w:tc>
          <w:tcPr>
            <w:tcW w:w="488" w:type="pct"/>
            <w:tcBorders>
              <w:top w:val="single" w:sz="5" w:space="0" w:color="000000"/>
              <w:left w:val="single" w:sz="5" w:space="0" w:color="000000"/>
              <w:bottom w:val="single" w:sz="4" w:space="0" w:color="auto"/>
              <w:right w:val="single" w:sz="5" w:space="0" w:color="000000"/>
            </w:tcBorders>
          </w:tcPr>
          <w:p w14:paraId="090AB261"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w:t>
            </w:r>
          </w:p>
        </w:tc>
      </w:tr>
      <w:tr w:rsidR="00892E82" w:rsidRPr="00F07C0E" w14:paraId="45B0EDE9" w14:textId="77777777" w:rsidTr="00B23F69">
        <w:trPr>
          <w:trHeight w:val="221"/>
        </w:trPr>
        <w:tc>
          <w:tcPr>
            <w:tcW w:w="4512" w:type="pct"/>
            <w:gridSpan w:val="3"/>
            <w:tcBorders>
              <w:top w:val="single" w:sz="4" w:space="0" w:color="auto"/>
              <w:left w:val="single" w:sz="5" w:space="0" w:color="000000"/>
              <w:bottom w:val="single" w:sz="5" w:space="0" w:color="000000"/>
              <w:right w:val="single" w:sz="5" w:space="0" w:color="000000"/>
            </w:tcBorders>
            <w:shd w:val="clear" w:color="auto" w:fill="D9D9D9" w:themeFill="background1" w:themeFillShade="D9"/>
            <w:vAlign w:val="center"/>
          </w:tcPr>
          <w:p w14:paraId="4D237C60" w14:textId="77777777" w:rsidR="00892E82" w:rsidRPr="00F07C0E" w:rsidRDefault="00892E82" w:rsidP="00B23F69">
            <w:pPr>
              <w:pStyle w:val="Default"/>
              <w:rPr>
                <w:rFonts w:ascii="Arial" w:hAnsi="Arial" w:cs="Arial"/>
                <w:sz w:val="14"/>
                <w:szCs w:val="14"/>
              </w:rPr>
            </w:pPr>
            <w:r w:rsidRPr="00F07C0E">
              <w:rPr>
                <w:rFonts w:ascii="Arial" w:hAnsi="Arial" w:cs="Arial"/>
                <w:b/>
                <w:bCs/>
                <w:sz w:val="14"/>
                <w:szCs w:val="14"/>
              </w:rPr>
              <w:t xml:space="preserve">DISCUSSION </w:t>
            </w:r>
          </w:p>
        </w:tc>
        <w:tc>
          <w:tcPr>
            <w:tcW w:w="488" w:type="pct"/>
            <w:tcBorders>
              <w:top w:val="single" w:sz="4" w:space="0" w:color="auto"/>
              <w:left w:val="single" w:sz="5" w:space="0" w:color="000000"/>
              <w:bottom w:val="single" w:sz="5" w:space="0" w:color="000000"/>
              <w:right w:val="single" w:sz="5" w:space="0" w:color="000000"/>
            </w:tcBorders>
            <w:shd w:val="clear" w:color="auto" w:fill="D9D9D9" w:themeFill="background1" w:themeFillShade="D9"/>
          </w:tcPr>
          <w:p w14:paraId="65674437" w14:textId="77777777" w:rsidR="00892E82" w:rsidRPr="00F07C0E" w:rsidRDefault="00892E82" w:rsidP="00B23F69">
            <w:pPr>
              <w:pStyle w:val="Default"/>
              <w:jc w:val="center"/>
              <w:rPr>
                <w:rFonts w:ascii="Arial" w:hAnsi="Arial" w:cs="Arial"/>
                <w:color w:val="auto"/>
                <w:sz w:val="14"/>
                <w:szCs w:val="14"/>
              </w:rPr>
            </w:pPr>
          </w:p>
        </w:tc>
      </w:tr>
      <w:tr w:rsidR="00892E82" w:rsidRPr="00F07C0E" w14:paraId="4033C8D9" w14:textId="77777777" w:rsidTr="00B23F69">
        <w:trPr>
          <w:trHeight w:val="48"/>
        </w:trPr>
        <w:tc>
          <w:tcPr>
            <w:tcW w:w="492" w:type="pct"/>
            <w:vMerge w:val="restart"/>
            <w:tcBorders>
              <w:top w:val="single" w:sz="5" w:space="0" w:color="000000"/>
              <w:left w:val="single" w:sz="5" w:space="0" w:color="000000"/>
              <w:right w:val="single" w:sz="5" w:space="0" w:color="000000"/>
            </w:tcBorders>
          </w:tcPr>
          <w:p w14:paraId="2FA3EE1E"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Discussion </w:t>
            </w:r>
          </w:p>
        </w:tc>
        <w:tc>
          <w:tcPr>
            <w:tcW w:w="209" w:type="pct"/>
            <w:tcBorders>
              <w:top w:val="single" w:sz="5" w:space="0" w:color="000000"/>
              <w:left w:val="single" w:sz="5" w:space="0" w:color="000000"/>
              <w:bottom w:val="single" w:sz="5" w:space="0" w:color="000000"/>
              <w:right w:val="single" w:sz="5" w:space="0" w:color="000000"/>
            </w:tcBorders>
          </w:tcPr>
          <w:p w14:paraId="3EF2D302"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23a</w:t>
            </w:r>
          </w:p>
        </w:tc>
        <w:tc>
          <w:tcPr>
            <w:tcW w:w="3811" w:type="pct"/>
            <w:tcBorders>
              <w:top w:val="single" w:sz="5" w:space="0" w:color="000000"/>
              <w:left w:val="single" w:sz="5" w:space="0" w:color="000000"/>
              <w:bottom w:val="single" w:sz="5" w:space="0" w:color="000000"/>
              <w:right w:val="single" w:sz="5" w:space="0" w:color="000000"/>
            </w:tcBorders>
          </w:tcPr>
          <w:p w14:paraId="0495D2F7"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Provide a general interpretation of the results in the context of other evidence.</w:t>
            </w:r>
          </w:p>
        </w:tc>
        <w:tc>
          <w:tcPr>
            <w:tcW w:w="488" w:type="pct"/>
            <w:tcBorders>
              <w:top w:val="single" w:sz="5" w:space="0" w:color="000000"/>
              <w:left w:val="single" w:sz="5" w:space="0" w:color="000000"/>
              <w:bottom w:val="single" w:sz="5" w:space="0" w:color="000000"/>
              <w:right w:val="single" w:sz="5" w:space="0" w:color="000000"/>
            </w:tcBorders>
          </w:tcPr>
          <w:p w14:paraId="02CAFC0A"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Discussion</w:t>
            </w:r>
          </w:p>
        </w:tc>
      </w:tr>
      <w:tr w:rsidR="00892E82" w:rsidRPr="00F07C0E" w14:paraId="07169A04" w14:textId="77777777" w:rsidTr="00B23F69">
        <w:trPr>
          <w:trHeight w:val="48"/>
        </w:trPr>
        <w:tc>
          <w:tcPr>
            <w:tcW w:w="492" w:type="pct"/>
            <w:vMerge/>
            <w:tcBorders>
              <w:left w:val="single" w:sz="5" w:space="0" w:color="000000"/>
              <w:right w:val="single" w:sz="5" w:space="0" w:color="000000"/>
            </w:tcBorders>
          </w:tcPr>
          <w:p w14:paraId="1DAD1609"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143322A7"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23b</w:t>
            </w:r>
          </w:p>
        </w:tc>
        <w:tc>
          <w:tcPr>
            <w:tcW w:w="3811" w:type="pct"/>
            <w:tcBorders>
              <w:top w:val="single" w:sz="5" w:space="0" w:color="000000"/>
              <w:left w:val="single" w:sz="5" w:space="0" w:color="000000"/>
              <w:bottom w:val="single" w:sz="5" w:space="0" w:color="000000"/>
              <w:right w:val="single" w:sz="5" w:space="0" w:color="000000"/>
            </w:tcBorders>
          </w:tcPr>
          <w:p w14:paraId="08C509CF"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Discuss any limitations of the evidence included in the review.</w:t>
            </w:r>
          </w:p>
        </w:tc>
        <w:tc>
          <w:tcPr>
            <w:tcW w:w="488" w:type="pct"/>
            <w:tcBorders>
              <w:top w:val="single" w:sz="5" w:space="0" w:color="000000"/>
              <w:left w:val="single" w:sz="5" w:space="0" w:color="000000"/>
              <w:bottom w:val="single" w:sz="5" w:space="0" w:color="000000"/>
              <w:right w:val="single" w:sz="5" w:space="0" w:color="000000"/>
            </w:tcBorders>
          </w:tcPr>
          <w:p w14:paraId="0A15F2F7"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Discussion</w:t>
            </w:r>
          </w:p>
        </w:tc>
      </w:tr>
      <w:tr w:rsidR="00892E82" w:rsidRPr="00F07C0E" w14:paraId="6C5F080D" w14:textId="77777777" w:rsidTr="00B23F69">
        <w:trPr>
          <w:trHeight w:val="48"/>
        </w:trPr>
        <w:tc>
          <w:tcPr>
            <w:tcW w:w="492" w:type="pct"/>
            <w:vMerge/>
            <w:tcBorders>
              <w:left w:val="single" w:sz="5" w:space="0" w:color="000000"/>
              <w:right w:val="single" w:sz="5" w:space="0" w:color="000000"/>
            </w:tcBorders>
          </w:tcPr>
          <w:p w14:paraId="091F4C58"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4" w:space="0" w:color="auto"/>
              <w:right w:val="single" w:sz="5" w:space="0" w:color="000000"/>
            </w:tcBorders>
          </w:tcPr>
          <w:p w14:paraId="10C08AFD"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23c</w:t>
            </w:r>
          </w:p>
        </w:tc>
        <w:tc>
          <w:tcPr>
            <w:tcW w:w="3811" w:type="pct"/>
            <w:tcBorders>
              <w:top w:val="single" w:sz="5" w:space="0" w:color="000000"/>
              <w:left w:val="single" w:sz="5" w:space="0" w:color="000000"/>
              <w:bottom w:val="single" w:sz="5" w:space="0" w:color="000000"/>
              <w:right w:val="single" w:sz="5" w:space="0" w:color="000000"/>
            </w:tcBorders>
          </w:tcPr>
          <w:p w14:paraId="45A0B62B"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Discuss any limitations of the review processes used.</w:t>
            </w:r>
          </w:p>
        </w:tc>
        <w:tc>
          <w:tcPr>
            <w:tcW w:w="488" w:type="pct"/>
            <w:tcBorders>
              <w:top w:val="single" w:sz="5" w:space="0" w:color="000000"/>
              <w:left w:val="single" w:sz="5" w:space="0" w:color="000000"/>
              <w:bottom w:val="single" w:sz="5" w:space="0" w:color="000000"/>
              <w:right w:val="single" w:sz="5" w:space="0" w:color="000000"/>
            </w:tcBorders>
          </w:tcPr>
          <w:p w14:paraId="41797A8B"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Discussion</w:t>
            </w:r>
          </w:p>
        </w:tc>
      </w:tr>
      <w:tr w:rsidR="00892E82" w:rsidRPr="00F07C0E" w14:paraId="2A73A831" w14:textId="77777777" w:rsidTr="00B23F69">
        <w:trPr>
          <w:trHeight w:val="48"/>
        </w:trPr>
        <w:tc>
          <w:tcPr>
            <w:tcW w:w="492" w:type="pct"/>
            <w:vMerge/>
            <w:tcBorders>
              <w:left w:val="single" w:sz="5" w:space="0" w:color="000000"/>
              <w:bottom w:val="single" w:sz="4" w:space="0" w:color="auto"/>
              <w:right w:val="single" w:sz="5" w:space="0" w:color="000000"/>
            </w:tcBorders>
          </w:tcPr>
          <w:p w14:paraId="14C4C799"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4" w:space="0" w:color="auto"/>
              <w:left w:val="single" w:sz="5" w:space="0" w:color="000000"/>
              <w:bottom w:val="single" w:sz="4" w:space="0" w:color="auto"/>
              <w:right w:val="single" w:sz="4" w:space="0" w:color="auto"/>
            </w:tcBorders>
          </w:tcPr>
          <w:p w14:paraId="5C29E936"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23d</w:t>
            </w:r>
          </w:p>
        </w:tc>
        <w:tc>
          <w:tcPr>
            <w:tcW w:w="3811" w:type="pct"/>
            <w:tcBorders>
              <w:top w:val="single" w:sz="5" w:space="0" w:color="000000"/>
              <w:left w:val="single" w:sz="4" w:space="0" w:color="auto"/>
              <w:bottom w:val="single" w:sz="4" w:space="0" w:color="auto"/>
              <w:right w:val="single" w:sz="5" w:space="0" w:color="000000"/>
            </w:tcBorders>
          </w:tcPr>
          <w:p w14:paraId="4EE49209"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Discuss implications of the results for practice, policy, and future research.</w:t>
            </w:r>
          </w:p>
        </w:tc>
        <w:tc>
          <w:tcPr>
            <w:tcW w:w="488" w:type="pct"/>
            <w:tcBorders>
              <w:top w:val="single" w:sz="5" w:space="0" w:color="000000"/>
              <w:left w:val="single" w:sz="5" w:space="0" w:color="000000"/>
              <w:bottom w:val="single" w:sz="4" w:space="0" w:color="auto"/>
              <w:right w:val="single" w:sz="5" w:space="0" w:color="000000"/>
            </w:tcBorders>
          </w:tcPr>
          <w:p w14:paraId="31C33FCF"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Discussion</w:t>
            </w:r>
          </w:p>
        </w:tc>
      </w:tr>
      <w:tr w:rsidR="00892E82" w:rsidRPr="00F07C0E" w14:paraId="0E6DBFD8" w14:textId="77777777" w:rsidTr="00B23F69">
        <w:trPr>
          <w:trHeight w:val="209"/>
        </w:trPr>
        <w:tc>
          <w:tcPr>
            <w:tcW w:w="4512" w:type="pct"/>
            <w:gridSpan w:val="3"/>
            <w:tcBorders>
              <w:top w:val="single" w:sz="4" w:space="0" w:color="auto"/>
              <w:left w:val="single" w:sz="5" w:space="0" w:color="000000"/>
              <w:bottom w:val="single" w:sz="5" w:space="0" w:color="000000"/>
              <w:right w:val="single" w:sz="5" w:space="0" w:color="000000"/>
            </w:tcBorders>
            <w:shd w:val="clear" w:color="auto" w:fill="D9D9D9" w:themeFill="background1" w:themeFillShade="D9"/>
            <w:vAlign w:val="center"/>
          </w:tcPr>
          <w:p w14:paraId="320817EC" w14:textId="77777777" w:rsidR="00892E82" w:rsidRPr="00F07C0E" w:rsidRDefault="00892E82" w:rsidP="00B23F69">
            <w:pPr>
              <w:pStyle w:val="Default"/>
              <w:rPr>
                <w:rFonts w:ascii="Arial" w:hAnsi="Arial" w:cs="Arial"/>
                <w:sz w:val="14"/>
                <w:szCs w:val="14"/>
              </w:rPr>
            </w:pPr>
            <w:r w:rsidRPr="00F07C0E">
              <w:rPr>
                <w:rFonts w:ascii="Arial" w:hAnsi="Arial" w:cs="Arial"/>
                <w:b/>
                <w:bCs/>
                <w:sz w:val="14"/>
                <w:szCs w:val="14"/>
              </w:rPr>
              <w:t>OTHER INFORMATION</w:t>
            </w:r>
          </w:p>
        </w:tc>
        <w:tc>
          <w:tcPr>
            <w:tcW w:w="488" w:type="pct"/>
            <w:tcBorders>
              <w:top w:val="single" w:sz="4" w:space="0" w:color="auto"/>
              <w:left w:val="single" w:sz="5" w:space="0" w:color="000000"/>
              <w:bottom w:val="single" w:sz="5" w:space="0" w:color="000000"/>
              <w:right w:val="single" w:sz="5" w:space="0" w:color="000000"/>
            </w:tcBorders>
            <w:shd w:val="clear" w:color="auto" w:fill="D9D9D9" w:themeFill="background1" w:themeFillShade="D9"/>
          </w:tcPr>
          <w:p w14:paraId="7B8A9471" w14:textId="77777777" w:rsidR="00892E82" w:rsidRPr="00F07C0E" w:rsidRDefault="00892E82" w:rsidP="00B23F69">
            <w:pPr>
              <w:pStyle w:val="Default"/>
              <w:jc w:val="center"/>
              <w:rPr>
                <w:rFonts w:ascii="Arial" w:hAnsi="Arial" w:cs="Arial"/>
                <w:color w:val="auto"/>
                <w:sz w:val="14"/>
                <w:szCs w:val="14"/>
              </w:rPr>
            </w:pPr>
          </w:p>
        </w:tc>
      </w:tr>
      <w:tr w:rsidR="00892E82" w:rsidRPr="00F07C0E" w14:paraId="297963D5" w14:textId="77777777" w:rsidTr="00B23F69">
        <w:trPr>
          <w:trHeight w:val="48"/>
        </w:trPr>
        <w:tc>
          <w:tcPr>
            <w:tcW w:w="492" w:type="pct"/>
            <w:vMerge w:val="restart"/>
            <w:tcBorders>
              <w:top w:val="single" w:sz="5" w:space="0" w:color="000000"/>
              <w:left w:val="single" w:sz="5" w:space="0" w:color="000000"/>
              <w:right w:val="single" w:sz="5" w:space="0" w:color="000000"/>
            </w:tcBorders>
          </w:tcPr>
          <w:p w14:paraId="236580A3"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Registration and protocol</w:t>
            </w:r>
          </w:p>
        </w:tc>
        <w:tc>
          <w:tcPr>
            <w:tcW w:w="209" w:type="pct"/>
            <w:tcBorders>
              <w:top w:val="single" w:sz="5" w:space="0" w:color="000000"/>
              <w:left w:val="single" w:sz="5" w:space="0" w:color="000000"/>
              <w:bottom w:val="single" w:sz="5" w:space="0" w:color="000000"/>
              <w:right w:val="single" w:sz="5" w:space="0" w:color="000000"/>
            </w:tcBorders>
          </w:tcPr>
          <w:p w14:paraId="0804A56A"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24a</w:t>
            </w:r>
          </w:p>
        </w:tc>
        <w:tc>
          <w:tcPr>
            <w:tcW w:w="3811" w:type="pct"/>
            <w:tcBorders>
              <w:top w:val="single" w:sz="5" w:space="0" w:color="000000"/>
              <w:left w:val="single" w:sz="5" w:space="0" w:color="000000"/>
              <w:bottom w:val="single" w:sz="5" w:space="0" w:color="000000"/>
              <w:right w:val="single" w:sz="5" w:space="0" w:color="000000"/>
            </w:tcBorders>
          </w:tcPr>
          <w:p w14:paraId="354A8FD3"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Provide registration information for the review, including register name and registration number, or state that the review was not registered.</w:t>
            </w:r>
          </w:p>
        </w:tc>
        <w:tc>
          <w:tcPr>
            <w:tcW w:w="488" w:type="pct"/>
            <w:tcBorders>
              <w:top w:val="single" w:sz="5" w:space="0" w:color="000000"/>
              <w:left w:val="single" w:sz="5" w:space="0" w:color="000000"/>
              <w:bottom w:val="single" w:sz="5" w:space="0" w:color="000000"/>
              <w:right w:val="single" w:sz="5" w:space="0" w:color="000000"/>
            </w:tcBorders>
          </w:tcPr>
          <w:p w14:paraId="087C73F6"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2BEEB901" w14:textId="77777777" w:rsidTr="00B23F69">
        <w:trPr>
          <w:trHeight w:val="57"/>
        </w:trPr>
        <w:tc>
          <w:tcPr>
            <w:tcW w:w="492" w:type="pct"/>
            <w:vMerge/>
            <w:tcBorders>
              <w:left w:val="single" w:sz="5" w:space="0" w:color="000000"/>
              <w:right w:val="single" w:sz="5" w:space="0" w:color="000000"/>
            </w:tcBorders>
          </w:tcPr>
          <w:p w14:paraId="30F7B673"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2A1F2BFA"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24b</w:t>
            </w:r>
          </w:p>
        </w:tc>
        <w:tc>
          <w:tcPr>
            <w:tcW w:w="3811" w:type="pct"/>
            <w:tcBorders>
              <w:top w:val="single" w:sz="5" w:space="0" w:color="000000"/>
              <w:left w:val="single" w:sz="5" w:space="0" w:color="000000"/>
              <w:bottom w:val="single" w:sz="5" w:space="0" w:color="000000"/>
              <w:right w:val="single" w:sz="5" w:space="0" w:color="000000"/>
            </w:tcBorders>
          </w:tcPr>
          <w:p w14:paraId="08E6D344"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Indicate where the review protocol can be accessed, or state that a protocol was not prepared.</w:t>
            </w:r>
          </w:p>
        </w:tc>
        <w:tc>
          <w:tcPr>
            <w:tcW w:w="488" w:type="pct"/>
            <w:tcBorders>
              <w:top w:val="single" w:sz="5" w:space="0" w:color="000000"/>
              <w:left w:val="single" w:sz="5" w:space="0" w:color="000000"/>
              <w:bottom w:val="single" w:sz="5" w:space="0" w:color="000000"/>
              <w:right w:val="single" w:sz="5" w:space="0" w:color="000000"/>
            </w:tcBorders>
          </w:tcPr>
          <w:p w14:paraId="1A438915"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Methods</w:t>
            </w:r>
          </w:p>
        </w:tc>
      </w:tr>
      <w:tr w:rsidR="00892E82" w:rsidRPr="00F07C0E" w14:paraId="2049E296" w14:textId="77777777" w:rsidTr="00B23F69">
        <w:trPr>
          <w:trHeight w:val="48"/>
        </w:trPr>
        <w:tc>
          <w:tcPr>
            <w:tcW w:w="492" w:type="pct"/>
            <w:vMerge/>
            <w:tcBorders>
              <w:left w:val="single" w:sz="5" w:space="0" w:color="000000"/>
              <w:bottom w:val="single" w:sz="5" w:space="0" w:color="000000"/>
              <w:right w:val="single" w:sz="5" w:space="0" w:color="000000"/>
            </w:tcBorders>
          </w:tcPr>
          <w:p w14:paraId="003C350F" w14:textId="77777777" w:rsidR="00892E82" w:rsidRPr="00F07C0E" w:rsidRDefault="00892E82" w:rsidP="00B23F69">
            <w:pPr>
              <w:pStyle w:val="Default"/>
              <w:spacing w:before="40" w:after="40"/>
              <w:rPr>
                <w:rFonts w:ascii="Arial" w:hAnsi="Arial" w:cs="Arial"/>
                <w:sz w:val="14"/>
                <w:szCs w:val="14"/>
              </w:rPr>
            </w:pPr>
          </w:p>
        </w:tc>
        <w:tc>
          <w:tcPr>
            <w:tcW w:w="209" w:type="pct"/>
            <w:tcBorders>
              <w:top w:val="single" w:sz="5" w:space="0" w:color="000000"/>
              <w:left w:val="single" w:sz="5" w:space="0" w:color="000000"/>
              <w:bottom w:val="single" w:sz="5" w:space="0" w:color="000000"/>
              <w:right w:val="single" w:sz="5" w:space="0" w:color="000000"/>
            </w:tcBorders>
          </w:tcPr>
          <w:p w14:paraId="20CC1DD3"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24c</w:t>
            </w:r>
          </w:p>
        </w:tc>
        <w:tc>
          <w:tcPr>
            <w:tcW w:w="3811" w:type="pct"/>
            <w:tcBorders>
              <w:top w:val="single" w:sz="5" w:space="0" w:color="000000"/>
              <w:left w:val="single" w:sz="5" w:space="0" w:color="000000"/>
              <w:bottom w:val="single" w:sz="5" w:space="0" w:color="000000"/>
              <w:right w:val="single" w:sz="5" w:space="0" w:color="000000"/>
            </w:tcBorders>
          </w:tcPr>
          <w:p w14:paraId="51A0E2EC"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and explain any amendments to information provided at registration or in the protocol.</w:t>
            </w:r>
          </w:p>
        </w:tc>
        <w:tc>
          <w:tcPr>
            <w:tcW w:w="488" w:type="pct"/>
            <w:tcBorders>
              <w:top w:val="single" w:sz="5" w:space="0" w:color="000000"/>
              <w:left w:val="single" w:sz="5" w:space="0" w:color="000000"/>
              <w:bottom w:val="single" w:sz="5" w:space="0" w:color="000000"/>
              <w:right w:val="single" w:sz="5" w:space="0" w:color="000000"/>
            </w:tcBorders>
          </w:tcPr>
          <w:p w14:paraId="242E5399"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w:t>
            </w:r>
          </w:p>
        </w:tc>
      </w:tr>
      <w:tr w:rsidR="00892E82" w:rsidRPr="00F07C0E" w14:paraId="572FB3C5"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4D864B57"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Support</w:t>
            </w:r>
          </w:p>
        </w:tc>
        <w:tc>
          <w:tcPr>
            <w:tcW w:w="209" w:type="pct"/>
            <w:tcBorders>
              <w:top w:val="single" w:sz="5" w:space="0" w:color="000000"/>
              <w:left w:val="single" w:sz="5" w:space="0" w:color="000000"/>
              <w:bottom w:val="single" w:sz="5" w:space="0" w:color="000000"/>
              <w:right w:val="single" w:sz="5" w:space="0" w:color="000000"/>
            </w:tcBorders>
          </w:tcPr>
          <w:p w14:paraId="340520F2"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25</w:t>
            </w:r>
          </w:p>
        </w:tc>
        <w:tc>
          <w:tcPr>
            <w:tcW w:w="3811" w:type="pct"/>
            <w:tcBorders>
              <w:top w:val="single" w:sz="5" w:space="0" w:color="000000"/>
              <w:left w:val="single" w:sz="5" w:space="0" w:color="000000"/>
              <w:bottom w:val="single" w:sz="5" w:space="0" w:color="000000"/>
              <w:right w:val="single" w:sz="5" w:space="0" w:color="000000"/>
            </w:tcBorders>
          </w:tcPr>
          <w:p w14:paraId="43CDC3AC"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Describe sources of financial or non-financial support for the review, and the role of the funders or sponsors in the review.</w:t>
            </w:r>
          </w:p>
        </w:tc>
        <w:tc>
          <w:tcPr>
            <w:tcW w:w="488" w:type="pct"/>
            <w:tcBorders>
              <w:top w:val="single" w:sz="5" w:space="0" w:color="000000"/>
              <w:left w:val="single" w:sz="5" w:space="0" w:color="000000"/>
              <w:bottom w:val="single" w:sz="5" w:space="0" w:color="000000"/>
              <w:right w:val="single" w:sz="5" w:space="0" w:color="000000"/>
            </w:tcBorders>
          </w:tcPr>
          <w:p w14:paraId="47D87C91"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Acknowledgement</w:t>
            </w:r>
          </w:p>
        </w:tc>
      </w:tr>
      <w:tr w:rsidR="00892E82" w:rsidRPr="00F07C0E" w14:paraId="5AB88A08" w14:textId="77777777" w:rsidTr="00B23F69">
        <w:trPr>
          <w:trHeight w:val="48"/>
        </w:trPr>
        <w:tc>
          <w:tcPr>
            <w:tcW w:w="492" w:type="pct"/>
            <w:tcBorders>
              <w:top w:val="single" w:sz="5" w:space="0" w:color="000000"/>
              <w:left w:val="single" w:sz="5" w:space="0" w:color="000000"/>
              <w:bottom w:val="single" w:sz="5" w:space="0" w:color="000000"/>
              <w:right w:val="single" w:sz="5" w:space="0" w:color="000000"/>
            </w:tcBorders>
          </w:tcPr>
          <w:p w14:paraId="5C107863"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 xml:space="preserve">Competing </w:t>
            </w:r>
            <w:r w:rsidRPr="00F07C0E">
              <w:rPr>
                <w:rFonts w:ascii="Arial" w:hAnsi="Arial" w:cs="Arial"/>
                <w:sz w:val="14"/>
                <w:szCs w:val="14"/>
              </w:rPr>
              <w:lastRenderedPageBreak/>
              <w:t>interests</w:t>
            </w:r>
          </w:p>
        </w:tc>
        <w:tc>
          <w:tcPr>
            <w:tcW w:w="209" w:type="pct"/>
            <w:tcBorders>
              <w:top w:val="single" w:sz="5" w:space="0" w:color="000000"/>
              <w:left w:val="single" w:sz="5" w:space="0" w:color="000000"/>
              <w:bottom w:val="single" w:sz="5" w:space="0" w:color="000000"/>
              <w:right w:val="single" w:sz="5" w:space="0" w:color="000000"/>
            </w:tcBorders>
          </w:tcPr>
          <w:p w14:paraId="7EE75669"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lastRenderedPageBreak/>
              <w:t>26</w:t>
            </w:r>
          </w:p>
        </w:tc>
        <w:tc>
          <w:tcPr>
            <w:tcW w:w="3811" w:type="pct"/>
            <w:tcBorders>
              <w:top w:val="single" w:sz="5" w:space="0" w:color="000000"/>
              <w:left w:val="single" w:sz="5" w:space="0" w:color="000000"/>
              <w:bottom w:val="single" w:sz="5" w:space="0" w:color="000000"/>
              <w:right w:val="single" w:sz="5" w:space="0" w:color="000000"/>
            </w:tcBorders>
          </w:tcPr>
          <w:p w14:paraId="0BEB024B"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Declare any competing interests of review authors.</w:t>
            </w:r>
          </w:p>
        </w:tc>
        <w:tc>
          <w:tcPr>
            <w:tcW w:w="488" w:type="pct"/>
            <w:tcBorders>
              <w:top w:val="single" w:sz="5" w:space="0" w:color="000000"/>
              <w:left w:val="single" w:sz="5" w:space="0" w:color="000000"/>
              <w:bottom w:val="single" w:sz="5" w:space="0" w:color="000000"/>
              <w:right w:val="single" w:sz="5" w:space="0" w:color="000000"/>
            </w:tcBorders>
          </w:tcPr>
          <w:p w14:paraId="51C3AC5F"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Acknowledgement</w:t>
            </w:r>
          </w:p>
        </w:tc>
      </w:tr>
      <w:tr w:rsidR="00892E82" w:rsidRPr="00F07C0E" w14:paraId="311A3B5D" w14:textId="77777777" w:rsidTr="00B23F69">
        <w:trPr>
          <w:trHeight w:val="219"/>
        </w:trPr>
        <w:tc>
          <w:tcPr>
            <w:tcW w:w="492" w:type="pct"/>
            <w:tcBorders>
              <w:top w:val="single" w:sz="5" w:space="0" w:color="000000"/>
              <w:left w:val="single" w:sz="5" w:space="0" w:color="000000"/>
              <w:bottom w:val="double" w:sz="5" w:space="0" w:color="000000"/>
              <w:right w:val="single" w:sz="5" w:space="0" w:color="000000"/>
            </w:tcBorders>
          </w:tcPr>
          <w:p w14:paraId="749446B8"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Availability of data, code and other materials</w:t>
            </w:r>
          </w:p>
        </w:tc>
        <w:tc>
          <w:tcPr>
            <w:tcW w:w="209" w:type="pct"/>
            <w:tcBorders>
              <w:top w:val="single" w:sz="5" w:space="0" w:color="000000"/>
              <w:left w:val="single" w:sz="5" w:space="0" w:color="000000"/>
              <w:bottom w:val="double" w:sz="5" w:space="0" w:color="000000"/>
              <w:right w:val="single" w:sz="5" w:space="0" w:color="000000"/>
            </w:tcBorders>
          </w:tcPr>
          <w:p w14:paraId="7769FDAC" w14:textId="77777777" w:rsidR="00892E82" w:rsidRPr="00F07C0E" w:rsidRDefault="00892E82" w:rsidP="00B23F69">
            <w:pPr>
              <w:pStyle w:val="Default"/>
              <w:spacing w:before="40" w:after="40"/>
              <w:jc w:val="right"/>
              <w:rPr>
                <w:rFonts w:ascii="Arial" w:hAnsi="Arial" w:cs="Arial"/>
                <w:sz w:val="14"/>
                <w:szCs w:val="14"/>
              </w:rPr>
            </w:pPr>
            <w:r w:rsidRPr="00F07C0E">
              <w:rPr>
                <w:rFonts w:ascii="Arial" w:hAnsi="Arial" w:cs="Arial"/>
                <w:sz w:val="14"/>
                <w:szCs w:val="14"/>
              </w:rPr>
              <w:t>27</w:t>
            </w:r>
          </w:p>
        </w:tc>
        <w:tc>
          <w:tcPr>
            <w:tcW w:w="3811" w:type="pct"/>
            <w:tcBorders>
              <w:top w:val="single" w:sz="5" w:space="0" w:color="000000"/>
              <w:left w:val="single" w:sz="5" w:space="0" w:color="000000"/>
              <w:bottom w:val="double" w:sz="5" w:space="0" w:color="000000"/>
              <w:right w:val="single" w:sz="5" w:space="0" w:color="000000"/>
            </w:tcBorders>
          </w:tcPr>
          <w:p w14:paraId="3835A100" w14:textId="77777777" w:rsidR="00892E82" w:rsidRPr="00F07C0E" w:rsidRDefault="00892E82" w:rsidP="00B23F69">
            <w:pPr>
              <w:pStyle w:val="Default"/>
              <w:spacing w:before="40" w:after="40"/>
              <w:rPr>
                <w:rFonts w:ascii="Arial" w:hAnsi="Arial" w:cs="Arial"/>
                <w:sz w:val="14"/>
                <w:szCs w:val="14"/>
              </w:rPr>
            </w:pPr>
            <w:r w:rsidRPr="00F07C0E">
              <w:rPr>
                <w:rFonts w:ascii="Arial" w:hAnsi="Arial" w:cs="Arial"/>
                <w:sz w:val="14"/>
                <w:szCs w:val="14"/>
              </w:rPr>
              <w:t>Report which of the following are publicly available and where they can be found: template data collection forms; data extracted from included studies; data used for all analyses; analytic code; any other materials used in the review.</w:t>
            </w:r>
          </w:p>
        </w:tc>
        <w:tc>
          <w:tcPr>
            <w:tcW w:w="488" w:type="pct"/>
            <w:tcBorders>
              <w:top w:val="single" w:sz="5" w:space="0" w:color="000000"/>
              <w:left w:val="single" w:sz="5" w:space="0" w:color="000000"/>
              <w:bottom w:val="double" w:sz="5" w:space="0" w:color="000000"/>
              <w:right w:val="single" w:sz="5" w:space="0" w:color="000000"/>
            </w:tcBorders>
          </w:tcPr>
          <w:p w14:paraId="7C6E5E07" w14:textId="77777777" w:rsidR="00892E82" w:rsidRPr="00F07C0E" w:rsidRDefault="00892E82" w:rsidP="00B23F69">
            <w:pPr>
              <w:pStyle w:val="Default"/>
              <w:spacing w:before="40" w:after="40"/>
              <w:rPr>
                <w:rFonts w:ascii="Arial" w:hAnsi="Arial" w:cs="Arial"/>
                <w:color w:val="auto"/>
                <w:sz w:val="14"/>
                <w:szCs w:val="14"/>
              </w:rPr>
            </w:pPr>
            <w:r w:rsidRPr="00F07C0E">
              <w:rPr>
                <w:rFonts w:ascii="Arial" w:hAnsi="Arial" w:cs="Arial"/>
                <w:color w:val="auto"/>
                <w:sz w:val="14"/>
                <w:szCs w:val="14"/>
              </w:rPr>
              <w:t>Acknowledgement</w:t>
            </w:r>
          </w:p>
        </w:tc>
      </w:tr>
    </w:tbl>
    <w:p w14:paraId="19AAD5AE" w14:textId="77777777" w:rsidR="002E2513" w:rsidRDefault="002E2513">
      <w:pPr>
        <w:rPr>
          <w:rFonts w:ascii="Times New Roman" w:hAnsi="Times New Roman" w:cs="Times New Roman"/>
          <w:b/>
          <w:bCs/>
          <w:sz w:val="24"/>
          <w:szCs w:val="24"/>
        </w:rPr>
      </w:pPr>
      <w:r>
        <w:br w:type="page"/>
      </w:r>
    </w:p>
    <w:p w14:paraId="4C79261E" w14:textId="08B847E3" w:rsidR="007937E7" w:rsidRDefault="007937E7" w:rsidP="007937E7">
      <w:pPr>
        <w:spacing w:after="0" w:line="240" w:lineRule="auto"/>
        <w:jc w:val="both"/>
        <w:rPr>
          <w:rFonts w:ascii="Times New Roman" w:hAnsi="Times New Roman" w:cs="Times New Roman"/>
          <w:b/>
          <w:bCs/>
          <w:sz w:val="20"/>
          <w:szCs w:val="20"/>
        </w:rPr>
      </w:pPr>
      <w:bookmarkStart w:id="6" w:name="_Toc111284774"/>
      <w:bookmarkStart w:id="7" w:name="_Toc116234667"/>
      <w:r w:rsidRPr="00D74280">
        <w:rPr>
          <w:rStyle w:val="Heading1Char"/>
        </w:rPr>
        <w:lastRenderedPageBreak/>
        <w:t>Supplementary Table S</w:t>
      </w:r>
      <w:r w:rsidR="00064AD4">
        <w:rPr>
          <w:rStyle w:val="Heading1Char"/>
        </w:rPr>
        <w:t>T</w:t>
      </w:r>
      <w:r w:rsidR="0016772E">
        <w:rPr>
          <w:rStyle w:val="Heading1Char"/>
        </w:rPr>
        <w:t>4</w:t>
      </w:r>
      <w:r w:rsidRPr="00D74280">
        <w:rPr>
          <w:rStyle w:val="Heading1Char"/>
        </w:rPr>
        <w:t xml:space="preserve">. </w:t>
      </w:r>
      <w:r w:rsidRPr="00AC7749">
        <w:rPr>
          <w:rStyle w:val="Heading1Char"/>
          <w:b w:val="0"/>
          <w:bCs w:val="0"/>
        </w:rPr>
        <w:t>Detailed Search Strategy in Each Database, last updated 10 April 2022</w:t>
      </w:r>
      <w:bookmarkEnd w:id="6"/>
      <w:bookmarkEnd w:id="7"/>
      <w:r w:rsidRPr="00AC7749">
        <w:rPr>
          <w:rFonts w:ascii="Times New Roman" w:hAnsi="Times New Roman" w:cs="Times New Roman"/>
          <w:b/>
          <w:bCs/>
          <w:sz w:val="20"/>
          <w:szCs w:val="20"/>
        </w:rPr>
        <w:t>.</w:t>
      </w:r>
    </w:p>
    <w:tbl>
      <w:tblPr>
        <w:tblStyle w:val="PlainTable2"/>
        <w:tblW w:w="0" w:type="auto"/>
        <w:tblLook w:val="04A0" w:firstRow="1" w:lastRow="0" w:firstColumn="1" w:lastColumn="0" w:noHBand="0" w:noVBand="1"/>
      </w:tblPr>
      <w:tblGrid>
        <w:gridCol w:w="1433"/>
        <w:gridCol w:w="5299"/>
        <w:gridCol w:w="6228"/>
      </w:tblGrid>
      <w:tr w:rsidR="001945D9" w:rsidRPr="00DA5A17" w14:paraId="15D365C1" w14:textId="77777777" w:rsidTr="005537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D9D9" w:themeFill="background1" w:themeFillShade="D9"/>
          </w:tcPr>
          <w:p w14:paraId="16AFE190" w14:textId="77777777" w:rsidR="001945D9" w:rsidRPr="00811BCF" w:rsidRDefault="001945D9" w:rsidP="0055373D">
            <w:pPr>
              <w:jc w:val="both"/>
              <w:rPr>
                <w:rFonts w:ascii="Times New Roman" w:hAnsi="Times New Roman" w:cs="Times New Roman"/>
                <w:sz w:val="16"/>
                <w:szCs w:val="16"/>
              </w:rPr>
            </w:pPr>
            <w:bookmarkStart w:id="8" w:name="_Toc111284775"/>
            <w:r w:rsidRPr="00811BCF">
              <w:rPr>
                <w:rFonts w:ascii="Times New Roman" w:hAnsi="Times New Roman" w:cs="Times New Roman"/>
                <w:sz w:val="16"/>
                <w:szCs w:val="16"/>
              </w:rPr>
              <w:t>Database</w:t>
            </w:r>
          </w:p>
        </w:tc>
        <w:tc>
          <w:tcPr>
            <w:tcW w:w="0" w:type="auto"/>
            <w:gridSpan w:val="2"/>
            <w:shd w:val="clear" w:color="auto" w:fill="D9D9D9" w:themeFill="background1" w:themeFillShade="D9"/>
          </w:tcPr>
          <w:p w14:paraId="746D07DC" w14:textId="77777777" w:rsidR="001945D9" w:rsidRPr="00811BCF" w:rsidRDefault="001945D9" w:rsidP="0055373D">
            <w:pPr>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811BCF">
              <w:rPr>
                <w:rFonts w:ascii="Times New Roman" w:hAnsi="Times New Roman" w:cs="Times New Roman"/>
                <w:sz w:val="16"/>
                <w:szCs w:val="16"/>
              </w:rPr>
              <w:t>Search Strategy</w:t>
            </w:r>
          </w:p>
        </w:tc>
      </w:tr>
      <w:tr w:rsidR="001945D9" w:rsidRPr="00DA5A17" w14:paraId="768B65A1"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69F36711" w14:textId="77777777" w:rsidR="001945D9" w:rsidRPr="00DA5A17" w:rsidRDefault="001945D9" w:rsidP="0055373D">
            <w:pPr>
              <w:jc w:val="both"/>
              <w:rPr>
                <w:rFonts w:ascii="Times New Roman" w:hAnsi="Times New Roman" w:cs="Times New Roman"/>
                <w:b w:val="0"/>
                <w:bCs w:val="0"/>
                <w:sz w:val="16"/>
                <w:szCs w:val="16"/>
              </w:rPr>
            </w:pPr>
            <w:r w:rsidRPr="00DA5A17">
              <w:rPr>
                <w:rFonts w:ascii="Times New Roman" w:eastAsia="Times New Roman" w:hAnsi="Times New Roman" w:cs="Times New Roman"/>
                <w:sz w:val="16"/>
                <w:szCs w:val="16"/>
              </w:rPr>
              <w:t>PubMed</w:t>
            </w:r>
          </w:p>
        </w:tc>
        <w:tc>
          <w:tcPr>
            <w:tcW w:w="0" w:type="auto"/>
            <w:gridSpan w:val="2"/>
          </w:tcPr>
          <w:p w14:paraId="39C5DBBB"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("Probiotics"[</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Terms] OR "probiotics"[Title/Abstract] OR "probiotic"[Title/Abstract] OR "Prebiotics"[</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Terms] OR "prebiotic"[Title/Abstract] OR "prebiotics"[Title/Abstract] OR "Synbiotics"[</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Terms] OR "synbiotics"[Title/Abstract] OR "synbiotic"[Title/Abstract] OR "symbiotic"[Title/Abstract] OR "symbiotics"[Title/Abstract] OR "gastrointestinal microbiome"[</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Terms] OR "gut microbiome"[Title/Abstract] OR "gut flora"[Title/Abstract]) AND ("diabetes mellitus, type 2"[</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Terms] OR "T2D"[Title/Abstract] OR "type 2 diabetes"[Title/Abstract]). Limit to clinical and animal studies.</w:t>
            </w:r>
          </w:p>
        </w:tc>
      </w:tr>
      <w:tr w:rsidR="001945D9" w:rsidRPr="00DA5A17" w14:paraId="1844DCBC" w14:textId="77777777" w:rsidTr="0055373D">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5CC6C361" w14:textId="77777777" w:rsidR="001945D9" w:rsidRPr="00DA5A17" w:rsidRDefault="001945D9" w:rsidP="0055373D">
            <w:pPr>
              <w:jc w:val="both"/>
              <w:rPr>
                <w:rFonts w:ascii="Times New Roman" w:hAnsi="Times New Roman" w:cs="Times New Roman"/>
                <w:b w:val="0"/>
                <w:bCs w:val="0"/>
                <w:sz w:val="16"/>
                <w:szCs w:val="16"/>
              </w:rPr>
            </w:pPr>
            <w:r w:rsidRPr="00DA5A17">
              <w:rPr>
                <w:rFonts w:ascii="Times New Roman" w:eastAsia="Times New Roman" w:hAnsi="Times New Roman" w:cs="Times New Roman"/>
                <w:sz w:val="16"/>
                <w:szCs w:val="16"/>
              </w:rPr>
              <w:t>Scopus</w:t>
            </w:r>
          </w:p>
        </w:tc>
        <w:tc>
          <w:tcPr>
            <w:tcW w:w="0" w:type="auto"/>
            <w:gridSpan w:val="2"/>
          </w:tcPr>
          <w:p w14:paraId="50423DAC"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(INDEXTERMS ("clinical trials" OR "clinical trials as a topic" OR "randomized controlled trial" OR "Randomized Controlled Trials as Topic" OR "controlled clinical trial" OR "Controlled Clinical Trials" OR "random allocation" OR "Double-Blind Method" OR "Single-Blind Method" OR "Cross-Over Studies" OR "Placebos" OR "multicenter study" OR "double blind procedure" OR "single blind procedure" OR "crossover procedure" OR "clinical trial" OR "controlled study" OR "randomization" OR "placebo")) OR (TITLE-ABS-KEY (("clinical trials" OR "clinical trials as a topic" OR "randomized controlled trial" OR "Randomized Controlled Trials as Topic" OR "controlled clinical trial" OR "Controlled Clinical Trials as Topic"  OR  "random allocation"  OR  "randomly allocated"  OR  "allocated randomly"  OR  "Double-Blind Method"  OR  "Single-Blind Method"  OR  "Cross-Over Studies"  OR  "Placebos"  OR  "cross-over trial"  OR  "single blind"  OR  "double blind"  OR  "factorial design"  OR  "factorial trial" ) ) )  OR  ( TITLE-ABS ( clinical  AND trial* OR  rct*  OR  random*  OR  blind* ) ) AND  ( ( ( TITLE-ABS-KEY ( probiotics  OR  probiotic  OR  prebiotic  OR  prebiotics ) )  OR  ( TITLE-ABS-KEY ( synbiotics  OR  synbiotic  OR  symbiotic  OR  symbiotics ) )  OR  TITLE-ABS-KEY ( "gastrointestinal microbiome" )  OR  TITLE-ABS-KEY ( "gut microbiome" )  OR  TITLE-ABS-KEY ( "gut flora" ) AND  ( TITLE-ABS-KEY ( diabetes  AND mellitus  AND type  2 )  OR  TITLE-ABS-KEY ( t2d )  OR  TITLE-ABS-KEY ( type  2  diabetes ) ) ) )</w:t>
            </w:r>
          </w:p>
        </w:tc>
      </w:tr>
      <w:tr w:rsidR="001945D9" w:rsidRPr="00DA5A17" w14:paraId="366C26BD"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24D4C555" w14:textId="77777777" w:rsidR="001945D9" w:rsidRPr="00DA5A17" w:rsidRDefault="001945D9" w:rsidP="0055373D">
            <w:pPr>
              <w:jc w:val="both"/>
              <w:rPr>
                <w:rFonts w:ascii="Times New Roman" w:hAnsi="Times New Roman" w:cs="Times New Roman"/>
                <w:b w:val="0"/>
                <w:bCs w:val="0"/>
                <w:sz w:val="16"/>
                <w:szCs w:val="16"/>
              </w:rPr>
            </w:pPr>
            <w:r w:rsidRPr="00DA5A17">
              <w:rPr>
                <w:rFonts w:ascii="Times New Roman" w:eastAsia="Times New Roman" w:hAnsi="Times New Roman" w:cs="Times New Roman"/>
                <w:sz w:val="16"/>
                <w:szCs w:val="16"/>
              </w:rPr>
              <w:t>Web of Science</w:t>
            </w:r>
          </w:p>
        </w:tc>
        <w:tc>
          <w:tcPr>
            <w:tcW w:w="0" w:type="auto"/>
            <w:gridSpan w:val="2"/>
          </w:tcPr>
          <w:p w14:paraId="11A307BA"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 xml:space="preserve">TOPIC ((probiotic* OR prebiotic* OR </w:t>
            </w:r>
            <w:proofErr w:type="spellStart"/>
            <w:r w:rsidRPr="00DA5A17">
              <w:rPr>
                <w:rFonts w:ascii="Times New Roman" w:eastAsia="Times New Roman" w:hAnsi="Times New Roman" w:cs="Times New Roman"/>
                <w:bCs/>
                <w:sz w:val="16"/>
                <w:szCs w:val="16"/>
              </w:rPr>
              <w:t>sy</w:t>
            </w:r>
            <w:proofErr w:type="spellEnd"/>
            <w:r w:rsidRPr="00DA5A17">
              <w:rPr>
                <w:rFonts w:ascii="Times New Roman" w:eastAsia="Times New Roman" w:hAnsi="Times New Roman" w:cs="Times New Roman"/>
                <w:bCs/>
                <w:sz w:val="16"/>
                <w:szCs w:val="16"/>
              </w:rPr>
              <w:t>*biotic OR symbiotic* OR synbiotic*) OR ("gastrointestinal microbiome" OR "gut microbiome" OR "gut flora")) AND TOPIC ("diabetes mellitus type 2" OR t2d OR "type 2 diabetes"). Limit to: Clinical Trials.</w:t>
            </w:r>
          </w:p>
        </w:tc>
      </w:tr>
      <w:tr w:rsidR="001945D9" w:rsidRPr="00DA5A17" w14:paraId="303B896E" w14:textId="77777777" w:rsidTr="0055373D">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6E16F507" w14:textId="77777777" w:rsidR="001945D9" w:rsidRPr="00DA5A17" w:rsidRDefault="001945D9" w:rsidP="0055373D">
            <w:pPr>
              <w:jc w:val="both"/>
              <w:rPr>
                <w:rFonts w:ascii="Times New Roman" w:hAnsi="Times New Roman" w:cs="Times New Roman"/>
                <w:b w:val="0"/>
                <w:bCs w:val="0"/>
                <w:sz w:val="16"/>
                <w:szCs w:val="16"/>
              </w:rPr>
            </w:pPr>
            <w:r w:rsidRPr="00DA5A17">
              <w:rPr>
                <w:rFonts w:ascii="Times New Roman" w:eastAsia="Times New Roman" w:hAnsi="Times New Roman" w:cs="Times New Roman"/>
                <w:sz w:val="16"/>
                <w:szCs w:val="16"/>
              </w:rPr>
              <w:t>Embase</w:t>
            </w:r>
          </w:p>
        </w:tc>
        <w:tc>
          <w:tcPr>
            <w:tcW w:w="0" w:type="auto"/>
            <w:gridSpan w:val="2"/>
          </w:tcPr>
          <w:p w14:paraId="01C2FB9E"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(probiotic*.</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OR prebiotic*.</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 xml:space="preserve">=title, abstract, heading word, drug trade name, original title, device manufacturer, drug manufacturer, device trade name, keyword, floating subheading word, candidate term word] OR </w:t>
            </w:r>
            <w:proofErr w:type="spellStart"/>
            <w:r w:rsidRPr="00DA5A17">
              <w:rPr>
                <w:rFonts w:ascii="Times New Roman" w:eastAsia="Times New Roman" w:hAnsi="Times New Roman" w:cs="Times New Roman"/>
                <w:bCs/>
                <w:sz w:val="16"/>
                <w:szCs w:val="16"/>
              </w:rPr>
              <w:t>sy</w:t>
            </w:r>
            <w:proofErr w:type="spellEnd"/>
            <w:r w:rsidRPr="00DA5A17">
              <w:rPr>
                <w:rFonts w:ascii="Times New Roman" w:eastAsia="Times New Roman" w:hAnsi="Times New Roman" w:cs="Times New Roman"/>
                <w:bCs/>
                <w:sz w:val="16"/>
                <w:szCs w:val="16"/>
              </w:rPr>
              <w:t>*biotics.mp.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 xml:space="preserve">=title, abstract, heading word, drug trade name, original title, device manufacturer, drug manufacturer, device trade name, keyword, floating subheading word, candidate term word] OR </w:t>
            </w:r>
            <w:proofErr w:type="spellStart"/>
            <w:r w:rsidRPr="00DA5A17">
              <w:rPr>
                <w:rFonts w:ascii="Times New Roman" w:eastAsia="Times New Roman" w:hAnsi="Times New Roman" w:cs="Times New Roman"/>
                <w:bCs/>
                <w:sz w:val="16"/>
                <w:szCs w:val="16"/>
              </w:rPr>
              <w:t>sy</w:t>
            </w:r>
            <w:proofErr w:type="spellEnd"/>
            <w:r w:rsidRPr="00DA5A17">
              <w:rPr>
                <w:rFonts w:ascii="Times New Roman" w:eastAsia="Times New Roman" w:hAnsi="Times New Roman" w:cs="Times New Roman"/>
                <w:bCs/>
                <w:sz w:val="16"/>
                <w:szCs w:val="16"/>
              </w:rPr>
              <w:t>*biotic.mp.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OR gut flora.mp.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OR gastrointestinal microbiome.mp.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OR gut microbiome.mp.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AND (diabetes type 2.mp.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OR t2d.mp.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OR type 2 diabetes.mp.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OR diabetes mellitus.mp. [</w:t>
            </w:r>
            <w:proofErr w:type="spellStart"/>
            <w:r w:rsidRPr="00DA5A17">
              <w:rPr>
                <w:rFonts w:ascii="Times New Roman" w:eastAsia="Times New Roman" w:hAnsi="Times New Roman" w:cs="Times New Roman"/>
                <w:bCs/>
                <w:sz w:val="16"/>
                <w:szCs w:val="16"/>
              </w:rPr>
              <w:t>mp</w:t>
            </w:r>
            <w:proofErr w:type="spellEnd"/>
            <w:r w:rsidRPr="00DA5A17">
              <w:rPr>
                <w:rFonts w:ascii="Times New Roman" w:eastAsia="Times New Roman" w:hAnsi="Times New Roman" w:cs="Times New Roman"/>
                <w:bCs/>
                <w:sz w:val="16"/>
                <w:szCs w:val="16"/>
              </w:rPr>
              <w:t>=title, abstract, heading word, drug trade name, original title, device manufacturer, drug manufacturer, device trade name, keyword, floating subheading word, candidate term word]. Limit to (clinical trial or randomized controlled trial or controlled clinical trial or multicenter study or phase 1 clinical trial or phase 2 clinical trial or phase 3 clinical trial or phase 4 clinical trial)</w:t>
            </w:r>
          </w:p>
        </w:tc>
      </w:tr>
      <w:tr w:rsidR="001945D9" w:rsidRPr="00DA5A17" w14:paraId="4D2D91FC"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7714212B" w14:textId="77777777" w:rsidR="001945D9" w:rsidRPr="00DA5A17" w:rsidRDefault="001945D9" w:rsidP="0055373D">
            <w:pPr>
              <w:jc w:val="both"/>
              <w:rPr>
                <w:rFonts w:ascii="Times New Roman" w:hAnsi="Times New Roman" w:cs="Times New Roman"/>
                <w:b w:val="0"/>
                <w:bCs w:val="0"/>
                <w:sz w:val="16"/>
                <w:szCs w:val="16"/>
              </w:rPr>
            </w:pPr>
            <w:r w:rsidRPr="00DA5A17">
              <w:rPr>
                <w:rFonts w:ascii="Times New Roman" w:eastAsia="Times New Roman" w:hAnsi="Times New Roman" w:cs="Times New Roman"/>
                <w:sz w:val="16"/>
                <w:szCs w:val="16"/>
              </w:rPr>
              <w:t>Clinical Trials</w:t>
            </w:r>
          </w:p>
        </w:tc>
        <w:tc>
          <w:tcPr>
            <w:tcW w:w="0" w:type="auto"/>
            <w:gridSpan w:val="2"/>
          </w:tcPr>
          <w:p w14:paraId="5A496827"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(“Diabetes Mellitus, Type 2” OR “Type 2 diabetes” OR Diabetes) AND (prebiotic OR probiotic OR symbiotic OR synbiotic OR "gastrointestinal microbiome" OR “Gut Microbiota”). Filtered by Completed Studies</w:t>
            </w:r>
          </w:p>
        </w:tc>
      </w:tr>
      <w:tr w:rsidR="001945D9" w:rsidRPr="00DA5A17" w14:paraId="266C6E87" w14:textId="77777777" w:rsidTr="0055373D">
        <w:tc>
          <w:tcPr>
            <w:cnfStyle w:val="001000000000" w:firstRow="0" w:lastRow="0" w:firstColumn="1" w:lastColumn="0" w:oddVBand="0" w:evenVBand="0" w:oddHBand="0" w:evenHBand="0" w:firstRowFirstColumn="0" w:firstRowLastColumn="0" w:lastRowFirstColumn="0" w:lastRowLastColumn="0"/>
            <w:tcW w:w="0" w:type="auto"/>
            <w:shd w:val="clear" w:color="auto" w:fill="D9E2F3" w:themeFill="accent1" w:themeFillTint="33"/>
          </w:tcPr>
          <w:p w14:paraId="68464703" w14:textId="77777777" w:rsidR="001945D9" w:rsidRPr="00DA5A17" w:rsidRDefault="001945D9" w:rsidP="0055373D">
            <w:pPr>
              <w:jc w:val="both"/>
              <w:rPr>
                <w:rFonts w:ascii="Times New Roman" w:hAnsi="Times New Roman" w:cs="Times New Roman"/>
                <w:b w:val="0"/>
                <w:bCs w:val="0"/>
                <w:sz w:val="16"/>
                <w:szCs w:val="16"/>
              </w:rPr>
            </w:pPr>
            <w:r w:rsidRPr="00DA5A17">
              <w:rPr>
                <w:rFonts w:ascii="Times New Roman" w:eastAsia="Times New Roman" w:hAnsi="Times New Roman" w:cs="Times New Roman"/>
                <w:sz w:val="16"/>
                <w:szCs w:val="16"/>
              </w:rPr>
              <w:t xml:space="preserve">ProQuest Dissertations </w:t>
            </w:r>
            <w:r w:rsidRPr="00DA5A17">
              <w:rPr>
                <w:rFonts w:ascii="Times New Roman" w:eastAsia="Times New Roman" w:hAnsi="Times New Roman" w:cs="Times New Roman"/>
                <w:b w:val="0"/>
                <w:bCs w:val="0"/>
                <w:sz w:val="16"/>
                <w:szCs w:val="16"/>
              </w:rPr>
              <w:t xml:space="preserve">and </w:t>
            </w:r>
            <w:r w:rsidRPr="00DA5A17">
              <w:rPr>
                <w:rFonts w:ascii="Times New Roman" w:eastAsia="Times New Roman" w:hAnsi="Times New Roman" w:cs="Times New Roman"/>
                <w:sz w:val="16"/>
                <w:szCs w:val="16"/>
              </w:rPr>
              <w:t>Theses</w:t>
            </w:r>
          </w:p>
        </w:tc>
        <w:tc>
          <w:tcPr>
            <w:tcW w:w="0" w:type="auto"/>
            <w:gridSpan w:val="2"/>
          </w:tcPr>
          <w:p w14:paraId="6B1F2F74"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(Probiotic* OR Prebiotic* OR Synbiotic* OR Symbiotic* OR "gastrointestinal microbiome" OR "Gut Flora" OR "gut microbiome") AND ab(diabetes AND ("type 2" OR t2d OR "Type II"))</w:t>
            </w:r>
          </w:p>
        </w:tc>
      </w:tr>
      <w:tr w:rsidR="001945D9" w:rsidRPr="00DA5A17" w14:paraId="5DE9F4F6"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val="restart"/>
            <w:shd w:val="clear" w:color="auto" w:fill="D9E2F3" w:themeFill="accent1" w:themeFillTint="33"/>
          </w:tcPr>
          <w:p w14:paraId="28D8EE69" w14:textId="77777777" w:rsidR="001945D9" w:rsidRPr="00DA5A17" w:rsidRDefault="001945D9" w:rsidP="0055373D">
            <w:pPr>
              <w:jc w:val="both"/>
              <w:rPr>
                <w:rFonts w:ascii="Times New Roman" w:hAnsi="Times New Roman" w:cs="Times New Roman"/>
                <w:b w:val="0"/>
                <w:bCs w:val="0"/>
                <w:sz w:val="16"/>
                <w:szCs w:val="16"/>
              </w:rPr>
            </w:pPr>
            <w:r w:rsidRPr="00DA5A17">
              <w:rPr>
                <w:rFonts w:ascii="Times New Roman" w:eastAsia="Times New Roman" w:hAnsi="Times New Roman" w:cs="Times New Roman"/>
                <w:b w:val="0"/>
                <w:bCs w:val="0"/>
                <w:sz w:val="16"/>
                <w:szCs w:val="16"/>
              </w:rPr>
              <w:t>Cochrane</w:t>
            </w:r>
          </w:p>
        </w:tc>
        <w:tc>
          <w:tcPr>
            <w:tcW w:w="0" w:type="auto"/>
          </w:tcPr>
          <w:p w14:paraId="253F02EB"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 xml:space="preserve">1      </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descriptor: [Probiotics]</w:t>
            </w:r>
          </w:p>
        </w:tc>
        <w:tc>
          <w:tcPr>
            <w:tcW w:w="0" w:type="auto"/>
          </w:tcPr>
          <w:p w14:paraId="7D5FC3DD"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12   "gut flora"</w:t>
            </w:r>
          </w:p>
        </w:tc>
      </w:tr>
      <w:tr w:rsidR="001945D9" w:rsidRPr="00DA5A17" w14:paraId="65DAE0E8" w14:textId="77777777" w:rsidTr="0055373D">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73676EFC"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6219AFC8"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2      probiotic</w:t>
            </w:r>
          </w:p>
        </w:tc>
        <w:tc>
          <w:tcPr>
            <w:tcW w:w="0" w:type="auto"/>
          </w:tcPr>
          <w:p w14:paraId="0E797DC6"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13   "gastrointestinal microbiome"</w:t>
            </w:r>
          </w:p>
        </w:tc>
      </w:tr>
      <w:tr w:rsidR="001945D9" w:rsidRPr="00DA5A17" w14:paraId="4706DD44"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18F3052B"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3E19F0C7"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3      prebiotic</w:t>
            </w:r>
          </w:p>
        </w:tc>
        <w:tc>
          <w:tcPr>
            <w:tcW w:w="0" w:type="auto"/>
          </w:tcPr>
          <w:p w14:paraId="0436D7F1"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14   "gut microbiome"</w:t>
            </w:r>
          </w:p>
        </w:tc>
      </w:tr>
      <w:tr w:rsidR="001945D9" w:rsidRPr="00DA5A17" w14:paraId="788C15B8" w14:textId="77777777" w:rsidTr="0055373D">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6D6353B1"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168E8CEA"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 xml:space="preserve">4      </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descriptor: [Prebiotics]</w:t>
            </w:r>
          </w:p>
        </w:tc>
        <w:tc>
          <w:tcPr>
            <w:tcW w:w="0" w:type="auto"/>
          </w:tcPr>
          <w:p w14:paraId="75C097CA"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15   "diabetes mellitus"</w:t>
            </w:r>
          </w:p>
        </w:tc>
      </w:tr>
      <w:tr w:rsidR="001945D9" w:rsidRPr="00DA5A17" w14:paraId="0D5C50F4"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312A1F11"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37F6A651"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5      symbiotic</w:t>
            </w:r>
          </w:p>
        </w:tc>
        <w:tc>
          <w:tcPr>
            <w:tcW w:w="0" w:type="auto"/>
          </w:tcPr>
          <w:p w14:paraId="0C5754C9"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 xml:space="preserve">16   </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descriptor: [Diabetes Mellitus]</w:t>
            </w:r>
          </w:p>
        </w:tc>
      </w:tr>
      <w:tr w:rsidR="001945D9" w:rsidRPr="00DA5A17" w14:paraId="3C65C414" w14:textId="77777777" w:rsidTr="0055373D">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299A6161"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22969DAF"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6      synbiotic</w:t>
            </w:r>
          </w:p>
        </w:tc>
        <w:tc>
          <w:tcPr>
            <w:tcW w:w="0" w:type="auto"/>
          </w:tcPr>
          <w:p w14:paraId="072BF514"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17   t2d</w:t>
            </w:r>
          </w:p>
        </w:tc>
      </w:tr>
      <w:tr w:rsidR="001945D9" w:rsidRPr="00DA5A17" w14:paraId="2664E542"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271FF581"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101A1F39"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 xml:space="preserve">7      </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descriptor: [Synbiotics]</w:t>
            </w:r>
          </w:p>
        </w:tc>
        <w:tc>
          <w:tcPr>
            <w:tcW w:w="0" w:type="auto"/>
          </w:tcPr>
          <w:p w14:paraId="552C7A83"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18   "type 2" AND diabetes</w:t>
            </w:r>
          </w:p>
        </w:tc>
      </w:tr>
      <w:tr w:rsidR="001945D9" w:rsidRPr="00DA5A17" w14:paraId="77D2CED7" w14:textId="77777777" w:rsidTr="0055373D">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07BBDD83"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4D2D9779"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8      probiotics</w:t>
            </w:r>
          </w:p>
        </w:tc>
        <w:tc>
          <w:tcPr>
            <w:tcW w:w="0" w:type="auto"/>
          </w:tcPr>
          <w:p w14:paraId="6918CF3A"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19   1 or 2 or 3 or 4 or 5 or 6 or 7 or 8 or 9 or 10 or 11 or 12 or 13 or 14</w:t>
            </w:r>
          </w:p>
        </w:tc>
      </w:tr>
      <w:tr w:rsidR="001945D9" w:rsidRPr="00DA5A17" w14:paraId="216B1A30"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6D560816"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1881291C"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9      prebiotics</w:t>
            </w:r>
          </w:p>
        </w:tc>
        <w:tc>
          <w:tcPr>
            <w:tcW w:w="0" w:type="auto"/>
          </w:tcPr>
          <w:p w14:paraId="2E12C70D"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20   15 or 16 or 17 or 18</w:t>
            </w:r>
          </w:p>
        </w:tc>
      </w:tr>
      <w:tr w:rsidR="001945D9" w:rsidRPr="00DA5A17" w14:paraId="213AED2D" w14:textId="77777777" w:rsidTr="0055373D">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24D85C76"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1B5FD71D"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 xml:space="preserve">10   </w:t>
            </w:r>
            <w:proofErr w:type="spellStart"/>
            <w:r w:rsidRPr="00DA5A17">
              <w:rPr>
                <w:rFonts w:ascii="Times New Roman" w:eastAsia="Times New Roman" w:hAnsi="Times New Roman" w:cs="Times New Roman"/>
                <w:bCs/>
                <w:sz w:val="16"/>
                <w:szCs w:val="16"/>
              </w:rPr>
              <w:t>sy</w:t>
            </w:r>
            <w:proofErr w:type="spellEnd"/>
            <w:r w:rsidRPr="00DA5A17">
              <w:rPr>
                <w:rFonts w:ascii="Times New Roman" w:eastAsia="Times New Roman" w:hAnsi="Times New Roman" w:cs="Times New Roman"/>
                <w:bCs/>
                <w:sz w:val="16"/>
                <w:szCs w:val="16"/>
              </w:rPr>
              <w:t>*biotics</w:t>
            </w:r>
          </w:p>
        </w:tc>
        <w:tc>
          <w:tcPr>
            <w:tcW w:w="0" w:type="auto"/>
          </w:tcPr>
          <w:p w14:paraId="46CC2882" w14:textId="77777777" w:rsidR="001945D9" w:rsidRPr="00DA5A17" w:rsidRDefault="001945D9" w:rsidP="0055373D">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21   19 and 20</w:t>
            </w:r>
          </w:p>
        </w:tc>
      </w:tr>
      <w:tr w:rsidR="001945D9" w:rsidRPr="00DA5A17" w14:paraId="440980E9" w14:textId="77777777" w:rsidTr="0055373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Merge/>
            <w:shd w:val="clear" w:color="auto" w:fill="D9E2F3" w:themeFill="accent1" w:themeFillTint="33"/>
          </w:tcPr>
          <w:p w14:paraId="6CA9AB0A" w14:textId="77777777" w:rsidR="001945D9" w:rsidRPr="00DA5A17" w:rsidRDefault="001945D9" w:rsidP="0055373D">
            <w:pPr>
              <w:jc w:val="both"/>
              <w:rPr>
                <w:rFonts w:ascii="Times New Roman" w:eastAsia="Times New Roman" w:hAnsi="Times New Roman" w:cs="Times New Roman"/>
                <w:b w:val="0"/>
                <w:bCs w:val="0"/>
                <w:sz w:val="16"/>
                <w:szCs w:val="16"/>
              </w:rPr>
            </w:pPr>
          </w:p>
        </w:tc>
        <w:tc>
          <w:tcPr>
            <w:tcW w:w="0" w:type="auto"/>
          </w:tcPr>
          <w:p w14:paraId="44139AB7"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 xml:space="preserve">11   </w:t>
            </w:r>
            <w:proofErr w:type="spellStart"/>
            <w:r w:rsidRPr="00DA5A17">
              <w:rPr>
                <w:rFonts w:ascii="Times New Roman" w:eastAsia="Times New Roman" w:hAnsi="Times New Roman" w:cs="Times New Roman"/>
                <w:bCs/>
                <w:sz w:val="16"/>
                <w:szCs w:val="16"/>
              </w:rPr>
              <w:t>MeSH</w:t>
            </w:r>
            <w:proofErr w:type="spellEnd"/>
            <w:r w:rsidRPr="00DA5A17">
              <w:rPr>
                <w:rFonts w:ascii="Times New Roman" w:eastAsia="Times New Roman" w:hAnsi="Times New Roman" w:cs="Times New Roman"/>
                <w:bCs/>
                <w:sz w:val="16"/>
                <w:szCs w:val="16"/>
              </w:rPr>
              <w:t xml:space="preserve"> descriptor: [Gastrointestinal Microbiome]</w:t>
            </w:r>
          </w:p>
        </w:tc>
        <w:tc>
          <w:tcPr>
            <w:tcW w:w="0" w:type="auto"/>
          </w:tcPr>
          <w:p w14:paraId="3F233087" w14:textId="77777777" w:rsidR="001945D9" w:rsidRPr="00DA5A17" w:rsidRDefault="001945D9" w:rsidP="0055373D">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bCs/>
                <w:sz w:val="16"/>
                <w:szCs w:val="16"/>
              </w:rPr>
            </w:pPr>
            <w:r w:rsidRPr="00DA5A17">
              <w:rPr>
                <w:rFonts w:ascii="Times New Roman" w:eastAsia="Times New Roman" w:hAnsi="Times New Roman" w:cs="Times New Roman"/>
                <w:bCs/>
                <w:sz w:val="16"/>
                <w:szCs w:val="16"/>
              </w:rPr>
              <w:t>22   Limit to: Controlled trials</w:t>
            </w:r>
          </w:p>
        </w:tc>
      </w:tr>
    </w:tbl>
    <w:p w14:paraId="1FDB8369" w14:textId="20AA9321" w:rsidR="00760394" w:rsidRPr="00565421" w:rsidRDefault="00760394" w:rsidP="00760394">
      <w:pPr>
        <w:pStyle w:val="Heading1"/>
      </w:pPr>
      <w:bookmarkStart w:id="9" w:name="_Toc116234668"/>
      <w:r w:rsidRPr="00565421">
        <w:lastRenderedPageBreak/>
        <w:t xml:space="preserve">Supplementary </w:t>
      </w:r>
      <w:r>
        <w:t>Table S</w:t>
      </w:r>
      <w:r w:rsidR="00064AD4">
        <w:t>T</w:t>
      </w:r>
      <w:r w:rsidR="00D01513">
        <w:t>5</w:t>
      </w:r>
      <w:r>
        <w:t xml:space="preserve">. </w:t>
      </w:r>
      <w:r w:rsidRPr="00D74280">
        <w:rPr>
          <w:b w:val="0"/>
          <w:bCs w:val="0"/>
        </w:rPr>
        <w:t>Data Extraction Variables</w:t>
      </w:r>
      <w:bookmarkEnd w:id="8"/>
      <w:bookmarkEnd w:id="9"/>
    </w:p>
    <w:p w14:paraId="434D05A5" w14:textId="77777777" w:rsidR="00760394" w:rsidRDefault="00760394" w:rsidP="00760394">
      <w:pPr>
        <w:spacing w:after="0" w:line="240" w:lineRule="auto"/>
        <w:jc w:val="both"/>
        <w:rPr>
          <w:rFonts w:ascii="Times New Roman" w:eastAsia="Times New Roman" w:hAnsi="Times New Roman" w:cs="Times New Roman"/>
          <w:bCs/>
          <w:sz w:val="20"/>
          <w:szCs w:val="20"/>
        </w:rPr>
      </w:pPr>
    </w:p>
    <w:tbl>
      <w:tblPr>
        <w:tblStyle w:val="TableGrid"/>
        <w:tblW w:w="0" w:type="auto"/>
        <w:tblCellMar>
          <w:top w:w="85" w:type="dxa"/>
          <w:bottom w:w="85" w:type="dxa"/>
        </w:tblCellMar>
        <w:tblLook w:val="04A0" w:firstRow="1" w:lastRow="0" w:firstColumn="1" w:lastColumn="0" w:noHBand="0" w:noVBand="1"/>
      </w:tblPr>
      <w:tblGrid>
        <w:gridCol w:w="366"/>
        <w:gridCol w:w="2033"/>
        <w:gridCol w:w="10551"/>
      </w:tblGrid>
      <w:tr w:rsidR="00F67AF4" w14:paraId="14F5687F" w14:textId="77777777" w:rsidTr="0055373D">
        <w:tc>
          <w:tcPr>
            <w:tcW w:w="0" w:type="auto"/>
            <w:shd w:val="clear" w:color="auto" w:fill="D9D9D9" w:themeFill="background1" w:themeFillShade="D9"/>
          </w:tcPr>
          <w:p w14:paraId="7BA83E54" w14:textId="77777777" w:rsidR="00F67AF4" w:rsidRDefault="00F67AF4" w:rsidP="0055373D">
            <w:pPr>
              <w:jc w:val="both"/>
              <w:rPr>
                <w:rFonts w:ascii="Times New Roman" w:hAnsi="Times New Roman" w:cs="Times New Roman"/>
                <w:b/>
                <w:bCs/>
                <w:sz w:val="20"/>
                <w:szCs w:val="20"/>
              </w:rPr>
            </w:pPr>
            <w:r>
              <w:rPr>
                <w:rFonts w:ascii="Times New Roman" w:hAnsi="Times New Roman" w:cs="Times New Roman"/>
                <w:b/>
                <w:bCs/>
                <w:sz w:val="20"/>
                <w:szCs w:val="20"/>
              </w:rPr>
              <w:t>1.</w:t>
            </w:r>
          </w:p>
        </w:tc>
        <w:tc>
          <w:tcPr>
            <w:tcW w:w="0" w:type="auto"/>
            <w:shd w:val="clear" w:color="auto" w:fill="D9E2F3" w:themeFill="accent1" w:themeFillTint="33"/>
          </w:tcPr>
          <w:p w14:paraId="006C1A79" w14:textId="77777777" w:rsidR="00F67AF4" w:rsidRDefault="00F67AF4" w:rsidP="0055373D">
            <w:pPr>
              <w:jc w:val="both"/>
              <w:rPr>
                <w:rFonts w:ascii="Times New Roman" w:hAnsi="Times New Roman" w:cs="Times New Roman"/>
                <w:sz w:val="20"/>
                <w:szCs w:val="20"/>
              </w:rPr>
            </w:pPr>
            <w:r>
              <w:rPr>
                <w:rFonts w:ascii="Times New Roman" w:hAnsi="Times New Roman" w:cs="Times New Roman"/>
                <w:b/>
                <w:bCs/>
                <w:sz w:val="20"/>
                <w:szCs w:val="20"/>
              </w:rPr>
              <w:t>S</w:t>
            </w:r>
            <w:r w:rsidRPr="00565421">
              <w:rPr>
                <w:rFonts w:ascii="Times New Roman" w:hAnsi="Times New Roman" w:cs="Times New Roman"/>
                <w:b/>
                <w:bCs/>
                <w:sz w:val="20"/>
                <w:szCs w:val="20"/>
              </w:rPr>
              <w:t>tudy characteristics</w:t>
            </w:r>
          </w:p>
        </w:tc>
        <w:tc>
          <w:tcPr>
            <w:tcW w:w="0" w:type="auto"/>
          </w:tcPr>
          <w:p w14:paraId="4E405478" w14:textId="77777777" w:rsidR="00F67AF4" w:rsidRDefault="00F67AF4" w:rsidP="0055373D">
            <w:pPr>
              <w:jc w:val="both"/>
              <w:rPr>
                <w:rFonts w:ascii="Times New Roman" w:hAnsi="Times New Roman" w:cs="Times New Roman"/>
                <w:sz w:val="20"/>
                <w:szCs w:val="20"/>
              </w:rPr>
            </w:pPr>
            <w:r>
              <w:rPr>
                <w:rFonts w:ascii="Times New Roman" w:hAnsi="Times New Roman" w:cs="Times New Roman"/>
                <w:sz w:val="20"/>
                <w:szCs w:val="20"/>
              </w:rPr>
              <w:t>F</w:t>
            </w:r>
            <w:r w:rsidRPr="00565421">
              <w:rPr>
                <w:rFonts w:ascii="Times New Roman" w:hAnsi="Times New Roman" w:cs="Times New Roman"/>
                <w:sz w:val="20"/>
                <w:szCs w:val="20"/>
              </w:rPr>
              <w:t>irst author’s last name, year of publication, country of study, primary outcomes, study design, trial duration and investigated biomarker(s)</w:t>
            </w:r>
            <w:r>
              <w:rPr>
                <w:rFonts w:ascii="Times New Roman" w:hAnsi="Times New Roman" w:cs="Times New Roman"/>
                <w:sz w:val="20"/>
                <w:szCs w:val="20"/>
              </w:rPr>
              <w:t>.</w:t>
            </w:r>
          </w:p>
        </w:tc>
      </w:tr>
      <w:tr w:rsidR="00F67AF4" w14:paraId="6DE30382" w14:textId="77777777" w:rsidTr="0055373D">
        <w:tc>
          <w:tcPr>
            <w:tcW w:w="0" w:type="auto"/>
            <w:shd w:val="clear" w:color="auto" w:fill="D9D9D9" w:themeFill="background1" w:themeFillShade="D9"/>
          </w:tcPr>
          <w:p w14:paraId="25B69A78" w14:textId="77777777" w:rsidR="00F67AF4" w:rsidRDefault="00F67AF4" w:rsidP="0055373D">
            <w:pPr>
              <w:jc w:val="both"/>
              <w:rPr>
                <w:rFonts w:ascii="Times New Roman" w:hAnsi="Times New Roman" w:cs="Times New Roman"/>
                <w:b/>
                <w:bCs/>
                <w:sz w:val="20"/>
                <w:szCs w:val="20"/>
              </w:rPr>
            </w:pPr>
            <w:r>
              <w:rPr>
                <w:rFonts w:ascii="Times New Roman" w:hAnsi="Times New Roman" w:cs="Times New Roman"/>
                <w:b/>
                <w:bCs/>
                <w:sz w:val="20"/>
                <w:szCs w:val="20"/>
              </w:rPr>
              <w:t xml:space="preserve">2. </w:t>
            </w:r>
          </w:p>
        </w:tc>
        <w:tc>
          <w:tcPr>
            <w:tcW w:w="0" w:type="auto"/>
            <w:shd w:val="clear" w:color="auto" w:fill="D9E2F3" w:themeFill="accent1" w:themeFillTint="33"/>
          </w:tcPr>
          <w:p w14:paraId="6950A843" w14:textId="77777777" w:rsidR="00F67AF4" w:rsidRDefault="00F67AF4" w:rsidP="0055373D">
            <w:pPr>
              <w:jc w:val="both"/>
              <w:rPr>
                <w:rFonts w:ascii="Times New Roman" w:hAnsi="Times New Roman" w:cs="Times New Roman"/>
                <w:sz w:val="20"/>
                <w:szCs w:val="20"/>
              </w:rPr>
            </w:pPr>
            <w:r>
              <w:rPr>
                <w:rFonts w:ascii="Times New Roman" w:hAnsi="Times New Roman" w:cs="Times New Roman"/>
                <w:b/>
                <w:bCs/>
                <w:sz w:val="20"/>
                <w:szCs w:val="20"/>
              </w:rPr>
              <w:t>P</w:t>
            </w:r>
            <w:r w:rsidRPr="00565421">
              <w:rPr>
                <w:rFonts w:ascii="Times New Roman" w:hAnsi="Times New Roman" w:cs="Times New Roman"/>
                <w:b/>
                <w:bCs/>
                <w:sz w:val="20"/>
                <w:szCs w:val="20"/>
              </w:rPr>
              <w:t>articipant characteristics</w:t>
            </w:r>
          </w:p>
        </w:tc>
        <w:tc>
          <w:tcPr>
            <w:tcW w:w="0" w:type="auto"/>
          </w:tcPr>
          <w:p w14:paraId="5653F4CB" w14:textId="77777777" w:rsidR="00F67AF4" w:rsidRDefault="00F67AF4" w:rsidP="0055373D">
            <w:pPr>
              <w:jc w:val="both"/>
              <w:rPr>
                <w:rFonts w:ascii="Times New Roman" w:hAnsi="Times New Roman" w:cs="Times New Roman"/>
                <w:sz w:val="20"/>
                <w:szCs w:val="20"/>
              </w:rPr>
            </w:pPr>
            <w:r>
              <w:rPr>
                <w:rFonts w:ascii="Times New Roman" w:hAnsi="Times New Roman" w:cs="Times New Roman"/>
                <w:sz w:val="20"/>
                <w:szCs w:val="20"/>
              </w:rPr>
              <w:t>M</w:t>
            </w:r>
            <w:r w:rsidRPr="00565421">
              <w:rPr>
                <w:rFonts w:ascii="Times New Roman" w:hAnsi="Times New Roman" w:cs="Times New Roman"/>
                <w:sz w:val="20"/>
                <w:szCs w:val="20"/>
              </w:rPr>
              <w:t>ean and standard deviation (SD) of age and baseline body mass index (BMI)</w:t>
            </w:r>
            <w:r>
              <w:rPr>
                <w:rFonts w:ascii="Times New Roman" w:hAnsi="Times New Roman" w:cs="Times New Roman"/>
                <w:sz w:val="20"/>
                <w:szCs w:val="20"/>
              </w:rPr>
              <w:t>,</w:t>
            </w:r>
            <w:r w:rsidRPr="00565421">
              <w:rPr>
                <w:rFonts w:ascii="Times New Roman" w:hAnsi="Times New Roman" w:cs="Times New Roman"/>
                <w:sz w:val="20"/>
                <w:szCs w:val="20"/>
              </w:rPr>
              <w:t xml:space="preserve"> ratio and number of participants sexes, total number of participants, presence of inclusionary comorbidities for both intervention and placebo/control groups</w:t>
            </w:r>
            <w:r>
              <w:rPr>
                <w:rFonts w:ascii="Times New Roman" w:hAnsi="Times New Roman" w:cs="Times New Roman"/>
                <w:sz w:val="20"/>
                <w:szCs w:val="20"/>
              </w:rPr>
              <w:t>.</w:t>
            </w:r>
          </w:p>
        </w:tc>
      </w:tr>
      <w:tr w:rsidR="00F67AF4" w14:paraId="25B371D5" w14:textId="77777777" w:rsidTr="0055373D">
        <w:tc>
          <w:tcPr>
            <w:tcW w:w="0" w:type="auto"/>
            <w:shd w:val="clear" w:color="auto" w:fill="D9D9D9" w:themeFill="background1" w:themeFillShade="D9"/>
          </w:tcPr>
          <w:p w14:paraId="390A846B" w14:textId="77777777" w:rsidR="00F67AF4" w:rsidRDefault="00F67AF4" w:rsidP="0055373D">
            <w:pPr>
              <w:jc w:val="both"/>
              <w:rPr>
                <w:rFonts w:ascii="Times New Roman" w:hAnsi="Times New Roman" w:cs="Times New Roman"/>
                <w:b/>
                <w:bCs/>
                <w:sz w:val="20"/>
                <w:szCs w:val="20"/>
              </w:rPr>
            </w:pPr>
            <w:r>
              <w:rPr>
                <w:rFonts w:ascii="Times New Roman" w:hAnsi="Times New Roman" w:cs="Times New Roman"/>
                <w:b/>
                <w:bCs/>
                <w:sz w:val="20"/>
                <w:szCs w:val="20"/>
              </w:rPr>
              <w:t xml:space="preserve">3. </w:t>
            </w:r>
          </w:p>
        </w:tc>
        <w:tc>
          <w:tcPr>
            <w:tcW w:w="0" w:type="auto"/>
            <w:shd w:val="clear" w:color="auto" w:fill="D9E2F3" w:themeFill="accent1" w:themeFillTint="33"/>
          </w:tcPr>
          <w:p w14:paraId="6386CFD1" w14:textId="77777777" w:rsidR="00F67AF4" w:rsidRDefault="00F67AF4" w:rsidP="0055373D">
            <w:pPr>
              <w:jc w:val="both"/>
              <w:rPr>
                <w:rFonts w:ascii="Times New Roman" w:hAnsi="Times New Roman" w:cs="Times New Roman"/>
                <w:sz w:val="20"/>
                <w:szCs w:val="20"/>
              </w:rPr>
            </w:pPr>
            <w:r>
              <w:rPr>
                <w:rFonts w:ascii="Times New Roman" w:hAnsi="Times New Roman" w:cs="Times New Roman"/>
                <w:b/>
                <w:bCs/>
                <w:sz w:val="20"/>
                <w:szCs w:val="20"/>
              </w:rPr>
              <w:t>I</w:t>
            </w:r>
            <w:r w:rsidRPr="00565421">
              <w:rPr>
                <w:rFonts w:ascii="Times New Roman" w:hAnsi="Times New Roman" w:cs="Times New Roman"/>
                <w:b/>
                <w:bCs/>
                <w:sz w:val="20"/>
                <w:szCs w:val="20"/>
              </w:rPr>
              <w:t>ntervention characteristics</w:t>
            </w:r>
          </w:p>
        </w:tc>
        <w:tc>
          <w:tcPr>
            <w:tcW w:w="0" w:type="auto"/>
          </w:tcPr>
          <w:p w14:paraId="45DF61B0" w14:textId="77777777" w:rsidR="00F67AF4" w:rsidRDefault="00F67AF4" w:rsidP="0055373D">
            <w:pPr>
              <w:jc w:val="both"/>
              <w:rPr>
                <w:rFonts w:ascii="Times New Roman" w:hAnsi="Times New Roman" w:cs="Times New Roman"/>
                <w:sz w:val="20"/>
                <w:szCs w:val="20"/>
              </w:rPr>
            </w:pPr>
            <w:r>
              <w:rPr>
                <w:rFonts w:ascii="Times New Roman" w:hAnsi="Times New Roman" w:cs="Times New Roman"/>
                <w:sz w:val="20"/>
                <w:szCs w:val="20"/>
              </w:rPr>
              <w:t>T</w:t>
            </w:r>
            <w:r w:rsidRPr="00565421">
              <w:rPr>
                <w:rFonts w:ascii="Times New Roman" w:hAnsi="Times New Roman" w:cs="Times New Roman"/>
                <w:sz w:val="20"/>
                <w:szCs w:val="20"/>
              </w:rPr>
              <w:t>ype, composition and daily dosage of nutraceutical and control/placebo substance.</w:t>
            </w:r>
          </w:p>
        </w:tc>
      </w:tr>
    </w:tbl>
    <w:p w14:paraId="66FB405B" w14:textId="77777777" w:rsidR="00760394" w:rsidRPr="00565421" w:rsidRDefault="00760394" w:rsidP="00760394">
      <w:pPr>
        <w:spacing w:after="0" w:line="240" w:lineRule="auto"/>
        <w:jc w:val="both"/>
        <w:rPr>
          <w:rFonts w:ascii="Times New Roman" w:hAnsi="Times New Roman" w:cs="Times New Roman"/>
          <w:sz w:val="20"/>
          <w:szCs w:val="20"/>
        </w:rPr>
      </w:pPr>
      <w:r w:rsidRPr="00565421">
        <w:rPr>
          <w:rFonts w:ascii="Times New Roman" w:hAnsi="Times New Roman" w:cs="Times New Roman"/>
          <w:sz w:val="20"/>
          <w:szCs w:val="20"/>
        </w:rPr>
        <w:t xml:space="preserve"> </w:t>
      </w:r>
    </w:p>
    <w:p w14:paraId="4FE0D001" w14:textId="77777777" w:rsidR="00760394" w:rsidRDefault="00760394" w:rsidP="00760394">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14:paraId="5D2DD0E7" w14:textId="501AC721" w:rsidR="001C6967" w:rsidRPr="00B07EBE" w:rsidRDefault="001C6967" w:rsidP="001C6967">
      <w:pPr>
        <w:pStyle w:val="Heading1"/>
      </w:pPr>
      <w:bookmarkStart w:id="10" w:name="_Toc111284776"/>
      <w:bookmarkStart w:id="11" w:name="_Toc116234669"/>
      <w:r w:rsidRPr="00B07EBE">
        <w:lastRenderedPageBreak/>
        <w:t xml:space="preserve">Supplementary </w:t>
      </w:r>
      <w:r>
        <w:t>Table S</w:t>
      </w:r>
      <w:r w:rsidR="00765394">
        <w:t>T6</w:t>
      </w:r>
      <w:r>
        <w:t xml:space="preserve">. </w:t>
      </w:r>
      <w:r w:rsidRPr="00D74280">
        <w:rPr>
          <w:b w:val="0"/>
          <w:bCs w:val="0"/>
        </w:rPr>
        <w:t>Meta-Regression Analyses</w:t>
      </w:r>
      <w:bookmarkEnd w:id="10"/>
      <w:r w:rsidRPr="00FA2CF3">
        <w:t xml:space="preserve"> </w:t>
      </w:r>
      <w:r w:rsidRPr="00B957FC">
        <w:rPr>
          <w:b w:val="0"/>
          <w:bCs w:val="0"/>
        </w:rPr>
        <w:t>of Continuous Variables</w:t>
      </w:r>
      <w:r>
        <w:rPr>
          <w:b w:val="0"/>
          <w:bCs w:val="0"/>
        </w:rPr>
        <w:t>.</w:t>
      </w:r>
      <w:bookmarkEnd w:id="11"/>
    </w:p>
    <w:tbl>
      <w:tblPr>
        <w:tblStyle w:val="PlainTable2"/>
        <w:tblW w:w="13405" w:type="dxa"/>
        <w:tblLayout w:type="fixed"/>
        <w:tblLook w:val="04A0" w:firstRow="1" w:lastRow="0" w:firstColumn="1" w:lastColumn="0" w:noHBand="0" w:noVBand="1"/>
      </w:tblPr>
      <w:tblGrid>
        <w:gridCol w:w="1260"/>
        <w:gridCol w:w="1166"/>
        <w:gridCol w:w="993"/>
        <w:gridCol w:w="811"/>
        <w:gridCol w:w="2341"/>
        <w:gridCol w:w="2429"/>
        <w:gridCol w:w="1347"/>
        <w:gridCol w:w="1353"/>
        <w:gridCol w:w="82"/>
        <w:gridCol w:w="728"/>
        <w:gridCol w:w="895"/>
      </w:tblGrid>
      <w:tr w:rsidR="00592613" w:rsidRPr="0091755D" w14:paraId="5A42D758" w14:textId="77777777" w:rsidTr="00537A1B">
        <w:trPr>
          <w:cnfStyle w:val="100000000000" w:firstRow="1" w:lastRow="0" w:firstColumn="0" w:lastColumn="0" w:oddVBand="0" w:evenVBand="0" w:oddHBand="0"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D9D9D9" w:themeFill="background1" w:themeFillShade="D9"/>
          </w:tcPr>
          <w:p w14:paraId="34A2B7BE" w14:textId="6F530253" w:rsidR="00592613" w:rsidRPr="0091755D" w:rsidRDefault="00592613" w:rsidP="00B97DB5">
            <w:pPr>
              <w:rPr>
                <w:rFonts w:ascii="Times New Roman" w:eastAsia="Times New Roman" w:hAnsi="Times New Roman" w:cs="Times New Roman"/>
                <w:bCs w:val="0"/>
                <w:sz w:val="20"/>
                <w:szCs w:val="20"/>
              </w:rPr>
            </w:pPr>
            <w:r w:rsidRPr="0091755D">
              <w:rPr>
                <w:rFonts w:ascii="Times New Roman" w:eastAsia="Times New Roman" w:hAnsi="Times New Roman" w:cs="Times New Roman"/>
                <w:bCs w:val="0"/>
                <w:sz w:val="20"/>
                <w:szCs w:val="20"/>
              </w:rPr>
              <w:t xml:space="preserve">Biomarker </w:t>
            </w:r>
          </w:p>
          <w:p w14:paraId="616FBC67" w14:textId="77777777" w:rsidR="00592613" w:rsidRPr="0091755D" w:rsidRDefault="00592613" w:rsidP="00B97DB5">
            <w:pPr>
              <w:rPr>
                <w:rFonts w:ascii="Times New Roman" w:eastAsia="Times New Roman" w:hAnsi="Times New Roman" w:cs="Times New Roman"/>
                <w:bCs w:val="0"/>
                <w:sz w:val="20"/>
                <w:szCs w:val="20"/>
              </w:rPr>
            </w:pPr>
          </w:p>
        </w:tc>
        <w:tc>
          <w:tcPr>
            <w:tcW w:w="1166" w:type="dxa"/>
            <w:vMerge w:val="restart"/>
            <w:shd w:val="clear" w:color="auto" w:fill="D9D9D9" w:themeFill="background1" w:themeFillShade="D9"/>
          </w:tcPr>
          <w:p w14:paraId="169BA718" w14:textId="77777777" w:rsidR="00592613" w:rsidRDefault="00592613" w:rsidP="00B97DB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rPr>
            </w:pPr>
            <w:r>
              <w:rPr>
                <w:rFonts w:ascii="Times New Roman" w:eastAsia="Times New Roman" w:hAnsi="Times New Roman" w:cs="Times New Roman"/>
                <w:bCs w:val="0"/>
                <w:sz w:val="20"/>
                <w:szCs w:val="20"/>
              </w:rPr>
              <w:t>Covariate</w:t>
            </w:r>
          </w:p>
        </w:tc>
        <w:tc>
          <w:tcPr>
            <w:tcW w:w="993" w:type="dxa"/>
            <w:vMerge w:val="restart"/>
            <w:shd w:val="clear" w:color="auto" w:fill="D9D9D9" w:themeFill="background1" w:themeFillShade="D9"/>
          </w:tcPr>
          <w:p w14:paraId="6C65F7DE" w14:textId="77777777" w:rsidR="00592613" w:rsidRPr="0091755D" w:rsidRDefault="00592613" w:rsidP="00B97DB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rPr>
            </w:pPr>
            <w:r>
              <w:rPr>
                <w:rFonts w:ascii="Times New Roman" w:eastAsia="Times New Roman" w:hAnsi="Times New Roman" w:cs="Times New Roman"/>
                <w:bCs w:val="0"/>
                <w:sz w:val="20"/>
                <w:szCs w:val="20"/>
              </w:rPr>
              <w:t>Number of Trials</w:t>
            </w:r>
          </w:p>
        </w:tc>
        <w:tc>
          <w:tcPr>
            <w:tcW w:w="811" w:type="dxa"/>
            <w:vMerge w:val="restart"/>
            <w:shd w:val="clear" w:color="auto" w:fill="D9D9D9" w:themeFill="background1" w:themeFillShade="D9"/>
          </w:tcPr>
          <w:p w14:paraId="1EE2E9AD" w14:textId="77777777" w:rsidR="00592613" w:rsidRPr="0091755D" w:rsidRDefault="00592613" w:rsidP="00B97DB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rPr>
            </w:pPr>
            <w:r>
              <w:rPr>
                <w:rFonts w:ascii="Times New Roman" w:eastAsia="Times New Roman" w:hAnsi="Times New Roman" w:cs="Times New Roman"/>
                <w:bCs w:val="0"/>
                <w:sz w:val="20"/>
                <w:szCs w:val="20"/>
              </w:rPr>
              <w:t>Participants</w:t>
            </w:r>
          </w:p>
        </w:tc>
        <w:tc>
          <w:tcPr>
            <w:tcW w:w="2341" w:type="dxa"/>
            <w:vMerge w:val="restart"/>
            <w:shd w:val="clear" w:color="auto" w:fill="D9D9D9" w:themeFill="background1" w:themeFillShade="D9"/>
          </w:tcPr>
          <w:p w14:paraId="022B463A" w14:textId="77777777" w:rsidR="00592613" w:rsidRDefault="00592613" w:rsidP="00B97DB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rPr>
            </w:pPr>
            <w:r>
              <w:rPr>
                <w:rFonts w:ascii="Times New Roman" w:eastAsia="Times New Roman" w:hAnsi="Times New Roman" w:cs="Times New Roman"/>
                <w:bCs w:val="0"/>
                <w:sz w:val="20"/>
                <w:szCs w:val="20"/>
              </w:rPr>
              <w:t xml:space="preserve">Intercept Estimate </w:t>
            </w:r>
            <w:r w:rsidRPr="0091755D">
              <w:rPr>
                <w:rFonts w:ascii="Times New Roman" w:eastAsia="Times New Roman" w:hAnsi="Times New Roman" w:cs="Times New Roman"/>
                <w:bCs w:val="0"/>
                <w:sz w:val="20"/>
                <w:szCs w:val="20"/>
              </w:rPr>
              <w:t>(95% CI)</w:t>
            </w:r>
          </w:p>
        </w:tc>
        <w:tc>
          <w:tcPr>
            <w:tcW w:w="2429" w:type="dxa"/>
            <w:vMerge w:val="restart"/>
            <w:shd w:val="clear" w:color="auto" w:fill="D9D9D9" w:themeFill="background1" w:themeFillShade="D9"/>
            <w:noWrap/>
            <w:hideMark/>
          </w:tcPr>
          <w:p w14:paraId="5131D146" w14:textId="77777777" w:rsidR="00592613" w:rsidRPr="0091755D" w:rsidRDefault="00592613" w:rsidP="00B97DB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rPr>
            </w:pPr>
            <w:r>
              <w:rPr>
                <w:rFonts w:ascii="Times New Roman" w:eastAsia="Times New Roman" w:hAnsi="Times New Roman" w:cs="Times New Roman"/>
                <w:bCs w:val="0"/>
                <w:sz w:val="20"/>
                <w:szCs w:val="20"/>
              </w:rPr>
              <w:t xml:space="preserve">β </w:t>
            </w:r>
            <w:r>
              <w:rPr>
                <w:rFonts w:ascii="Times New Roman" w:eastAsia="Times New Roman" w:hAnsi="Times New Roman" w:cs="Times New Roman"/>
                <w:bCs w:val="0"/>
                <w:sz w:val="20"/>
                <w:szCs w:val="20"/>
                <w:vertAlign w:val="subscript"/>
              </w:rPr>
              <w:t>effect</w:t>
            </w:r>
            <w:r>
              <w:rPr>
                <w:rFonts w:ascii="Times New Roman" w:eastAsia="Times New Roman" w:hAnsi="Times New Roman" w:cs="Times New Roman"/>
                <w:bCs w:val="0"/>
                <w:sz w:val="20"/>
                <w:szCs w:val="20"/>
              </w:rPr>
              <w:t xml:space="preserve"> </w:t>
            </w:r>
            <w:r w:rsidRPr="0091755D">
              <w:rPr>
                <w:rFonts w:ascii="Times New Roman" w:eastAsia="Times New Roman" w:hAnsi="Times New Roman" w:cs="Times New Roman"/>
                <w:bCs w:val="0"/>
                <w:sz w:val="20"/>
                <w:szCs w:val="20"/>
              </w:rPr>
              <w:t>(95% CI)</w:t>
            </w:r>
            <w:r>
              <w:rPr>
                <w:rFonts w:ascii="Times New Roman" w:eastAsia="Times New Roman" w:hAnsi="Times New Roman" w:cs="Times New Roman"/>
                <w:bCs w:val="0"/>
                <w:sz w:val="20"/>
                <w:szCs w:val="20"/>
              </w:rPr>
              <w:t xml:space="preserve"> </w:t>
            </w:r>
          </w:p>
        </w:tc>
        <w:tc>
          <w:tcPr>
            <w:tcW w:w="1347" w:type="dxa"/>
            <w:vMerge w:val="restart"/>
            <w:shd w:val="clear" w:color="auto" w:fill="D9D9D9" w:themeFill="background1" w:themeFillShade="D9"/>
          </w:tcPr>
          <w:p w14:paraId="7F3638BB" w14:textId="4F0E5DE9" w:rsidR="00592613" w:rsidRPr="0091755D" w:rsidRDefault="00592613" w:rsidP="00B97DB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rPr>
            </w:pPr>
            <w:r w:rsidRPr="0091755D">
              <w:rPr>
                <w:rFonts w:ascii="Times New Roman" w:eastAsia="Times New Roman" w:hAnsi="Times New Roman" w:cs="Times New Roman"/>
                <w:bCs w:val="0"/>
                <w:sz w:val="20"/>
                <w:szCs w:val="20"/>
              </w:rPr>
              <w:t>p-value</w:t>
            </w:r>
            <w:r>
              <w:rPr>
                <w:rFonts w:ascii="Times New Roman" w:eastAsia="Times New Roman" w:hAnsi="Times New Roman" w:cs="Times New Roman"/>
                <w:bCs w:val="0"/>
                <w:sz w:val="20"/>
                <w:szCs w:val="20"/>
              </w:rPr>
              <w:t xml:space="preserve"> for</w:t>
            </w:r>
            <w:r w:rsidRPr="00EB3B20">
              <w:rPr>
                <w:rFonts w:ascii="Times New Roman" w:eastAsia="Times New Roman" w:hAnsi="Times New Roman" w:cs="Times New Roman"/>
                <w:bCs w:val="0"/>
                <w:sz w:val="20"/>
                <w:szCs w:val="20"/>
              </w:rPr>
              <w:t xml:space="preserve"> β</w:t>
            </w:r>
            <w:r>
              <w:rPr>
                <w:rFonts w:ascii="Times New Roman" w:eastAsia="Times New Roman" w:hAnsi="Times New Roman" w:cs="Times New Roman"/>
                <w:bCs w:val="0"/>
                <w:sz w:val="20"/>
                <w:szCs w:val="20"/>
                <w:vertAlign w:val="subscript"/>
              </w:rPr>
              <w:t xml:space="preserve"> effect</w:t>
            </w:r>
          </w:p>
          <w:p w14:paraId="5E2B47A8" w14:textId="77777777" w:rsidR="00592613" w:rsidRPr="0091755D" w:rsidRDefault="00592613" w:rsidP="00B97DB5">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rPr>
            </w:pPr>
          </w:p>
        </w:tc>
        <w:tc>
          <w:tcPr>
            <w:tcW w:w="3058" w:type="dxa"/>
            <w:gridSpan w:val="4"/>
            <w:shd w:val="clear" w:color="auto" w:fill="D9D9D9" w:themeFill="background1" w:themeFillShade="D9"/>
          </w:tcPr>
          <w:p w14:paraId="7AFD1606" w14:textId="0920261E" w:rsidR="00592613" w:rsidRPr="00F05124" w:rsidRDefault="00592613" w:rsidP="009E5E48">
            <w:pP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Cs w:val="0"/>
                <w:sz w:val="20"/>
                <w:szCs w:val="20"/>
              </w:rPr>
            </w:pPr>
            <w:r w:rsidRPr="00F05124">
              <w:rPr>
                <w:rFonts w:ascii="Times New Roman" w:eastAsia="Times New Roman" w:hAnsi="Times New Roman" w:cs="Times New Roman"/>
                <w:bCs w:val="0"/>
                <w:sz w:val="20"/>
                <w:szCs w:val="20"/>
              </w:rPr>
              <w:t>Heterogeneity measures</w:t>
            </w:r>
          </w:p>
        </w:tc>
      </w:tr>
      <w:tr w:rsidR="00592613" w:rsidRPr="0091755D" w14:paraId="14965CC3" w14:textId="77777777" w:rsidTr="00537A1B">
        <w:trPr>
          <w:cnfStyle w:val="000000100000" w:firstRow="0" w:lastRow="0" w:firstColumn="0" w:lastColumn="0" w:oddVBand="0" w:evenVBand="0" w:oddHBand="1" w:evenHBand="0" w:firstRowFirstColumn="0" w:firstRowLastColumn="0" w:lastRowFirstColumn="0" w:lastRowLastColumn="0"/>
          <w:trHeight w:val="32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40D2D1F9" w14:textId="77777777" w:rsidR="00592613" w:rsidRPr="0091755D" w:rsidRDefault="00592613" w:rsidP="00B97DB5">
            <w:pPr>
              <w:rPr>
                <w:rFonts w:ascii="Times New Roman" w:eastAsia="Times New Roman" w:hAnsi="Times New Roman" w:cs="Times New Roman"/>
                <w:sz w:val="20"/>
                <w:szCs w:val="20"/>
              </w:rPr>
            </w:pPr>
          </w:p>
        </w:tc>
        <w:tc>
          <w:tcPr>
            <w:tcW w:w="1166" w:type="dxa"/>
            <w:vMerge/>
            <w:shd w:val="clear" w:color="auto" w:fill="D9D9D9" w:themeFill="background1" w:themeFillShade="D9"/>
          </w:tcPr>
          <w:p w14:paraId="72CE16FE" w14:textId="77777777" w:rsidR="00592613" w:rsidRDefault="00592613"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993" w:type="dxa"/>
            <w:vMerge/>
            <w:shd w:val="clear" w:color="auto" w:fill="D9D9D9" w:themeFill="background1" w:themeFillShade="D9"/>
          </w:tcPr>
          <w:p w14:paraId="675510CC" w14:textId="77777777" w:rsidR="00592613" w:rsidRDefault="00592613"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811" w:type="dxa"/>
            <w:vMerge/>
            <w:shd w:val="clear" w:color="auto" w:fill="D9D9D9" w:themeFill="background1" w:themeFillShade="D9"/>
          </w:tcPr>
          <w:p w14:paraId="45724C22" w14:textId="77777777" w:rsidR="00592613" w:rsidRDefault="00592613"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2341" w:type="dxa"/>
            <w:vMerge/>
            <w:shd w:val="clear" w:color="auto" w:fill="D9D9D9" w:themeFill="background1" w:themeFillShade="D9"/>
          </w:tcPr>
          <w:p w14:paraId="4CDF8F04" w14:textId="77777777" w:rsidR="00592613" w:rsidRDefault="00592613"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2429" w:type="dxa"/>
            <w:vMerge/>
            <w:shd w:val="clear" w:color="auto" w:fill="D9D9D9" w:themeFill="background1" w:themeFillShade="D9"/>
            <w:noWrap/>
          </w:tcPr>
          <w:p w14:paraId="377E5E0D" w14:textId="77777777" w:rsidR="00592613" w:rsidRDefault="00592613"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1347" w:type="dxa"/>
            <w:vMerge/>
            <w:shd w:val="clear" w:color="auto" w:fill="D9D9D9" w:themeFill="background1" w:themeFillShade="D9"/>
          </w:tcPr>
          <w:p w14:paraId="05EAEB26" w14:textId="77777777" w:rsidR="00592613" w:rsidRPr="0091755D" w:rsidRDefault="00592613"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p>
        </w:tc>
        <w:tc>
          <w:tcPr>
            <w:tcW w:w="1435" w:type="dxa"/>
            <w:gridSpan w:val="2"/>
            <w:shd w:val="clear" w:color="auto" w:fill="D9D9D9" w:themeFill="background1" w:themeFillShade="D9"/>
          </w:tcPr>
          <w:p w14:paraId="09A75199" w14:textId="77777777" w:rsidR="00592613" w:rsidRPr="00F05124" w:rsidRDefault="00592613" w:rsidP="009E5E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0"/>
              </w:rPr>
            </w:pPr>
            <w:r w:rsidRPr="00F05124">
              <w:rPr>
                <w:rFonts w:ascii="Times New Roman" w:eastAsia="Times New Roman" w:hAnsi="Times New Roman" w:cs="Times New Roman"/>
                <w:b/>
                <w:sz w:val="20"/>
                <w:szCs w:val="20"/>
              </w:rPr>
              <w:t>Accounted</w:t>
            </w:r>
          </w:p>
        </w:tc>
        <w:tc>
          <w:tcPr>
            <w:tcW w:w="1623" w:type="dxa"/>
            <w:gridSpan w:val="2"/>
            <w:shd w:val="clear" w:color="auto" w:fill="D9D9D9" w:themeFill="background1" w:themeFillShade="D9"/>
          </w:tcPr>
          <w:p w14:paraId="204BBCCA" w14:textId="5C4D6475" w:rsidR="00592613" w:rsidRPr="00F05124" w:rsidRDefault="00592613" w:rsidP="009E5E48">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0"/>
                <w:szCs w:val="20"/>
              </w:rPr>
            </w:pPr>
            <w:r w:rsidRPr="00F05124">
              <w:rPr>
                <w:rFonts w:ascii="Times New Roman" w:eastAsia="Times New Roman" w:hAnsi="Times New Roman" w:cs="Times New Roman"/>
                <w:b/>
                <w:sz w:val="20"/>
                <w:szCs w:val="20"/>
              </w:rPr>
              <w:t>Residual</w:t>
            </w:r>
          </w:p>
        </w:tc>
      </w:tr>
      <w:tr w:rsidR="00592613" w:rsidRPr="003D6456" w14:paraId="0642139D" w14:textId="77777777" w:rsidTr="00396D06">
        <w:trPr>
          <w:trHeight w:val="133"/>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514C2BDA" w14:textId="77777777" w:rsidR="00592613" w:rsidRPr="003D6456" w:rsidRDefault="00592613" w:rsidP="00B97DB5">
            <w:pPr>
              <w:rPr>
                <w:rFonts w:ascii="Times New Roman" w:eastAsia="Times New Roman" w:hAnsi="Times New Roman" w:cs="Times New Roman"/>
                <w:b w:val="0"/>
                <w:sz w:val="20"/>
                <w:szCs w:val="20"/>
              </w:rPr>
            </w:pPr>
          </w:p>
        </w:tc>
        <w:tc>
          <w:tcPr>
            <w:tcW w:w="1166" w:type="dxa"/>
            <w:vMerge/>
            <w:shd w:val="clear" w:color="auto" w:fill="D9D9D9" w:themeFill="background1" w:themeFillShade="D9"/>
          </w:tcPr>
          <w:p w14:paraId="723B1EB6" w14:textId="77777777" w:rsidR="00592613" w:rsidRPr="003D6456" w:rsidRDefault="00592613"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rPr>
            </w:pPr>
          </w:p>
        </w:tc>
        <w:tc>
          <w:tcPr>
            <w:tcW w:w="993" w:type="dxa"/>
            <w:vMerge/>
            <w:shd w:val="clear" w:color="auto" w:fill="D9D9D9" w:themeFill="background1" w:themeFillShade="D9"/>
          </w:tcPr>
          <w:p w14:paraId="6116281F" w14:textId="77777777" w:rsidR="00592613" w:rsidRPr="003D6456" w:rsidRDefault="00592613"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rPr>
            </w:pPr>
          </w:p>
        </w:tc>
        <w:tc>
          <w:tcPr>
            <w:tcW w:w="811" w:type="dxa"/>
            <w:vMerge/>
            <w:shd w:val="clear" w:color="auto" w:fill="D9D9D9" w:themeFill="background1" w:themeFillShade="D9"/>
          </w:tcPr>
          <w:p w14:paraId="2A0E1EC8" w14:textId="77777777" w:rsidR="00592613" w:rsidRPr="003D6456" w:rsidRDefault="00592613"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rPr>
            </w:pPr>
          </w:p>
        </w:tc>
        <w:tc>
          <w:tcPr>
            <w:tcW w:w="2341" w:type="dxa"/>
            <w:vMerge/>
            <w:shd w:val="clear" w:color="auto" w:fill="D9D9D9" w:themeFill="background1" w:themeFillShade="D9"/>
          </w:tcPr>
          <w:p w14:paraId="7ABF993F" w14:textId="77777777" w:rsidR="00592613" w:rsidRPr="003D6456" w:rsidRDefault="00592613"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rPr>
            </w:pPr>
          </w:p>
        </w:tc>
        <w:tc>
          <w:tcPr>
            <w:tcW w:w="2429" w:type="dxa"/>
            <w:vMerge/>
            <w:shd w:val="clear" w:color="auto" w:fill="D9D9D9" w:themeFill="background1" w:themeFillShade="D9"/>
            <w:noWrap/>
            <w:hideMark/>
          </w:tcPr>
          <w:p w14:paraId="236707BD" w14:textId="77777777" w:rsidR="00592613" w:rsidRPr="003D6456" w:rsidRDefault="00592613"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20"/>
                <w:szCs w:val="20"/>
              </w:rPr>
            </w:pPr>
          </w:p>
        </w:tc>
        <w:tc>
          <w:tcPr>
            <w:tcW w:w="1347" w:type="dxa"/>
            <w:vMerge/>
            <w:shd w:val="clear" w:color="auto" w:fill="D9D9D9" w:themeFill="background1" w:themeFillShade="D9"/>
          </w:tcPr>
          <w:p w14:paraId="42A0AF42" w14:textId="77777777" w:rsidR="00592613" w:rsidRPr="004F42DC" w:rsidRDefault="00592613" w:rsidP="00B97DB5">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bCs/>
                <w:color w:val="131413"/>
                <w:sz w:val="20"/>
                <w:szCs w:val="20"/>
              </w:rPr>
            </w:pPr>
          </w:p>
        </w:tc>
        <w:tc>
          <w:tcPr>
            <w:tcW w:w="1353" w:type="dxa"/>
            <w:shd w:val="clear" w:color="auto" w:fill="D9D9D9" w:themeFill="background1" w:themeFillShade="D9"/>
          </w:tcPr>
          <w:p w14:paraId="29704966" w14:textId="2FCE3990" w:rsidR="00592613" w:rsidRPr="003D6456" w:rsidRDefault="00592613" w:rsidP="009E5E48">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3D6456">
              <w:rPr>
                <w:rFonts w:ascii="Times New Roman" w:eastAsia="Times New Roman" w:hAnsi="Times New Roman" w:cs="Times New Roman"/>
                <w:b/>
                <w:bCs/>
                <w:sz w:val="20"/>
                <w:szCs w:val="20"/>
              </w:rPr>
              <w:t>I² (%)</w:t>
            </w:r>
          </w:p>
        </w:tc>
        <w:tc>
          <w:tcPr>
            <w:tcW w:w="810" w:type="dxa"/>
            <w:gridSpan w:val="2"/>
            <w:shd w:val="clear" w:color="auto" w:fill="D9D9D9" w:themeFill="background1" w:themeFillShade="D9"/>
          </w:tcPr>
          <w:p w14:paraId="53BCA066" w14:textId="77777777" w:rsidR="00592613" w:rsidRPr="00F05124" w:rsidRDefault="00592613" w:rsidP="009E5E48">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131413"/>
                <w:sz w:val="20"/>
                <w:szCs w:val="20"/>
              </w:rPr>
            </w:pPr>
            <w:r w:rsidRPr="00F05124">
              <w:rPr>
                <w:rFonts w:ascii="Times New Roman" w:eastAsia="Times New Roman" w:hAnsi="Times New Roman" w:cs="Times New Roman"/>
                <w:b/>
                <w:sz w:val="20"/>
                <w:szCs w:val="20"/>
              </w:rPr>
              <w:t>I² (%)</w:t>
            </w:r>
          </w:p>
        </w:tc>
        <w:tc>
          <w:tcPr>
            <w:tcW w:w="895" w:type="dxa"/>
            <w:shd w:val="clear" w:color="auto" w:fill="D9D9D9" w:themeFill="background1" w:themeFillShade="D9"/>
          </w:tcPr>
          <w:p w14:paraId="06625ACD" w14:textId="77777777" w:rsidR="00592613" w:rsidRPr="00F05124" w:rsidRDefault="00592613" w:rsidP="009E5E48">
            <w:pP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b/>
                <w:color w:val="131413"/>
                <w:sz w:val="20"/>
                <w:szCs w:val="20"/>
              </w:rPr>
            </w:pPr>
            <w:r w:rsidRPr="00F05124">
              <w:rPr>
                <w:rFonts w:asciiTheme="majorBidi" w:hAnsiTheme="majorBidi" w:cstheme="majorBidi"/>
                <w:b/>
                <w:color w:val="131413"/>
                <w:sz w:val="20"/>
                <w:szCs w:val="20"/>
              </w:rPr>
              <w:t>p-value</w:t>
            </w:r>
          </w:p>
        </w:tc>
      </w:tr>
      <w:tr w:rsidR="00A90839" w14:paraId="42E8AAB0"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D9D9D9" w:themeFill="background1" w:themeFillShade="D9"/>
          </w:tcPr>
          <w:p w14:paraId="2FF716CC" w14:textId="330DB34D" w:rsidR="00A90839" w:rsidRPr="003D6456" w:rsidRDefault="00A90839" w:rsidP="00B97DB5">
            <w:pPr>
              <w:rPr>
                <w:rFonts w:ascii="Times New Roman" w:eastAsia="Times New Roman" w:hAnsi="Times New Roman" w:cs="Times New Roman"/>
                <w:b w:val="0"/>
                <w:bCs w:val="0"/>
                <w:sz w:val="20"/>
                <w:szCs w:val="20"/>
              </w:rPr>
            </w:pPr>
            <w:r w:rsidRPr="00DC4128">
              <w:rPr>
                <w:rFonts w:ascii="Times New Roman" w:eastAsia="Times New Roman" w:hAnsi="Times New Roman" w:cs="Times New Roman"/>
                <w:sz w:val="20"/>
                <w:szCs w:val="20"/>
              </w:rPr>
              <w:t>FBG (mg/dl)</w:t>
            </w:r>
          </w:p>
        </w:tc>
        <w:tc>
          <w:tcPr>
            <w:tcW w:w="1166" w:type="dxa"/>
            <w:shd w:val="clear" w:color="auto" w:fill="FFFFFF" w:themeFill="background1"/>
          </w:tcPr>
          <w:p w14:paraId="353262C2"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Age</w:t>
            </w:r>
          </w:p>
        </w:tc>
        <w:tc>
          <w:tcPr>
            <w:tcW w:w="993" w:type="dxa"/>
          </w:tcPr>
          <w:p w14:paraId="69036D5D" w14:textId="2013972D"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811" w:type="dxa"/>
          </w:tcPr>
          <w:p w14:paraId="43876E2A" w14:textId="2A9B54D8" w:rsidR="00A90839" w:rsidRPr="00787411"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3,735</w:t>
            </w:r>
          </w:p>
        </w:tc>
        <w:tc>
          <w:tcPr>
            <w:tcW w:w="2341" w:type="dxa"/>
          </w:tcPr>
          <w:p w14:paraId="3D9A11E2" w14:textId="5C73C959" w:rsidR="00A90839" w:rsidRPr="00BE3DB3"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2849CC">
              <w:rPr>
                <w:rFonts w:ascii="Times New Roman" w:eastAsia="Times New Roman" w:hAnsi="Times New Roman" w:cs="Times New Roman"/>
                <w:sz w:val="20"/>
                <w:szCs w:val="20"/>
              </w:rPr>
              <w:t>-48.9</w:t>
            </w:r>
            <w:r>
              <w:rPr>
                <w:rFonts w:ascii="Times New Roman" w:eastAsia="Times New Roman" w:hAnsi="Times New Roman" w:cs="Times New Roman"/>
                <w:sz w:val="20"/>
                <w:szCs w:val="20"/>
              </w:rPr>
              <w:t>2 (</w:t>
            </w:r>
            <w:r w:rsidRPr="002849CC">
              <w:rPr>
                <w:rFonts w:ascii="Times New Roman" w:eastAsia="Times New Roman" w:hAnsi="Times New Roman" w:cs="Times New Roman"/>
                <w:sz w:val="20"/>
                <w:szCs w:val="20"/>
              </w:rPr>
              <w:t>-79.46</w:t>
            </w:r>
            <w:r>
              <w:rPr>
                <w:rFonts w:ascii="Times New Roman" w:eastAsia="Times New Roman" w:hAnsi="Times New Roman" w:cs="Times New Roman"/>
                <w:sz w:val="20"/>
                <w:szCs w:val="20"/>
              </w:rPr>
              <w:t xml:space="preserve">; </w:t>
            </w:r>
            <w:r w:rsidRPr="00C60C77">
              <w:rPr>
                <w:rFonts w:ascii="Times New Roman" w:eastAsia="Times New Roman" w:hAnsi="Times New Roman" w:cs="Times New Roman"/>
                <w:sz w:val="20"/>
                <w:szCs w:val="20"/>
              </w:rPr>
              <w:t>-18.3</w:t>
            </w:r>
            <w:r>
              <w:rPr>
                <w:rFonts w:ascii="Times New Roman" w:eastAsia="Times New Roman" w:hAnsi="Times New Roman" w:cs="Times New Roman"/>
                <w:sz w:val="20"/>
                <w:szCs w:val="20"/>
              </w:rPr>
              <w:t>7)</w:t>
            </w:r>
          </w:p>
        </w:tc>
        <w:tc>
          <w:tcPr>
            <w:tcW w:w="2429" w:type="dxa"/>
          </w:tcPr>
          <w:p w14:paraId="5AACCFA9" w14:textId="34E82790" w:rsidR="00A90839" w:rsidRPr="009D5524"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9D5524">
              <w:rPr>
                <w:rFonts w:ascii="Times New Roman" w:eastAsia="Times New Roman" w:hAnsi="Times New Roman" w:cs="Times New Roman"/>
                <w:b/>
                <w:bCs/>
                <w:sz w:val="20"/>
                <w:szCs w:val="20"/>
              </w:rPr>
              <w:t>0.66 (0.11; 1.20)</w:t>
            </w:r>
          </w:p>
        </w:tc>
        <w:tc>
          <w:tcPr>
            <w:tcW w:w="1347" w:type="dxa"/>
          </w:tcPr>
          <w:p w14:paraId="32A767F4" w14:textId="353CBB3D" w:rsidR="00A90839" w:rsidRPr="009D5524"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9D5524">
              <w:rPr>
                <w:rFonts w:ascii="Times New Roman" w:eastAsia="Times New Roman" w:hAnsi="Times New Roman" w:cs="Times New Roman"/>
                <w:b/>
                <w:bCs/>
                <w:sz w:val="20"/>
                <w:szCs w:val="20"/>
              </w:rPr>
              <w:t>0.0177</w:t>
            </w:r>
          </w:p>
        </w:tc>
        <w:tc>
          <w:tcPr>
            <w:tcW w:w="1353" w:type="dxa"/>
          </w:tcPr>
          <w:p w14:paraId="5B4BC226" w14:textId="7A2FEFBE" w:rsidR="00A90839" w:rsidRPr="00B9003F"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2849CC">
              <w:rPr>
                <w:rFonts w:ascii="Times New Roman" w:eastAsia="Times New Roman" w:hAnsi="Times New Roman" w:cs="Times New Roman"/>
                <w:sz w:val="20"/>
                <w:szCs w:val="20"/>
              </w:rPr>
              <w:t>11.67</w:t>
            </w:r>
          </w:p>
        </w:tc>
        <w:tc>
          <w:tcPr>
            <w:tcW w:w="810" w:type="dxa"/>
            <w:gridSpan w:val="2"/>
          </w:tcPr>
          <w:p w14:paraId="046402BA" w14:textId="3DCD39E2"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2849CC">
              <w:rPr>
                <w:rFonts w:ascii="Times New Roman" w:eastAsia="Times New Roman" w:hAnsi="Times New Roman" w:cs="Times New Roman"/>
                <w:sz w:val="20"/>
                <w:szCs w:val="20"/>
              </w:rPr>
              <w:t>93.46</w:t>
            </w:r>
          </w:p>
        </w:tc>
        <w:tc>
          <w:tcPr>
            <w:tcW w:w="895" w:type="dxa"/>
          </w:tcPr>
          <w:p w14:paraId="0BC941A9"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6C2FBE22"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72E907EA"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70E17E03" w14:textId="2284EBD0"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BMI</w:t>
            </w:r>
          </w:p>
        </w:tc>
        <w:tc>
          <w:tcPr>
            <w:tcW w:w="993" w:type="dxa"/>
          </w:tcPr>
          <w:p w14:paraId="15AC2969" w14:textId="3D92430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811" w:type="dxa"/>
          </w:tcPr>
          <w:p w14:paraId="08BD5F6A" w14:textId="6B49089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3,735</w:t>
            </w:r>
          </w:p>
        </w:tc>
        <w:tc>
          <w:tcPr>
            <w:tcW w:w="2341" w:type="dxa"/>
          </w:tcPr>
          <w:p w14:paraId="640216CF" w14:textId="7DAE612B" w:rsidR="00A90839" w:rsidRPr="00BE3DB3"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10856">
              <w:rPr>
                <w:rFonts w:ascii="Times New Roman" w:eastAsia="Times New Roman" w:hAnsi="Times New Roman" w:cs="Times New Roman"/>
                <w:sz w:val="20"/>
                <w:szCs w:val="20"/>
              </w:rPr>
              <w:t>-24.85</w:t>
            </w:r>
            <w:r>
              <w:rPr>
                <w:rFonts w:ascii="Times New Roman" w:eastAsia="Times New Roman" w:hAnsi="Times New Roman" w:cs="Times New Roman"/>
                <w:sz w:val="20"/>
                <w:szCs w:val="20"/>
              </w:rPr>
              <w:t xml:space="preserve"> (</w:t>
            </w:r>
            <w:r w:rsidRPr="00D10856">
              <w:rPr>
                <w:rFonts w:ascii="Times New Roman" w:eastAsia="Times New Roman" w:hAnsi="Times New Roman" w:cs="Times New Roman"/>
                <w:sz w:val="20"/>
                <w:szCs w:val="20"/>
              </w:rPr>
              <w:t>-69.23</w:t>
            </w:r>
            <w:r>
              <w:rPr>
                <w:rFonts w:ascii="Times New Roman" w:eastAsia="Times New Roman" w:hAnsi="Times New Roman" w:cs="Times New Roman"/>
                <w:sz w:val="20"/>
                <w:szCs w:val="20"/>
              </w:rPr>
              <w:t xml:space="preserve">; </w:t>
            </w:r>
            <w:r w:rsidRPr="00D10856">
              <w:rPr>
                <w:rFonts w:ascii="Times New Roman" w:eastAsia="Times New Roman" w:hAnsi="Times New Roman" w:cs="Times New Roman"/>
                <w:sz w:val="20"/>
                <w:szCs w:val="20"/>
              </w:rPr>
              <w:t>19.52</w:t>
            </w:r>
            <w:r>
              <w:rPr>
                <w:rFonts w:ascii="Times New Roman" w:eastAsia="Times New Roman" w:hAnsi="Times New Roman" w:cs="Times New Roman"/>
                <w:sz w:val="20"/>
                <w:szCs w:val="20"/>
              </w:rPr>
              <w:t>)</w:t>
            </w:r>
          </w:p>
        </w:tc>
        <w:tc>
          <w:tcPr>
            <w:tcW w:w="2429" w:type="dxa"/>
          </w:tcPr>
          <w:p w14:paraId="3F31F0F8" w14:textId="41284821" w:rsidR="00A90839" w:rsidRPr="00BE3DB3"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B6351">
              <w:rPr>
                <w:rFonts w:ascii="Times New Roman" w:eastAsia="Times New Roman" w:hAnsi="Times New Roman" w:cs="Times New Roman"/>
                <w:sz w:val="20"/>
                <w:szCs w:val="20"/>
              </w:rPr>
              <w:t>0.42</w:t>
            </w:r>
            <w:r>
              <w:rPr>
                <w:rFonts w:ascii="Times New Roman" w:eastAsia="Times New Roman" w:hAnsi="Times New Roman" w:cs="Times New Roman"/>
                <w:sz w:val="20"/>
                <w:szCs w:val="20"/>
              </w:rPr>
              <w:t xml:space="preserve"> (</w:t>
            </w:r>
            <w:r w:rsidRPr="006B6351">
              <w:rPr>
                <w:rFonts w:ascii="Times New Roman" w:eastAsia="Times New Roman" w:hAnsi="Times New Roman" w:cs="Times New Roman"/>
                <w:sz w:val="20"/>
                <w:szCs w:val="20"/>
              </w:rPr>
              <w:t>-1.0</w:t>
            </w:r>
            <w:r>
              <w:rPr>
                <w:rFonts w:ascii="Times New Roman" w:eastAsia="Times New Roman" w:hAnsi="Times New Roman" w:cs="Times New Roman"/>
                <w:sz w:val="20"/>
                <w:szCs w:val="20"/>
              </w:rPr>
              <w:t xml:space="preserve">8; </w:t>
            </w:r>
            <w:r w:rsidRPr="006B6351">
              <w:rPr>
                <w:rFonts w:ascii="Times New Roman" w:eastAsia="Times New Roman" w:hAnsi="Times New Roman" w:cs="Times New Roman"/>
                <w:sz w:val="20"/>
                <w:szCs w:val="20"/>
              </w:rPr>
              <w:t>1.9</w:t>
            </w:r>
            <w:r>
              <w:rPr>
                <w:rFonts w:ascii="Times New Roman" w:eastAsia="Times New Roman" w:hAnsi="Times New Roman" w:cs="Times New Roman"/>
                <w:sz w:val="20"/>
                <w:szCs w:val="20"/>
              </w:rPr>
              <w:t>3)</w:t>
            </w:r>
          </w:p>
        </w:tc>
        <w:tc>
          <w:tcPr>
            <w:tcW w:w="1347" w:type="dxa"/>
          </w:tcPr>
          <w:p w14:paraId="79F637E7" w14:textId="178F6E97" w:rsidR="00A90839" w:rsidRPr="0061687B"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B6351">
              <w:rPr>
                <w:rFonts w:ascii="Times New Roman" w:eastAsia="Times New Roman" w:hAnsi="Times New Roman" w:cs="Times New Roman"/>
                <w:sz w:val="20"/>
                <w:szCs w:val="20"/>
              </w:rPr>
              <w:t>0.5796</w:t>
            </w:r>
          </w:p>
        </w:tc>
        <w:tc>
          <w:tcPr>
            <w:tcW w:w="1353" w:type="dxa"/>
          </w:tcPr>
          <w:p w14:paraId="75CB82A4" w14:textId="2156BAE6"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B6351">
              <w:rPr>
                <w:rFonts w:ascii="Times New Roman" w:eastAsia="Times New Roman" w:hAnsi="Times New Roman" w:cs="Times New Roman"/>
                <w:sz w:val="20"/>
                <w:szCs w:val="20"/>
              </w:rPr>
              <w:t>3.10</w:t>
            </w:r>
          </w:p>
        </w:tc>
        <w:tc>
          <w:tcPr>
            <w:tcW w:w="810" w:type="dxa"/>
            <w:gridSpan w:val="2"/>
          </w:tcPr>
          <w:p w14:paraId="1B5FB2CF" w14:textId="6FBC1483"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B6351">
              <w:rPr>
                <w:rFonts w:ascii="Times New Roman" w:eastAsia="Times New Roman" w:hAnsi="Times New Roman" w:cs="Times New Roman"/>
                <w:sz w:val="20"/>
                <w:szCs w:val="20"/>
              </w:rPr>
              <w:t>93.59</w:t>
            </w:r>
          </w:p>
        </w:tc>
        <w:tc>
          <w:tcPr>
            <w:tcW w:w="895" w:type="dxa"/>
          </w:tcPr>
          <w:p w14:paraId="415B71F6" w14:textId="3B63670B" w:rsidR="00A90839" w:rsidRPr="0091423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36533A5E"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2AA1A966"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16EC729E" w14:textId="646B6E06"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FPG</w:t>
            </w:r>
          </w:p>
        </w:tc>
        <w:tc>
          <w:tcPr>
            <w:tcW w:w="993" w:type="dxa"/>
          </w:tcPr>
          <w:p w14:paraId="07F5D298" w14:textId="168FAE54"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64</w:t>
            </w:r>
          </w:p>
        </w:tc>
        <w:tc>
          <w:tcPr>
            <w:tcW w:w="811" w:type="dxa"/>
          </w:tcPr>
          <w:p w14:paraId="7C9CD7B9" w14:textId="00492076"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3,645</w:t>
            </w:r>
          </w:p>
        </w:tc>
        <w:tc>
          <w:tcPr>
            <w:tcW w:w="2341" w:type="dxa"/>
          </w:tcPr>
          <w:p w14:paraId="280CD17D" w14:textId="76599C1C" w:rsidR="00A90839" w:rsidRPr="00BE3DB3"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492716">
              <w:rPr>
                <w:rFonts w:ascii="Times New Roman" w:eastAsia="Times New Roman" w:hAnsi="Times New Roman" w:cs="Times New Roman"/>
                <w:sz w:val="20"/>
                <w:szCs w:val="20"/>
              </w:rPr>
              <w:t>45.20</w:t>
            </w:r>
            <w:r>
              <w:rPr>
                <w:rFonts w:ascii="Times New Roman" w:eastAsia="Times New Roman" w:hAnsi="Times New Roman" w:cs="Times New Roman"/>
                <w:sz w:val="20"/>
                <w:szCs w:val="20"/>
              </w:rPr>
              <w:t xml:space="preserve"> (</w:t>
            </w:r>
            <w:r w:rsidRPr="00492716">
              <w:rPr>
                <w:rFonts w:ascii="Times New Roman" w:eastAsia="Times New Roman" w:hAnsi="Times New Roman" w:cs="Times New Roman"/>
                <w:sz w:val="20"/>
                <w:szCs w:val="20"/>
              </w:rPr>
              <w:t>25.25</w:t>
            </w:r>
            <w:r>
              <w:rPr>
                <w:rFonts w:ascii="Times New Roman" w:eastAsia="Times New Roman" w:hAnsi="Times New Roman" w:cs="Times New Roman"/>
                <w:sz w:val="20"/>
                <w:szCs w:val="20"/>
              </w:rPr>
              <w:t xml:space="preserve">; </w:t>
            </w:r>
            <w:r w:rsidRPr="00492716">
              <w:rPr>
                <w:rFonts w:ascii="Times New Roman" w:eastAsia="Times New Roman" w:hAnsi="Times New Roman" w:cs="Times New Roman"/>
                <w:sz w:val="20"/>
                <w:szCs w:val="20"/>
              </w:rPr>
              <w:t>65.1</w:t>
            </w:r>
            <w:r>
              <w:rPr>
                <w:rFonts w:ascii="Times New Roman" w:eastAsia="Times New Roman" w:hAnsi="Times New Roman" w:cs="Times New Roman"/>
                <w:sz w:val="20"/>
                <w:szCs w:val="20"/>
              </w:rPr>
              <w:t>5)</w:t>
            </w:r>
          </w:p>
        </w:tc>
        <w:tc>
          <w:tcPr>
            <w:tcW w:w="2429" w:type="dxa"/>
          </w:tcPr>
          <w:p w14:paraId="0ECD76DD" w14:textId="42323E59" w:rsidR="00A90839" w:rsidRPr="00A24976"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A24976">
              <w:rPr>
                <w:rFonts w:ascii="Times New Roman" w:eastAsia="Times New Roman" w:hAnsi="Times New Roman" w:cs="Times New Roman"/>
                <w:b/>
                <w:bCs/>
                <w:sz w:val="20"/>
                <w:szCs w:val="20"/>
              </w:rPr>
              <w:t>-0.38 (-0.52; -0.25)</w:t>
            </w:r>
          </w:p>
        </w:tc>
        <w:tc>
          <w:tcPr>
            <w:tcW w:w="1347" w:type="dxa"/>
          </w:tcPr>
          <w:p w14:paraId="7B55B693" w14:textId="18C2D102" w:rsidR="00A90839" w:rsidRPr="00A24976"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A24976">
              <w:rPr>
                <w:rFonts w:ascii="Times New Roman" w:eastAsia="Times New Roman" w:hAnsi="Times New Roman" w:cs="Times New Roman"/>
                <w:b/>
                <w:bCs/>
                <w:sz w:val="20"/>
                <w:szCs w:val="20"/>
              </w:rPr>
              <w:t>&lt;0.0001</w:t>
            </w:r>
          </w:p>
        </w:tc>
        <w:tc>
          <w:tcPr>
            <w:tcW w:w="1353" w:type="dxa"/>
          </w:tcPr>
          <w:p w14:paraId="224A31BF" w14:textId="246DC889"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492716">
              <w:rPr>
                <w:rFonts w:ascii="Times New Roman" w:eastAsia="Times New Roman" w:hAnsi="Times New Roman" w:cs="Times New Roman"/>
                <w:sz w:val="20"/>
                <w:szCs w:val="20"/>
              </w:rPr>
              <w:t>24.68</w:t>
            </w:r>
          </w:p>
        </w:tc>
        <w:tc>
          <w:tcPr>
            <w:tcW w:w="810" w:type="dxa"/>
            <w:gridSpan w:val="2"/>
          </w:tcPr>
          <w:p w14:paraId="1363281C" w14:textId="24DEF27F"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492716">
              <w:rPr>
                <w:rFonts w:ascii="Times New Roman" w:eastAsia="Times New Roman" w:hAnsi="Times New Roman" w:cs="Times New Roman"/>
                <w:sz w:val="20"/>
                <w:szCs w:val="20"/>
              </w:rPr>
              <w:t>91.92</w:t>
            </w:r>
          </w:p>
        </w:tc>
        <w:tc>
          <w:tcPr>
            <w:tcW w:w="895" w:type="dxa"/>
          </w:tcPr>
          <w:p w14:paraId="5E0664BB" w14:textId="6F74D374"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5959C66F"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0BFD09B1"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056973D7"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Intervention Duration </w:t>
            </w:r>
          </w:p>
        </w:tc>
        <w:tc>
          <w:tcPr>
            <w:tcW w:w="993" w:type="dxa"/>
          </w:tcPr>
          <w:p w14:paraId="398DBCD9" w14:textId="7C5A21E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811" w:type="dxa"/>
          </w:tcPr>
          <w:p w14:paraId="0D929E16" w14:textId="28D39521"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3,735</w:t>
            </w:r>
          </w:p>
        </w:tc>
        <w:tc>
          <w:tcPr>
            <w:tcW w:w="2341" w:type="dxa"/>
          </w:tcPr>
          <w:p w14:paraId="4CC76FE2" w14:textId="3E1305EC" w:rsidR="00A90839" w:rsidRPr="00BE3DB3"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B0225">
              <w:rPr>
                <w:rFonts w:ascii="Times New Roman" w:eastAsia="Times New Roman" w:hAnsi="Times New Roman" w:cs="Times New Roman"/>
                <w:sz w:val="20"/>
                <w:szCs w:val="20"/>
              </w:rPr>
              <w:t>-14.2</w:t>
            </w:r>
            <w:r>
              <w:rPr>
                <w:rFonts w:ascii="Times New Roman" w:eastAsia="Times New Roman" w:hAnsi="Times New Roman" w:cs="Times New Roman"/>
                <w:sz w:val="20"/>
                <w:szCs w:val="20"/>
              </w:rPr>
              <w:t>8 (</w:t>
            </w:r>
            <w:r w:rsidRPr="005B0225">
              <w:rPr>
                <w:rFonts w:ascii="Times New Roman" w:eastAsia="Times New Roman" w:hAnsi="Times New Roman" w:cs="Times New Roman"/>
                <w:sz w:val="20"/>
                <w:szCs w:val="20"/>
              </w:rPr>
              <w:t>-23.2</w:t>
            </w:r>
            <w:r>
              <w:rPr>
                <w:rFonts w:ascii="Times New Roman" w:eastAsia="Times New Roman" w:hAnsi="Times New Roman" w:cs="Times New Roman"/>
                <w:sz w:val="20"/>
                <w:szCs w:val="20"/>
              </w:rPr>
              <w:t xml:space="preserve">4; </w:t>
            </w:r>
            <w:r w:rsidRPr="005B0225">
              <w:rPr>
                <w:rFonts w:ascii="Times New Roman" w:eastAsia="Times New Roman" w:hAnsi="Times New Roman" w:cs="Times New Roman"/>
                <w:sz w:val="20"/>
                <w:szCs w:val="20"/>
              </w:rPr>
              <w:t>-5.3</w:t>
            </w:r>
            <w:r>
              <w:rPr>
                <w:rFonts w:ascii="Times New Roman" w:eastAsia="Times New Roman" w:hAnsi="Times New Roman" w:cs="Times New Roman"/>
                <w:sz w:val="20"/>
                <w:szCs w:val="20"/>
              </w:rPr>
              <w:t>2)</w:t>
            </w:r>
          </w:p>
        </w:tc>
        <w:tc>
          <w:tcPr>
            <w:tcW w:w="2429" w:type="dxa"/>
          </w:tcPr>
          <w:p w14:paraId="1A1C0C4B" w14:textId="167AF252" w:rsidR="00A90839" w:rsidRPr="00BE3DB3"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201EA">
              <w:rPr>
                <w:rFonts w:ascii="Times New Roman" w:eastAsia="Times New Roman" w:hAnsi="Times New Roman" w:cs="Times New Roman"/>
                <w:sz w:val="20"/>
                <w:szCs w:val="20"/>
              </w:rPr>
              <w:t>0.1</w:t>
            </w:r>
            <w:r>
              <w:rPr>
                <w:rFonts w:ascii="Times New Roman" w:eastAsia="Times New Roman" w:hAnsi="Times New Roman" w:cs="Times New Roman"/>
                <w:sz w:val="20"/>
                <w:szCs w:val="20"/>
              </w:rPr>
              <w:t>5 (</w:t>
            </w:r>
            <w:r w:rsidRPr="000201EA">
              <w:rPr>
                <w:rFonts w:ascii="Times New Roman" w:eastAsia="Times New Roman" w:hAnsi="Times New Roman" w:cs="Times New Roman"/>
                <w:sz w:val="20"/>
                <w:szCs w:val="20"/>
              </w:rPr>
              <w:t>-0.70</w:t>
            </w:r>
            <w:r>
              <w:rPr>
                <w:rFonts w:ascii="Times New Roman" w:eastAsia="Times New Roman" w:hAnsi="Times New Roman" w:cs="Times New Roman"/>
                <w:sz w:val="20"/>
                <w:szCs w:val="20"/>
              </w:rPr>
              <w:t>; 1.00)</w:t>
            </w:r>
          </w:p>
        </w:tc>
        <w:tc>
          <w:tcPr>
            <w:tcW w:w="1347" w:type="dxa"/>
          </w:tcPr>
          <w:p w14:paraId="41104EE5" w14:textId="6AAE34F1" w:rsidR="00A90839" w:rsidRPr="0061687B"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529C1">
              <w:rPr>
                <w:rFonts w:ascii="Times New Roman" w:eastAsia="Times New Roman" w:hAnsi="Times New Roman" w:cs="Times New Roman"/>
                <w:sz w:val="20"/>
                <w:szCs w:val="20"/>
              </w:rPr>
              <w:t>0.7311</w:t>
            </w:r>
          </w:p>
        </w:tc>
        <w:tc>
          <w:tcPr>
            <w:tcW w:w="1353" w:type="dxa"/>
          </w:tcPr>
          <w:p w14:paraId="29AF8321" w14:textId="6BBFAA0D"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B0225">
              <w:rPr>
                <w:rFonts w:ascii="Times New Roman" w:eastAsia="Times New Roman" w:hAnsi="Times New Roman" w:cs="Times New Roman"/>
                <w:sz w:val="20"/>
                <w:szCs w:val="20"/>
              </w:rPr>
              <w:t>0.0</w:t>
            </w:r>
          </w:p>
        </w:tc>
        <w:tc>
          <w:tcPr>
            <w:tcW w:w="810" w:type="dxa"/>
            <w:gridSpan w:val="2"/>
          </w:tcPr>
          <w:p w14:paraId="4D465DF5" w14:textId="1C2CEE75"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B0225">
              <w:rPr>
                <w:rFonts w:ascii="Times New Roman" w:eastAsia="Times New Roman" w:hAnsi="Times New Roman" w:cs="Times New Roman"/>
                <w:sz w:val="20"/>
                <w:szCs w:val="20"/>
              </w:rPr>
              <w:t>94.50</w:t>
            </w:r>
          </w:p>
        </w:tc>
        <w:tc>
          <w:tcPr>
            <w:tcW w:w="895" w:type="dxa"/>
          </w:tcPr>
          <w:p w14:paraId="1F8F5919" w14:textId="77777777" w:rsidR="00A90839" w:rsidRPr="0091423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0C4D8130"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641E6C8F"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7E379ACA"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Year</w:t>
            </w:r>
          </w:p>
        </w:tc>
        <w:tc>
          <w:tcPr>
            <w:tcW w:w="993" w:type="dxa"/>
          </w:tcPr>
          <w:p w14:paraId="363A265A" w14:textId="2C6B48C5"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811" w:type="dxa"/>
          </w:tcPr>
          <w:p w14:paraId="6FDE24FB" w14:textId="2AD37E1E"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3,735</w:t>
            </w:r>
          </w:p>
        </w:tc>
        <w:tc>
          <w:tcPr>
            <w:tcW w:w="2341" w:type="dxa"/>
          </w:tcPr>
          <w:p w14:paraId="383DACAB" w14:textId="0E9A027E"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8138D">
              <w:rPr>
                <w:rFonts w:ascii="Times New Roman" w:eastAsia="Times New Roman" w:hAnsi="Times New Roman" w:cs="Times New Roman"/>
                <w:sz w:val="20"/>
                <w:szCs w:val="20"/>
              </w:rPr>
              <w:t>-330.9</w:t>
            </w:r>
            <w:r>
              <w:rPr>
                <w:rFonts w:ascii="Times New Roman" w:eastAsia="Times New Roman" w:hAnsi="Times New Roman" w:cs="Times New Roman"/>
                <w:sz w:val="20"/>
                <w:szCs w:val="20"/>
              </w:rPr>
              <w:t>7 (</w:t>
            </w:r>
            <w:r w:rsidRPr="0018138D">
              <w:rPr>
                <w:rFonts w:ascii="Times New Roman" w:eastAsia="Times New Roman" w:hAnsi="Times New Roman" w:cs="Times New Roman"/>
                <w:sz w:val="20"/>
                <w:szCs w:val="20"/>
              </w:rPr>
              <w:t>-2440.1</w:t>
            </w:r>
            <w:r>
              <w:rPr>
                <w:rFonts w:ascii="Times New Roman" w:eastAsia="Times New Roman" w:hAnsi="Times New Roman" w:cs="Times New Roman"/>
                <w:sz w:val="20"/>
                <w:szCs w:val="20"/>
              </w:rPr>
              <w:t xml:space="preserve">; </w:t>
            </w:r>
            <w:r w:rsidRPr="0018138D">
              <w:rPr>
                <w:rFonts w:ascii="Times New Roman" w:eastAsia="Times New Roman" w:hAnsi="Times New Roman" w:cs="Times New Roman"/>
                <w:sz w:val="20"/>
                <w:szCs w:val="20"/>
              </w:rPr>
              <w:t>1778.2</w:t>
            </w:r>
            <w:r>
              <w:rPr>
                <w:rFonts w:ascii="Times New Roman" w:eastAsia="Times New Roman" w:hAnsi="Times New Roman" w:cs="Times New Roman"/>
                <w:sz w:val="20"/>
                <w:szCs w:val="20"/>
              </w:rPr>
              <w:t>)</w:t>
            </w:r>
          </w:p>
        </w:tc>
        <w:tc>
          <w:tcPr>
            <w:tcW w:w="2429" w:type="dxa"/>
          </w:tcPr>
          <w:p w14:paraId="3115DCC9" w14:textId="455E5B16"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1457F">
              <w:rPr>
                <w:rFonts w:ascii="Times New Roman" w:eastAsia="Times New Roman" w:hAnsi="Times New Roman" w:cs="Times New Roman"/>
                <w:sz w:val="20"/>
                <w:szCs w:val="20"/>
              </w:rPr>
              <w:t>0.16 (-0.89; 1.20)</w:t>
            </w:r>
          </w:p>
        </w:tc>
        <w:tc>
          <w:tcPr>
            <w:tcW w:w="1347" w:type="dxa"/>
          </w:tcPr>
          <w:p w14:paraId="2EC3DB7E" w14:textId="4FD9477D" w:rsidR="00A90839" w:rsidRPr="003A530A"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1457F">
              <w:rPr>
                <w:rFonts w:ascii="Times New Roman" w:eastAsia="Times New Roman" w:hAnsi="Times New Roman" w:cs="Times New Roman"/>
                <w:sz w:val="20"/>
                <w:szCs w:val="20"/>
              </w:rPr>
              <w:t>0.7673</w:t>
            </w:r>
          </w:p>
        </w:tc>
        <w:tc>
          <w:tcPr>
            <w:tcW w:w="1353" w:type="dxa"/>
          </w:tcPr>
          <w:p w14:paraId="2AC84DC3" w14:textId="5D9860D9" w:rsidR="00A90839" w:rsidRPr="003A530A"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8138D">
              <w:rPr>
                <w:rFonts w:ascii="Times New Roman" w:eastAsia="Times New Roman" w:hAnsi="Times New Roman" w:cs="Times New Roman"/>
                <w:sz w:val="20"/>
                <w:szCs w:val="20"/>
              </w:rPr>
              <w:t>0.0</w:t>
            </w:r>
          </w:p>
        </w:tc>
        <w:tc>
          <w:tcPr>
            <w:tcW w:w="810" w:type="dxa"/>
            <w:gridSpan w:val="2"/>
          </w:tcPr>
          <w:p w14:paraId="615BF546" w14:textId="39C847E3" w:rsidR="00A90839" w:rsidRPr="003A530A"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8138D">
              <w:rPr>
                <w:rFonts w:ascii="Times New Roman" w:eastAsia="Times New Roman" w:hAnsi="Times New Roman" w:cs="Times New Roman"/>
                <w:sz w:val="20"/>
                <w:szCs w:val="20"/>
              </w:rPr>
              <w:t>94.56</w:t>
            </w:r>
          </w:p>
        </w:tc>
        <w:tc>
          <w:tcPr>
            <w:tcW w:w="895" w:type="dxa"/>
          </w:tcPr>
          <w:p w14:paraId="1FDD6A8E"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2E8BFBE9"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D9D9D9" w:themeFill="background1" w:themeFillShade="D9"/>
          </w:tcPr>
          <w:p w14:paraId="1461B960" w14:textId="0E1454D3" w:rsidR="00A90839" w:rsidRDefault="00A90839" w:rsidP="00B97DB5">
            <w:pPr>
              <w:rPr>
                <w:rFonts w:ascii="Times New Roman" w:eastAsia="Times New Roman" w:hAnsi="Times New Roman" w:cs="Times New Roman"/>
                <w:sz w:val="20"/>
                <w:szCs w:val="20"/>
              </w:rPr>
            </w:pPr>
            <w:r>
              <w:rPr>
                <w:rFonts w:ascii="Times New Roman" w:eastAsia="Times New Roman" w:hAnsi="Times New Roman" w:cs="Times New Roman"/>
                <w:sz w:val="20"/>
                <w:szCs w:val="20"/>
              </w:rPr>
              <w:t>HbA1c (%)</w:t>
            </w:r>
          </w:p>
        </w:tc>
        <w:tc>
          <w:tcPr>
            <w:tcW w:w="1166" w:type="dxa"/>
            <w:shd w:val="clear" w:color="auto" w:fill="D9E2F3" w:themeFill="accent1" w:themeFillTint="33"/>
          </w:tcPr>
          <w:p w14:paraId="04114E6D"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Age</w:t>
            </w:r>
          </w:p>
        </w:tc>
        <w:tc>
          <w:tcPr>
            <w:tcW w:w="993" w:type="dxa"/>
            <w:shd w:val="clear" w:color="auto" w:fill="D9E2F3" w:themeFill="accent1" w:themeFillTint="33"/>
          </w:tcPr>
          <w:p w14:paraId="26FA6811" w14:textId="2291BA32"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811" w:type="dxa"/>
            <w:shd w:val="clear" w:color="auto" w:fill="D9E2F3" w:themeFill="accent1" w:themeFillTint="33"/>
          </w:tcPr>
          <w:p w14:paraId="6F771E0D" w14:textId="6C5AF99F"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2,669</w:t>
            </w:r>
          </w:p>
        </w:tc>
        <w:tc>
          <w:tcPr>
            <w:tcW w:w="2341" w:type="dxa"/>
            <w:shd w:val="clear" w:color="auto" w:fill="D9E2F3" w:themeFill="accent1" w:themeFillTint="33"/>
          </w:tcPr>
          <w:p w14:paraId="47C8DCAC" w14:textId="456FDE23"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FE11A9">
              <w:rPr>
                <w:rFonts w:ascii="Times New Roman" w:eastAsia="Times New Roman" w:hAnsi="Times New Roman" w:cs="Times New Roman"/>
                <w:sz w:val="20"/>
                <w:szCs w:val="20"/>
              </w:rPr>
              <w:t>-1.52</w:t>
            </w:r>
            <w:r>
              <w:rPr>
                <w:rFonts w:ascii="Times New Roman" w:eastAsia="Times New Roman" w:hAnsi="Times New Roman" w:cs="Times New Roman"/>
                <w:sz w:val="20"/>
                <w:szCs w:val="20"/>
              </w:rPr>
              <w:t xml:space="preserve"> (</w:t>
            </w:r>
            <w:r w:rsidRPr="00FE11A9">
              <w:rPr>
                <w:rFonts w:ascii="Times New Roman" w:eastAsia="Times New Roman" w:hAnsi="Times New Roman" w:cs="Times New Roman"/>
                <w:sz w:val="20"/>
                <w:szCs w:val="20"/>
              </w:rPr>
              <w:t>-2.31</w:t>
            </w:r>
            <w:r>
              <w:rPr>
                <w:rFonts w:ascii="Times New Roman" w:eastAsia="Times New Roman" w:hAnsi="Times New Roman" w:cs="Times New Roman"/>
                <w:sz w:val="20"/>
                <w:szCs w:val="20"/>
              </w:rPr>
              <w:t xml:space="preserve">; </w:t>
            </w:r>
            <w:r w:rsidRPr="00FE11A9">
              <w:rPr>
                <w:rFonts w:ascii="Times New Roman" w:eastAsia="Times New Roman" w:hAnsi="Times New Roman" w:cs="Times New Roman"/>
                <w:sz w:val="20"/>
                <w:szCs w:val="20"/>
              </w:rPr>
              <w:t>-0.7</w:t>
            </w:r>
            <w:r>
              <w:rPr>
                <w:rFonts w:ascii="Times New Roman" w:eastAsia="Times New Roman" w:hAnsi="Times New Roman" w:cs="Times New Roman"/>
                <w:sz w:val="20"/>
                <w:szCs w:val="20"/>
              </w:rPr>
              <w:t>4)</w:t>
            </w:r>
          </w:p>
        </w:tc>
        <w:tc>
          <w:tcPr>
            <w:tcW w:w="2429" w:type="dxa"/>
            <w:shd w:val="clear" w:color="auto" w:fill="D9E2F3" w:themeFill="accent1" w:themeFillTint="33"/>
          </w:tcPr>
          <w:p w14:paraId="7FC68760" w14:textId="3FE861B0" w:rsidR="00A90839" w:rsidRPr="00215860"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C431C9">
              <w:rPr>
                <w:rFonts w:ascii="Times New Roman" w:eastAsia="Times New Roman" w:hAnsi="Times New Roman" w:cs="Times New Roman"/>
                <w:b/>
                <w:bCs/>
                <w:sz w:val="20"/>
                <w:szCs w:val="20"/>
              </w:rPr>
              <w:t>0.02</w:t>
            </w:r>
            <w:r>
              <w:rPr>
                <w:rFonts w:ascii="Times New Roman" w:eastAsia="Times New Roman" w:hAnsi="Times New Roman" w:cs="Times New Roman"/>
                <w:b/>
                <w:bCs/>
                <w:sz w:val="20"/>
                <w:szCs w:val="20"/>
              </w:rPr>
              <w:t xml:space="preserve"> (</w:t>
            </w:r>
            <w:r w:rsidRPr="00C431C9">
              <w:rPr>
                <w:rFonts w:ascii="Times New Roman" w:eastAsia="Times New Roman" w:hAnsi="Times New Roman" w:cs="Times New Roman"/>
                <w:b/>
                <w:bCs/>
                <w:sz w:val="20"/>
                <w:szCs w:val="20"/>
              </w:rPr>
              <w:t>0.0</w:t>
            </w:r>
            <w:r>
              <w:rPr>
                <w:rFonts w:ascii="Times New Roman" w:eastAsia="Times New Roman" w:hAnsi="Times New Roman" w:cs="Times New Roman"/>
                <w:b/>
                <w:bCs/>
                <w:sz w:val="20"/>
                <w:szCs w:val="20"/>
              </w:rPr>
              <w:t xml:space="preserve">1; </w:t>
            </w:r>
            <w:r w:rsidRPr="00C431C9">
              <w:rPr>
                <w:rFonts w:ascii="Times New Roman" w:eastAsia="Times New Roman" w:hAnsi="Times New Roman" w:cs="Times New Roman"/>
                <w:b/>
                <w:bCs/>
                <w:sz w:val="20"/>
                <w:szCs w:val="20"/>
              </w:rPr>
              <w:t>0.03</w:t>
            </w:r>
            <w:r>
              <w:rPr>
                <w:rFonts w:ascii="Times New Roman" w:eastAsia="Times New Roman" w:hAnsi="Times New Roman" w:cs="Times New Roman"/>
                <w:b/>
                <w:bCs/>
                <w:sz w:val="20"/>
                <w:szCs w:val="20"/>
              </w:rPr>
              <w:t>)</w:t>
            </w:r>
          </w:p>
        </w:tc>
        <w:tc>
          <w:tcPr>
            <w:tcW w:w="1347" w:type="dxa"/>
            <w:shd w:val="clear" w:color="auto" w:fill="D9E2F3" w:themeFill="accent1" w:themeFillTint="33"/>
          </w:tcPr>
          <w:p w14:paraId="7E44665B" w14:textId="236740BD" w:rsidR="00A90839" w:rsidRPr="00911613"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B620B6">
              <w:rPr>
                <w:rFonts w:ascii="Times New Roman" w:eastAsia="Times New Roman" w:hAnsi="Times New Roman" w:cs="Times New Roman"/>
                <w:b/>
                <w:bCs/>
                <w:sz w:val="20"/>
                <w:szCs w:val="20"/>
              </w:rPr>
              <w:t>0.0044</w:t>
            </w:r>
          </w:p>
        </w:tc>
        <w:tc>
          <w:tcPr>
            <w:tcW w:w="1353" w:type="dxa"/>
            <w:shd w:val="clear" w:color="auto" w:fill="D9E2F3" w:themeFill="accent1" w:themeFillTint="33"/>
          </w:tcPr>
          <w:p w14:paraId="2117B443" w14:textId="23607D7F"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B620B6">
              <w:rPr>
                <w:rFonts w:ascii="Times New Roman" w:eastAsia="Times New Roman" w:hAnsi="Times New Roman" w:cs="Times New Roman"/>
                <w:sz w:val="20"/>
                <w:szCs w:val="20"/>
              </w:rPr>
              <w:t>2.36</w:t>
            </w:r>
          </w:p>
        </w:tc>
        <w:tc>
          <w:tcPr>
            <w:tcW w:w="810" w:type="dxa"/>
            <w:gridSpan w:val="2"/>
            <w:shd w:val="clear" w:color="auto" w:fill="D9E2F3" w:themeFill="accent1" w:themeFillTint="33"/>
          </w:tcPr>
          <w:p w14:paraId="256B23EA" w14:textId="198208D2"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B620B6">
              <w:rPr>
                <w:rFonts w:ascii="Times New Roman" w:eastAsia="Times New Roman" w:hAnsi="Times New Roman" w:cs="Times New Roman"/>
                <w:sz w:val="20"/>
                <w:szCs w:val="20"/>
              </w:rPr>
              <w:t>95.21</w:t>
            </w:r>
          </w:p>
        </w:tc>
        <w:tc>
          <w:tcPr>
            <w:tcW w:w="895" w:type="dxa"/>
            <w:shd w:val="clear" w:color="auto" w:fill="D9E2F3" w:themeFill="accent1" w:themeFillTint="33"/>
          </w:tcPr>
          <w:p w14:paraId="1A4D9CFB"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4086A59B"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4B4BF25C"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3B9D8FA9"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BMI</w:t>
            </w:r>
          </w:p>
        </w:tc>
        <w:tc>
          <w:tcPr>
            <w:tcW w:w="993" w:type="dxa"/>
            <w:shd w:val="clear" w:color="auto" w:fill="D9E2F3" w:themeFill="accent1" w:themeFillTint="33"/>
          </w:tcPr>
          <w:p w14:paraId="269D10E0" w14:textId="5DA0EE21"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811" w:type="dxa"/>
            <w:shd w:val="clear" w:color="auto" w:fill="D9E2F3" w:themeFill="accent1" w:themeFillTint="33"/>
          </w:tcPr>
          <w:p w14:paraId="729D29FA" w14:textId="01DC53F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2,669</w:t>
            </w:r>
          </w:p>
        </w:tc>
        <w:tc>
          <w:tcPr>
            <w:tcW w:w="2341" w:type="dxa"/>
            <w:shd w:val="clear" w:color="auto" w:fill="D9E2F3" w:themeFill="accent1" w:themeFillTint="33"/>
          </w:tcPr>
          <w:p w14:paraId="12605C66" w14:textId="2B2080A1"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4E5E14">
              <w:rPr>
                <w:rFonts w:ascii="Times New Roman" w:eastAsia="Times New Roman" w:hAnsi="Times New Roman" w:cs="Times New Roman"/>
                <w:sz w:val="20"/>
                <w:szCs w:val="20"/>
              </w:rPr>
              <w:t>0.2</w:t>
            </w:r>
            <w:r>
              <w:rPr>
                <w:rFonts w:ascii="Times New Roman" w:eastAsia="Times New Roman" w:hAnsi="Times New Roman" w:cs="Times New Roman"/>
                <w:sz w:val="20"/>
                <w:szCs w:val="20"/>
              </w:rPr>
              <w:t>5 (</w:t>
            </w:r>
            <w:r w:rsidRPr="004E5E14">
              <w:rPr>
                <w:rFonts w:ascii="Times New Roman" w:eastAsia="Times New Roman" w:hAnsi="Times New Roman" w:cs="Times New Roman"/>
                <w:sz w:val="20"/>
                <w:szCs w:val="20"/>
              </w:rPr>
              <w:t>-0.8</w:t>
            </w:r>
            <w:r>
              <w:rPr>
                <w:rFonts w:ascii="Times New Roman" w:eastAsia="Times New Roman" w:hAnsi="Times New Roman" w:cs="Times New Roman"/>
                <w:sz w:val="20"/>
                <w:szCs w:val="20"/>
              </w:rPr>
              <w:t xml:space="preserve">5; </w:t>
            </w:r>
            <w:r w:rsidRPr="004E5E14">
              <w:rPr>
                <w:rFonts w:ascii="Times New Roman" w:eastAsia="Times New Roman" w:hAnsi="Times New Roman" w:cs="Times New Roman"/>
                <w:sz w:val="20"/>
                <w:szCs w:val="20"/>
              </w:rPr>
              <w:t>1.34</w:t>
            </w:r>
            <w:r>
              <w:rPr>
                <w:rFonts w:ascii="Times New Roman" w:eastAsia="Times New Roman" w:hAnsi="Times New Roman" w:cs="Times New Roman"/>
                <w:sz w:val="20"/>
                <w:szCs w:val="20"/>
              </w:rPr>
              <w:t>)</w:t>
            </w:r>
          </w:p>
        </w:tc>
        <w:tc>
          <w:tcPr>
            <w:tcW w:w="2429" w:type="dxa"/>
            <w:shd w:val="clear" w:color="auto" w:fill="D9E2F3" w:themeFill="accent1" w:themeFillTint="33"/>
          </w:tcPr>
          <w:p w14:paraId="15C58335" w14:textId="3B5559E0"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4E5E14">
              <w:rPr>
                <w:rFonts w:ascii="Times New Roman" w:eastAsia="Times New Roman" w:hAnsi="Times New Roman" w:cs="Times New Roman"/>
                <w:sz w:val="20"/>
                <w:szCs w:val="20"/>
              </w:rPr>
              <w:t>-0.02</w:t>
            </w:r>
            <w:r>
              <w:rPr>
                <w:rFonts w:ascii="Times New Roman" w:eastAsia="Times New Roman" w:hAnsi="Times New Roman" w:cs="Times New Roman"/>
                <w:sz w:val="20"/>
                <w:szCs w:val="20"/>
              </w:rPr>
              <w:t xml:space="preserve"> (</w:t>
            </w:r>
            <w:r w:rsidRPr="00F02873">
              <w:rPr>
                <w:rFonts w:ascii="Times New Roman" w:eastAsia="Times New Roman" w:hAnsi="Times New Roman" w:cs="Times New Roman"/>
                <w:sz w:val="20"/>
                <w:szCs w:val="20"/>
              </w:rPr>
              <w:t>-0.0</w:t>
            </w:r>
            <w:r>
              <w:rPr>
                <w:rFonts w:ascii="Times New Roman" w:eastAsia="Times New Roman" w:hAnsi="Times New Roman" w:cs="Times New Roman"/>
                <w:sz w:val="20"/>
                <w:szCs w:val="20"/>
              </w:rPr>
              <w:t xml:space="preserve">6; </w:t>
            </w:r>
            <w:r w:rsidRPr="00F02873">
              <w:rPr>
                <w:rFonts w:ascii="Times New Roman" w:eastAsia="Times New Roman" w:hAnsi="Times New Roman" w:cs="Times New Roman"/>
                <w:sz w:val="20"/>
                <w:szCs w:val="20"/>
              </w:rPr>
              <w:t>0.0</w:t>
            </w:r>
            <w:r>
              <w:rPr>
                <w:rFonts w:ascii="Times New Roman" w:eastAsia="Times New Roman" w:hAnsi="Times New Roman" w:cs="Times New Roman"/>
                <w:sz w:val="20"/>
                <w:szCs w:val="20"/>
              </w:rPr>
              <w:t>2)</w:t>
            </w:r>
          </w:p>
        </w:tc>
        <w:tc>
          <w:tcPr>
            <w:tcW w:w="1347" w:type="dxa"/>
            <w:shd w:val="clear" w:color="auto" w:fill="D9E2F3" w:themeFill="accent1" w:themeFillTint="33"/>
          </w:tcPr>
          <w:p w14:paraId="55474D09" w14:textId="05A2F1BC"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977D1B">
              <w:rPr>
                <w:rFonts w:ascii="Times New Roman" w:eastAsia="Times New Roman" w:hAnsi="Times New Roman" w:cs="Times New Roman"/>
                <w:sz w:val="20"/>
                <w:szCs w:val="20"/>
              </w:rPr>
              <w:t>0.2523</w:t>
            </w:r>
          </w:p>
        </w:tc>
        <w:tc>
          <w:tcPr>
            <w:tcW w:w="1353" w:type="dxa"/>
            <w:shd w:val="clear" w:color="auto" w:fill="D9E2F3" w:themeFill="accent1" w:themeFillTint="33"/>
          </w:tcPr>
          <w:p w14:paraId="2B6348BC" w14:textId="792149F8"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1AEA0E72" w14:textId="223B34E8"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977D1B">
              <w:rPr>
                <w:rFonts w:ascii="Times New Roman" w:eastAsia="Times New Roman" w:hAnsi="Times New Roman" w:cs="Times New Roman"/>
                <w:sz w:val="20"/>
                <w:szCs w:val="20"/>
              </w:rPr>
              <w:t>95.44</w:t>
            </w:r>
          </w:p>
        </w:tc>
        <w:tc>
          <w:tcPr>
            <w:tcW w:w="895" w:type="dxa"/>
            <w:shd w:val="clear" w:color="auto" w:fill="D9E2F3" w:themeFill="accent1" w:themeFillTint="33"/>
          </w:tcPr>
          <w:p w14:paraId="2038DD18"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478B4965"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121807A7"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3EEA3B7A" w14:textId="32C8853A"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HbA1c</w:t>
            </w:r>
          </w:p>
        </w:tc>
        <w:tc>
          <w:tcPr>
            <w:tcW w:w="993" w:type="dxa"/>
            <w:shd w:val="clear" w:color="auto" w:fill="D9E2F3" w:themeFill="accent1" w:themeFillTint="33"/>
          </w:tcPr>
          <w:p w14:paraId="3AF89ECC" w14:textId="278083DE"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46</w:t>
            </w:r>
          </w:p>
        </w:tc>
        <w:tc>
          <w:tcPr>
            <w:tcW w:w="811" w:type="dxa"/>
            <w:shd w:val="clear" w:color="auto" w:fill="D9E2F3" w:themeFill="accent1" w:themeFillTint="33"/>
          </w:tcPr>
          <w:p w14:paraId="6EF0CC07" w14:textId="56965F92"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2,579</w:t>
            </w:r>
          </w:p>
        </w:tc>
        <w:tc>
          <w:tcPr>
            <w:tcW w:w="2341" w:type="dxa"/>
            <w:shd w:val="clear" w:color="auto" w:fill="D9E2F3" w:themeFill="accent1" w:themeFillTint="33"/>
          </w:tcPr>
          <w:p w14:paraId="26D0132B" w14:textId="0CE0F1BA"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EA5690">
              <w:rPr>
                <w:rFonts w:ascii="Times New Roman" w:eastAsia="Times New Roman" w:hAnsi="Times New Roman" w:cs="Times New Roman"/>
                <w:sz w:val="20"/>
                <w:szCs w:val="20"/>
              </w:rPr>
              <w:t>0.2</w:t>
            </w:r>
            <w:r>
              <w:rPr>
                <w:rFonts w:ascii="Times New Roman" w:eastAsia="Times New Roman" w:hAnsi="Times New Roman" w:cs="Times New Roman"/>
                <w:sz w:val="20"/>
                <w:szCs w:val="20"/>
              </w:rPr>
              <w:t xml:space="preserve">4 (-0.62; </w:t>
            </w:r>
            <w:r w:rsidRPr="00F10880">
              <w:rPr>
                <w:rFonts w:ascii="Times New Roman" w:eastAsia="Times New Roman" w:hAnsi="Times New Roman" w:cs="Times New Roman"/>
                <w:sz w:val="20"/>
                <w:szCs w:val="20"/>
              </w:rPr>
              <w:t>1.</w:t>
            </w:r>
            <w:r>
              <w:rPr>
                <w:rFonts w:ascii="Times New Roman" w:eastAsia="Times New Roman" w:hAnsi="Times New Roman" w:cs="Times New Roman"/>
                <w:sz w:val="20"/>
                <w:szCs w:val="20"/>
              </w:rPr>
              <w:t>09)</w:t>
            </w:r>
          </w:p>
        </w:tc>
        <w:tc>
          <w:tcPr>
            <w:tcW w:w="2429" w:type="dxa"/>
            <w:shd w:val="clear" w:color="auto" w:fill="D9E2F3" w:themeFill="accent1" w:themeFillTint="33"/>
          </w:tcPr>
          <w:p w14:paraId="177C1E62" w14:textId="7965E2E8"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3439A2">
              <w:rPr>
                <w:rFonts w:ascii="Times New Roman" w:eastAsia="Times New Roman" w:hAnsi="Times New Roman" w:cs="Times New Roman"/>
                <w:sz w:val="20"/>
                <w:szCs w:val="20"/>
              </w:rPr>
              <w:t>-0.08</w:t>
            </w:r>
            <w:r>
              <w:rPr>
                <w:rFonts w:ascii="Times New Roman" w:eastAsia="Times New Roman" w:hAnsi="Times New Roman" w:cs="Times New Roman"/>
                <w:sz w:val="20"/>
                <w:szCs w:val="20"/>
              </w:rPr>
              <w:t>3 (-0.196; 0.029)</w:t>
            </w:r>
          </w:p>
        </w:tc>
        <w:tc>
          <w:tcPr>
            <w:tcW w:w="1347" w:type="dxa"/>
            <w:shd w:val="clear" w:color="auto" w:fill="D9E2F3" w:themeFill="accent1" w:themeFillTint="33"/>
          </w:tcPr>
          <w:p w14:paraId="0FA64D34" w14:textId="5B7651FB"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346BFA">
              <w:rPr>
                <w:rFonts w:ascii="Times New Roman" w:eastAsia="Times New Roman" w:hAnsi="Times New Roman" w:cs="Times New Roman"/>
                <w:sz w:val="20"/>
                <w:szCs w:val="20"/>
              </w:rPr>
              <w:t>0.1474</w:t>
            </w:r>
          </w:p>
        </w:tc>
        <w:tc>
          <w:tcPr>
            <w:tcW w:w="1353" w:type="dxa"/>
            <w:shd w:val="clear" w:color="auto" w:fill="D9E2F3" w:themeFill="accent1" w:themeFillTint="33"/>
          </w:tcPr>
          <w:p w14:paraId="79EC6ED2" w14:textId="263E426E"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7E64718F" w14:textId="7E5A9937"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EA5690">
              <w:rPr>
                <w:rFonts w:ascii="Times New Roman" w:eastAsia="Times New Roman" w:hAnsi="Times New Roman" w:cs="Times New Roman"/>
                <w:sz w:val="20"/>
                <w:szCs w:val="20"/>
              </w:rPr>
              <w:t>95.67</w:t>
            </w:r>
          </w:p>
        </w:tc>
        <w:tc>
          <w:tcPr>
            <w:tcW w:w="895" w:type="dxa"/>
            <w:shd w:val="clear" w:color="auto" w:fill="D9E2F3" w:themeFill="accent1" w:themeFillTint="33"/>
          </w:tcPr>
          <w:p w14:paraId="6E658424" w14:textId="64264558"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772FF7B2"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69FB348C"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651BDE9C"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Intervention Duration </w:t>
            </w:r>
          </w:p>
        </w:tc>
        <w:tc>
          <w:tcPr>
            <w:tcW w:w="993" w:type="dxa"/>
            <w:shd w:val="clear" w:color="auto" w:fill="D9E2F3" w:themeFill="accent1" w:themeFillTint="33"/>
          </w:tcPr>
          <w:p w14:paraId="7937FB42" w14:textId="682188F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811" w:type="dxa"/>
            <w:shd w:val="clear" w:color="auto" w:fill="D9E2F3" w:themeFill="accent1" w:themeFillTint="33"/>
          </w:tcPr>
          <w:p w14:paraId="73AF0517" w14:textId="51692474"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2,669</w:t>
            </w:r>
          </w:p>
        </w:tc>
        <w:tc>
          <w:tcPr>
            <w:tcW w:w="2341" w:type="dxa"/>
            <w:shd w:val="clear" w:color="auto" w:fill="D9E2F3" w:themeFill="accent1" w:themeFillTint="33"/>
          </w:tcPr>
          <w:p w14:paraId="1C6335C6" w14:textId="3B7B6BEE"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2D261E">
              <w:rPr>
                <w:rFonts w:ascii="Times New Roman" w:eastAsia="Times New Roman" w:hAnsi="Times New Roman" w:cs="Times New Roman"/>
                <w:sz w:val="20"/>
                <w:szCs w:val="20"/>
              </w:rPr>
              <w:t>-0.5</w:t>
            </w:r>
            <w:r>
              <w:rPr>
                <w:rFonts w:ascii="Times New Roman" w:eastAsia="Times New Roman" w:hAnsi="Times New Roman" w:cs="Times New Roman"/>
                <w:sz w:val="20"/>
                <w:szCs w:val="20"/>
              </w:rPr>
              <w:t>6 (</w:t>
            </w:r>
            <w:r w:rsidRPr="00A20571">
              <w:rPr>
                <w:rFonts w:ascii="Times New Roman" w:eastAsia="Times New Roman" w:hAnsi="Times New Roman" w:cs="Times New Roman"/>
                <w:sz w:val="20"/>
                <w:szCs w:val="20"/>
              </w:rPr>
              <w:t>-0.7</w:t>
            </w:r>
            <w:r>
              <w:rPr>
                <w:rFonts w:ascii="Times New Roman" w:eastAsia="Times New Roman" w:hAnsi="Times New Roman" w:cs="Times New Roman"/>
                <w:sz w:val="20"/>
                <w:szCs w:val="20"/>
              </w:rPr>
              <w:t xml:space="preserve">5; </w:t>
            </w:r>
            <w:r w:rsidRPr="00A20571">
              <w:rPr>
                <w:rFonts w:ascii="Times New Roman" w:eastAsia="Times New Roman" w:hAnsi="Times New Roman" w:cs="Times New Roman"/>
                <w:sz w:val="20"/>
                <w:szCs w:val="20"/>
              </w:rPr>
              <w:t>-0.3</w:t>
            </w:r>
            <w:r>
              <w:rPr>
                <w:rFonts w:ascii="Times New Roman" w:eastAsia="Times New Roman" w:hAnsi="Times New Roman" w:cs="Times New Roman"/>
                <w:sz w:val="20"/>
                <w:szCs w:val="20"/>
              </w:rPr>
              <w:t>7)</w:t>
            </w:r>
          </w:p>
        </w:tc>
        <w:tc>
          <w:tcPr>
            <w:tcW w:w="2429" w:type="dxa"/>
            <w:shd w:val="clear" w:color="auto" w:fill="D9E2F3" w:themeFill="accent1" w:themeFillTint="33"/>
          </w:tcPr>
          <w:p w14:paraId="2512AE7E" w14:textId="775AD7DD"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A20571">
              <w:rPr>
                <w:rFonts w:ascii="Times New Roman" w:eastAsia="Times New Roman" w:hAnsi="Times New Roman" w:cs="Times New Roman"/>
                <w:sz w:val="20"/>
                <w:szCs w:val="20"/>
              </w:rPr>
              <w:t>0.0</w:t>
            </w:r>
            <w:r>
              <w:rPr>
                <w:rFonts w:ascii="Times New Roman" w:eastAsia="Times New Roman" w:hAnsi="Times New Roman" w:cs="Times New Roman"/>
                <w:sz w:val="20"/>
                <w:szCs w:val="20"/>
              </w:rPr>
              <w:t>18 (</w:t>
            </w:r>
            <w:r w:rsidRPr="00A20571">
              <w:rPr>
                <w:rFonts w:ascii="Times New Roman" w:eastAsia="Times New Roman" w:hAnsi="Times New Roman" w:cs="Times New Roman"/>
                <w:sz w:val="20"/>
                <w:szCs w:val="20"/>
              </w:rPr>
              <w:t>-0.00</w:t>
            </w:r>
            <w:r>
              <w:rPr>
                <w:rFonts w:ascii="Times New Roman" w:eastAsia="Times New Roman" w:hAnsi="Times New Roman" w:cs="Times New Roman"/>
                <w:sz w:val="20"/>
                <w:szCs w:val="20"/>
              </w:rPr>
              <w:t xml:space="preserve">0; </w:t>
            </w:r>
            <w:r w:rsidRPr="008F6F05">
              <w:rPr>
                <w:rFonts w:ascii="Times New Roman" w:eastAsia="Times New Roman" w:hAnsi="Times New Roman" w:cs="Times New Roman"/>
                <w:sz w:val="20"/>
                <w:szCs w:val="20"/>
              </w:rPr>
              <w:t>0.0</w:t>
            </w:r>
            <w:r>
              <w:rPr>
                <w:rFonts w:ascii="Times New Roman" w:eastAsia="Times New Roman" w:hAnsi="Times New Roman" w:cs="Times New Roman"/>
                <w:sz w:val="20"/>
                <w:szCs w:val="20"/>
              </w:rPr>
              <w:t>35)</w:t>
            </w:r>
          </w:p>
        </w:tc>
        <w:tc>
          <w:tcPr>
            <w:tcW w:w="1347" w:type="dxa"/>
            <w:shd w:val="clear" w:color="auto" w:fill="D9E2F3" w:themeFill="accent1" w:themeFillTint="33"/>
          </w:tcPr>
          <w:p w14:paraId="58BCEF23" w14:textId="3B9FBAC2"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847A4F">
              <w:rPr>
                <w:rFonts w:ascii="Times New Roman" w:eastAsia="Times New Roman" w:hAnsi="Times New Roman" w:cs="Times New Roman"/>
                <w:sz w:val="20"/>
                <w:szCs w:val="20"/>
              </w:rPr>
              <w:t>0.0515</w:t>
            </w:r>
          </w:p>
        </w:tc>
        <w:tc>
          <w:tcPr>
            <w:tcW w:w="1353" w:type="dxa"/>
            <w:shd w:val="clear" w:color="auto" w:fill="D9E2F3" w:themeFill="accent1" w:themeFillTint="33"/>
          </w:tcPr>
          <w:p w14:paraId="632F09F9" w14:textId="42A317F7"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1E9E83C1" w14:textId="034032A0"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847A4F">
              <w:rPr>
                <w:rFonts w:ascii="Times New Roman" w:eastAsia="Times New Roman" w:hAnsi="Times New Roman" w:cs="Times New Roman"/>
                <w:sz w:val="20"/>
                <w:szCs w:val="20"/>
              </w:rPr>
              <w:t>95.20</w:t>
            </w:r>
          </w:p>
        </w:tc>
        <w:tc>
          <w:tcPr>
            <w:tcW w:w="895" w:type="dxa"/>
            <w:shd w:val="clear" w:color="auto" w:fill="D9E2F3" w:themeFill="accent1" w:themeFillTint="33"/>
          </w:tcPr>
          <w:p w14:paraId="423144FA"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4FE8992D"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063E4F72"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1F7A6B8F"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Year</w:t>
            </w:r>
          </w:p>
        </w:tc>
        <w:tc>
          <w:tcPr>
            <w:tcW w:w="993" w:type="dxa"/>
            <w:shd w:val="clear" w:color="auto" w:fill="D9E2F3" w:themeFill="accent1" w:themeFillTint="33"/>
          </w:tcPr>
          <w:p w14:paraId="367D07B2" w14:textId="69905514"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811" w:type="dxa"/>
            <w:shd w:val="clear" w:color="auto" w:fill="D9E2F3" w:themeFill="accent1" w:themeFillTint="33"/>
          </w:tcPr>
          <w:p w14:paraId="759CFAB9" w14:textId="49A85D18"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2,669</w:t>
            </w:r>
          </w:p>
        </w:tc>
        <w:tc>
          <w:tcPr>
            <w:tcW w:w="2341" w:type="dxa"/>
            <w:shd w:val="clear" w:color="auto" w:fill="D9E2F3" w:themeFill="accent1" w:themeFillTint="33"/>
          </w:tcPr>
          <w:p w14:paraId="224B7ADA" w14:textId="2E8F1DC6"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C0931">
              <w:rPr>
                <w:rFonts w:ascii="Times New Roman" w:eastAsia="Times New Roman" w:hAnsi="Times New Roman" w:cs="Times New Roman"/>
                <w:sz w:val="20"/>
                <w:szCs w:val="20"/>
              </w:rPr>
              <w:t>9.40</w:t>
            </w:r>
            <w:r>
              <w:rPr>
                <w:rFonts w:ascii="Times New Roman" w:eastAsia="Times New Roman" w:hAnsi="Times New Roman" w:cs="Times New Roman"/>
                <w:sz w:val="20"/>
                <w:szCs w:val="20"/>
              </w:rPr>
              <w:t xml:space="preserve"> (</w:t>
            </w:r>
            <w:r w:rsidRPr="00DC0931">
              <w:rPr>
                <w:rFonts w:ascii="Times New Roman" w:eastAsia="Times New Roman" w:hAnsi="Times New Roman" w:cs="Times New Roman"/>
                <w:sz w:val="20"/>
                <w:szCs w:val="20"/>
              </w:rPr>
              <w:t>-39.7</w:t>
            </w:r>
            <w:r>
              <w:rPr>
                <w:rFonts w:ascii="Times New Roman" w:eastAsia="Times New Roman" w:hAnsi="Times New Roman" w:cs="Times New Roman"/>
                <w:sz w:val="20"/>
                <w:szCs w:val="20"/>
              </w:rPr>
              <w:t xml:space="preserve">5; </w:t>
            </w:r>
            <w:r w:rsidRPr="00C23905">
              <w:rPr>
                <w:rFonts w:ascii="Times New Roman" w:eastAsia="Times New Roman" w:hAnsi="Times New Roman" w:cs="Times New Roman"/>
                <w:sz w:val="20"/>
                <w:szCs w:val="20"/>
              </w:rPr>
              <w:t>58.5</w:t>
            </w:r>
            <w:r>
              <w:rPr>
                <w:rFonts w:ascii="Times New Roman" w:eastAsia="Times New Roman" w:hAnsi="Times New Roman" w:cs="Times New Roman"/>
                <w:sz w:val="20"/>
                <w:szCs w:val="20"/>
              </w:rPr>
              <w:t>5)</w:t>
            </w:r>
          </w:p>
        </w:tc>
        <w:tc>
          <w:tcPr>
            <w:tcW w:w="2429" w:type="dxa"/>
            <w:shd w:val="clear" w:color="auto" w:fill="D9E2F3" w:themeFill="accent1" w:themeFillTint="33"/>
          </w:tcPr>
          <w:p w14:paraId="44B4C98C" w14:textId="72ED6FF3"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E12D7B">
              <w:rPr>
                <w:rFonts w:ascii="Times New Roman" w:eastAsia="Times New Roman" w:hAnsi="Times New Roman" w:cs="Times New Roman"/>
                <w:sz w:val="20"/>
                <w:szCs w:val="20"/>
              </w:rPr>
              <w:t>-0.0</w:t>
            </w:r>
            <w:r>
              <w:rPr>
                <w:rFonts w:ascii="Times New Roman" w:eastAsia="Times New Roman" w:hAnsi="Times New Roman" w:cs="Times New Roman"/>
                <w:sz w:val="20"/>
                <w:szCs w:val="20"/>
              </w:rPr>
              <w:t>1 (</w:t>
            </w:r>
            <w:r w:rsidRPr="00E12D7B">
              <w:rPr>
                <w:rFonts w:ascii="Times New Roman" w:eastAsia="Times New Roman" w:hAnsi="Times New Roman" w:cs="Times New Roman"/>
                <w:sz w:val="20"/>
                <w:szCs w:val="20"/>
              </w:rPr>
              <w:t>-0.0</w:t>
            </w:r>
            <w:r>
              <w:rPr>
                <w:rFonts w:ascii="Times New Roman" w:eastAsia="Times New Roman" w:hAnsi="Times New Roman" w:cs="Times New Roman"/>
                <w:sz w:val="20"/>
                <w:szCs w:val="20"/>
              </w:rPr>
              <w:t xml:space="preserve">3; </w:t>
            </w:r>
            <w:r w:rsidRPr="00535B77">
              <w:rPr>
                <w:rFonts w:ascii="Times New Roman" w:eastAsia="Times New Roman" w:hAnsi="Times New Roman" w:cs="Times New Roman"/>
                <w:sz w:val="20"/>
                <w:szCs w:val="20"/>
              </w:rPr>
              <w:t>0.0</w:t>
            </w:r>
            <w:r>
              <w:rPr>
                <w:rFonts w:ascii="Times New Roman" w:eastAsia="Times New Roman" w:hAnsi="Times New Roman" w:cs="Times New Roman"/>
                <w:sz w:val="20"/>
                <w:szCs w:val="20"/>
              </w:rPr>
              <w:t>2)</w:t>
            </w:r>
          </w:p>
        </w:tc>
        <w:tc>
          <w:tcPr>
            <w:tcW w:w="1347" w:type="dxa"/>
            <w:shd w:val="clear" w:color="auto" w:fill="D9E2F3" w:themeFill="accent1" w:themeFillTint="33"/>
          </w:tcPr>
          <w:p w14:paraId="66A4DD38" w14:textId="33B0A5CD"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AE36C7">
              <w:rPr>
                <w:rFonts w:ascii="Times New Roman" w:eastAsia="Times New Roman" w:hAnsi="Times New Roman" w:cs="Times New Roman"/>
                <w:sz w:val="20"/>
                <w:szCs w:val="20"/>
              </w:rPr>
              <w:t>0.6963</w:t>
            </w:r>
          </w:p>
        </w:tc>
        <w:tc>
          <w:tcPr>
            <w:tcW w:w="1353" w:type="dxa"/>
            <w:shd w:val="clear" w:color="auto" w:fill="D9E2F3" w:themeFill="accent1" w:themeFillTint="33"/>
          </w:tcPr>
          <w:p w14:paraId="5DC7939F" w14:textId="32760430"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4C771247" w14:textId="3CBECB52"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F1CF5">
              <w:rPr>
                <w:rFonts w:ascii="Times New Roman" w:eastAsia="Times New Roman" w:hAnsi="Times New Roman" w:cs="Times New Roman"/>
                <w:sz w:val="20"/>
                <w:szCs w:val="20"/>
              </w:rPr>
              <w:t>95.44</w:t>
            </w:r>
          </w:p>
        </w:tc>
        <w:tc>
          <w:tcPr>
            <w:tcW w:w="895" w:type="dxa"/>
            <w:shd w:val="clear" w:color="auto" w:fill="D9E2F3" w:themeFill="accent1" w:themeFillTint="33"/>
          </w:tcPr>
          <w:p w14:paraId="0F050DA1"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1AB40BD8"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D9D9D9" w:themeFill="background1" w:themeFillShade="D9"/>
          </w:tcPr>
          <w:p w14:paraId="29493C53" w14:textId="64D8D020" w:rsidR="00A90839" w:rsidRDefault="00A90839" w:rsidP="00B97DB5">
            <w:pPr>
              <w:rPr>
                <w:rFonts w:ascii="Times New Roman" w:eastAsia="Times New Roman" w:hAnsi="Times New Roman" w:cs="Times New Roman"/>
                <w:sz w:val="20"/>
                <w:szCs w:val="20"/>
              </w:rPr>
            </w:pPr>
            <w:r>
              <w:rPr>
                <w:rFonts w:ascii="Times New Roman" w:eastAsia="Times New Roman" w:hAnsi="Times New Roman" w:cs="Times New Roman"/>
                <w:sz w:val="20"/>
                <w:szCs w:val="20"/>
              </w:rPr>
              <w:t>Insulin (µU/ml)</w:t>
            </w:r>
          </w:p>
        </w:tc>
        <w:tc>
          <w:tcPr>
            <w:tcW w:w="1166" w:type="dxa"/>
            <w:shd w:val="clear" w:color="auto" w:fill="FFFFFF" w:themeFill="background1"/>
          </w:tcPr>
          <w:p w14:paraId="799C01FB"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Age</w:t>
            </w:r>
          </w:p>
        </w:tc>
        <w:tc>
          <w:tcPr>
            <w:tcW w:w="993" w:type="dxa"/>
          </w:tcPr>
          <w:p w14:paraId="71050579" w14:textId="5563D305"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811" w:type="dxa"/>
          </w:tcPr>
          <w:p w14:paraId="68AFE692" w14:textId="0AB7971A"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2,480</w:t>
            </w:r>
          </w:p>
        </w:tc>
        <w:tc>
          <w:tcPr>
            <w:tcW w:w="2341" w:type="dxa"/>
          </w:tcPr>
          <w:p w14:paraId="3F2D535E" w14:textId="5643B773"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D32579">
              <w:rPr>
                <w:rFonts w:ascii="Times New Roman" w:eastAsia="Times New Roman" w:hAnsi="Times New Roman" w:cs="Times New Roman"/>
                <w:sz w:val="20"/>
                <w:szCs w:val="20"/>
              </w:rPr>
              <w:t>-4.96</w:t>
            </w:r>
            <w:r>
              <w:rPr>
                <w:rFonts w:ascii="Times New Roman" w:eastAsia="Times New Roman" w:hAnsi="Times New Roman" w:cs="Times New Roman"/>
                <w:sz w:val="20"/>
                <w:szCs w:val="20"/>
              </w:rPr>
              <w:t xml:space="preserve"> (</w:t>
            </w:r>
            <w:r w:rsidRPr="00D32579">
              <w:rPr>
                <w:rFonts w:ascii="Times New Roman" w:eastAsia="Times New Roman" w:hAnsi="Times New Roman" w:cs="Times New Roman"/>
                <w:sz w:val="20"/>
                <w:szCs w:val="20"/>
              </w:rPr>
              <w:t>-10.47</w:t>
            </w:r>
            <w:r>
              <w:rPr>
                <w:rFonts w:ascii="Times New Roman" w:eastAsia="Times New Roman" w:hAnsi="Times New Roman" w:cs="Times New Roman"/>
                <w:sz w:val="20"/>
                <w:szCs w:val="20"/>
              </w:rPr>
              <w:t xml:space="preserve">; </w:t>
            </w:r>
            <w:r w:rsidRPr="00D32579">
              <w:rPr>
                <w:rFonts w:ascii="Times New Roman" w:eastAsia="Times New Roman" w:hAnsi="Times New Roman" w:cs="Times New Roman"/>
                <w:sz w:val="20"/>
                <w:szCs w:val="20"/>
              </w:rPr>
              <w:t>0.55</w:t>
            </w:r>
            <w:r>
              <w:rPr>
                <w:rFonts w:ascii="Times New Roman" w:eastAsia="Times New Roman" w:hAnsi="Times New Roman" w:cs="Times New Roman"/>
                <w:sz w:val="20"/>
                <w:szCs w:val="20"/>
              </w:rPr>
              <w:t>)</w:t>
            </w:r>
          </w:p>
        </w:tc>
        <w:tc>
          <w:tcPr>
            <w:tcW w:w="2429" w:type="dxa"/>
          </w:tcPr>
          <w:p w14:paraId="48E41F4E" w14:textId="6F3DFC8E" w:rsidR="00A90839" w:rsidRPr="00737CC2"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737CC2">
              <w:rPr>
                <w:rFonts w:ascii="Times New Roman" w:eastAsia="Times New Roman" w:hAnsi="Times New Roman" w:cs="Times New Roman"/>
                <w:sz w:val="20"/>
                <w:szCs w:val="20"/>
              </w:rPr>
              <w:t>0.06 (-0.03; 0.16)</w:t>
            </w:r>
          </w:p>
        </w:tc>
        <w:tc>
          <w:tcPr>
            <w:tcW w:w="1347" w:type="dxa"/>
          </w:tcPr>
          <w:p w14:paraId="7291CB39" w14:textId="53E2FFFD" w:rsidR="00A90839" w:rsidRPr="00737CC2"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737CC2">
              <w:rPr>
                <w:rFonts w:ascii="Times New Roman" w:eastAsia="Times New Roman" w:hAnsi="Times New Roman" w:cs="Times New Roman"/>
                <w:sz w:val="20"/>
                <w:szCs w:val="20"/>
              </w:rPr>
              <w:t>0.2143</w:t>
            </w:r>
          </w:p>
        </w:tc>
        <w:tc>
          <w:tcPr>
            <w:tcW w:w="1353" w:type="dxa"/>
          </w:tcPr>
          <w:p w14:paraId="5E2E4C61" w14:textId="385202E2"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2B7328">
              <w:rPr>
                <w:rFonts w:ascii="Times New Roman" w:eastAsia="Times New Roman" w:hAnsi="Times New Roman" w:cs="Times New Roman"/>
                <w:sz w:val="20"/>
                <w:szCs w:val="20"/>
              </w:rPr>
              <w:t>4.12</w:t>
            </w:r>
          </w:p>
        </w:tc>
        <w:tc>
          <w:tcPr>
            <w:tcW w:w="810" w:type="dxa"/>
            <w:gridSpan w:val="2"/>
          </w:tcPr>
          <w:p w14:paraId="31351D0D" w14:textId="0E0D714C"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2B7328">
              <w:rPr>
                <w:rFonts w:ascii="Times New Roman" w:eastAsia="Times New Roman" w:hAnsi="Times New Roman" w:cs="Times New Roman"/>
                <w:sz w:val="20"/>
                <w:szCs w:val="20"/>
              </w:rPr>
              <w:t>83.69</w:t>
            </w:r>
          </w:p>
        </w:tc>
        <w:tc>
          <w:tcPr>
            <w:tcW w:w="895" w:type="dxa"/>
          </w:tcPr>
          <w:p w14:paraId="5DA84035"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4D3FCCE2"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0837281A"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470A1DA0"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BMI</w:t>
            </w:r>
          </w:p>
        </w:tc>
        <w:tc>
          <w:tcPr>
            <w:tcW w:w="993" w:type="dxa"/>
          </w:tcPr>
          <w:p w14:paraId="6A1F5518" w14:textId="721EE5F0"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811" w:type="dxa"/>
          </w:tcPr>
          <w:p w14:paraId="4F106EFB" w14:textId="26682851"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2,480</w:t>
            </w:r>
          </w:p>
        </w:tc>
        <w:tc>
          <w:tcPr>
            <w:tcW w:w="2341" w:type="dxa"/>
          </w:tcPr>
          <w:p w14:paraId="447E774A" w14:textId="1BDF6DC2"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9E2969">
              <w:rPr>
                <w:rFonts w:ascii="Times New Roman" w:eastAsia="Times New Roman" w:hAnsi="Times New Roman" w:cs="Times New Roman"/>
                <w:sz w:val="20"/>
                <w:szCs w:val="20"/>
              </w:rPr>
              <w:t>12.75</w:t>
            </w:r>
            <w:r>
              <w:rPr>
                <w:rFonts w:ascii="Times New Roman" w:eastAsia="Times New Roman" w:hAnsi="Times New Roman" w:cs="Times New Roman"/>
                <w:sz w:val="20"/>
                <w:szCs w:val="20"/>
              </w:rPr>
              <w:t xml:space="preserve"> (</w:t>
            </w:r>
            <w:r w:rsidRPr="009E2969">
              <w:rPr>
                <w:rFonts w:ascii="Times New Roman" w:eastAsia="Times New Roman" w:hAnsi="Times New Roman" w:cs="Times New Roman"/>
                <w:sz w:val="20"/>
                <w:szCs w:val="20"/>
              </w:rPr>
              <w:t>3.60</w:t>
            </w:r>
            <w:r>
              <w:rPr>
                <w:rFonts w:ascii="Times New Roman" w:eastAsia="Times New Roman" w:hAnsi="Times New Roman" w:cs="Times New Roman"/>
                <w:sz w:val="20"/>
                <w:szCs w:val="20"/>
              </w:rPr>
              <w:t xml:space="preserve">; </w:t>
            </w:r>
            <w:r w:rsidRPr="009E2969">
              <w:rPr>
                <w:rFonts w:ascii="Times New Roman" w:eastAsia="Times New Roman" w:hAnsi="Times New Roman" w:cs="Times New Roman"/>
                <w:sz w:val="20"/>
                <w:szCs w:val="20"/>
              </w:rPr>
              <w:t>21.9</w:t>
            </w:r>
            <w:r>
              <w:rPr>
                <w:rFonts w:ascii="Times New Roman" w:eastAsia="Times New Roman" w:hAnsi="Times New Roman" w:cs="Times New Roman"/>
                <w:sz w:val="20"/>
                <w:szCs w:val="20"/>
              </w:rPr>
              <w:t>1)</w:t>
            </w:r>
          </w:p>
        </w:tc>
        <w:tc>
          <w:tcPr>
            <w:tcW w:w="2429" w:type="dxa"/>
          </w:tcPr>
          <w:p w14:paraId="42B31F22" w14:textId="3AC45938" w:rsidR="00A90839" w:rsidRPr="00C63E8B"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C63E8B">
              <w:rPr>
                <w:rFonts w:ascii="Times New Roman" w:eastAsia="Times New Roman" w:hAnsi="Times New Roman" w:cs="Times New Roman"/>
                <w:b/>
                <w:bCs/>
                <w:sz w:val="20"/>
                <w:szCs w:val="20"/>
              </w:rPr>
              <w:t>-0.48 (0.79; -0.17)</w:t>
            </w:r>
          </w:p>
        </w:tc>
        <w:tc>
          <w:tcPr>
            <w:tcW w:w="1347" w:type="dxa"/>
          </w:tcPr>
          <w:p w14:paraId="6CBE3F9A" w14:textId="0CC59DC3" w:rsidR="00A90839" w:rsidRPr="00C63E8B"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C63E8B">
              <w:rPr>
                <w:rFonts w:ascii="Times New Roman" w:eastAsia="Times New Roman" w:hAnsi="Times New Roman" w:cs="Times New Roman"/>
                <w:b/>
                <w:bCs/>
                <w:sz w:val="20"/>
                <w:szCs w:val="20"/>
              </w:rPr>
              <w:t>0.0022</w:t>
            </w:r>
          </w:p>
        </w:tc>
        <w:tc>
          <w:tcPr>
            <w:tcW w:w="1353" w:type="dxa"/>
          </w:tcPr>
          <w:p w14:paraId="599AF87F" w14:textId="19F6A759"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63E8B">
              <w:rPr>
                <w:rFonts w:ascii="Times New Roman" w:eastAsia="Times New Roman" w:hAnsi="Times New Roman" w:cs="Times New Roman"/>
                <w:sz w:val="20"/>
                <w:szCs w:val="20"/>
              </w:rPr>
              <w:t>15.13</w:t>
            </w:r>
          </w:p>
        </w:tc>
        <w:tc>
          <w:tcPr>
            <w:tcW w:w="810" w:type="dxa"/>
            <w:gridSpan w:val="2"/>
          </w:tcPr>
          <w:p w14:paraId="293BFC3A" w14:textId="196F75BE"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C63E8B">
              <w:rPr>
                <w:rFonts w:ascii="Times New Roman" w:eastAsia="Times New Roman" w:hAnsi="Times New Roman" w:cs="Times New Roman"/>
                <w:sz w:val="20"/>
                <w:szCs w:val="20"/>
              </w:rPr>
              <w:t>79.88</w:t>
            </w:r>
          </w:p>
        </w:tc>
        <w:tc>
          <w:tcPr>
            <w:tcW w:w="895" w:type="dxa"/>
          </w:tcPr>
          <w:p w14:paraId="7D47F99C"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641BFB75"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183F2E5A"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4AE1DED4" w14:textId="291F062A"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Insulin</w:t>
            </w:r>
          </w:p>
        </w:tc>
        <w:tc>
          <w:tcPr>
            <w:tcW w:w="993" w:type="dxa"/>
          </w:tcPr>
          <w:p w14:paraId="562E4454" w14:textId="19C8A333"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p>
        </w:tc>
        <w:tc>
          <w:tcPr>
            <w:tcW w:w="811" w:type="dxa"/>
          </w:tcPr>
          <w:p w14:paraId="48003823" w14:textId="388FD655" w:rsidR="00A90839" w:rsidRPr="006935D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935D9">
              <w:rPr>
                <w:rFonts w:ascii="Times New Roman" w:eastAsia="Times New Roman" w:hAnsi="Times New Roman" w:cs="Times New Roman"/>
                <w:sz w:val="20"/>
                <w:szCs w:val="20"/>
              </w:rPr>
              <w:t>2,392</w:t>
            </w:r>
          </w:p>
        </w:tc>
        <w:tc>
          <w:tcPr>
            <w:tcW w:w="2341" w:type="dxa"/>
          </w:tcPr>
          <w:p w14:paraId="4B766697" w14:textId="230C4852" w:rsidR="00A90839" w:rsidRPr="009E296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FE61AA">
              <w:rPr>
                <w:rFonts w:ascii="Times New Roman" w:eastAsia="Times New Roman" w:hAnsi="Times New Roman" w:cs="Times New Roman"/>
                <w:sz w:val="20"/>
                <w:szCs w:val="20"/>
              </w:rPr>
              <w:t>-1.19</w:t>
            </w:r>
            <w:r>
              <w:rPr>
                <w:rFonts w:ascii="Times New Roman" w:eastAsia="Times New Roman" w:hAnsi="Times New Roman" w:cs="Times New Roman"/>
                <w:sz w:val="20"/>
                <w:szCs w:val="20"/>
              </w:rPr>
              <w:t xml:space="preserve"> (</w:t>
            </w:r>
            <w:r w:rsidRPr="00FE61AA">
              <w:rPr>
                <w:rFonts w:ascii="Times New Roman" w:eastAsia="Times New Roman" w:hAnsi="Times New Roman" w:cs="Times New Roman"/>
                <w:sz w:val="20"/>
                <w:szCs w:val="20"/>
              </w:rPr>
              <w:t>-2.46</w:t>
            </w:r>
            <w:r>
              <w:rPr>
                <w:rFonts w:ascii="Times New Roman" w:eastAsia="Times New Roman" w:hAnsi="Times New Roman" w:cs="Times New Roman"/>
                <w:sz w:val="20"/>
                <w:szCs w:val="20"/>
              </w:rPr>
              <w:t xml:space="preserve">; </w:t>
            </w:r>
            <w:r w:rsidRPr="00FE61AA">
              <w:rPr>
                <w:rFonts w:ascii="Times New Roman" w:eastAsia="Times New Roman" w:hAnsi="Times New Roman" w:cs="Times New Roman"/>
                <w:sz w:val="20"/>
                <w:szCs w:val="20"/>
              </w:rPr>
              <w:t>0.07</w:t>
            </w:r>
            <w:r>
              <w:rPr>
                <w:rFonts w:ascii="Times New Roman" w:eastAsia="Times New Roman" w:hAnsi="Times New Roman" w:cs="Times New Roman"/>
                <w:sz w:val="20"/>
                <w:szCs w:val="20"/>
              </w:rPr>
              <w:t>)</w:t>
            </w:r>
          </w:p>
        </w:tc>
        <w:tc>
          <w:tcPr>
            <w:tcW w:w="2429" w:type="dxa"/>
          </w:tcPr>
          <w:p w14:paraId="184A7A76" w14:textId="082467FF" w:rsidR="00A90839" w:rsidRPr="000566A0"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566A0">
              <w:rPr>
                <w:rFonts w:ascii="Times New Roman" w:eastAsia="Times New Roman" w:hAnsi="Times New Roman" w:cs="Times New Roman"/>
                <w:sz w:val="20"/>
                <w:szCs w:val="20"/>
              </w:rPr>
              <w:t>-0.02 (-0.12; 0.07)</w:t>
            </w:r>
          </w:p>
        </w:tc>
        <w:tc>
          <w:tcPr>
            <w:tcW w:w="1347" w:type="dxa"/>
          </w:tcPr>
          <w:p w14:paraId="7C48BEE8" w14:textId="50140C48" w:rsidR="00A90839" w:rsidRPr="000566A0"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566A0">
              <w:rPr>
                <w:rFonts w:ascii="Times New Roman" w:eastAsia="Times New Roman" w:hAnsi="Times New Roman" w:cs="Times New Roman"/>
                <w:sz w:val="20"/>
                <w:szCs w:val="20"/>
              </w:rPr>
              <w:t>0.6017</w:t>
            </w:r>
          </w:p>
        </w:tc>
        <w:tc>
          <w:tcPr>
            <w:tcW w:w="1353" w:type="dxa"/>
          </w:tcPr>
          <w:p w14:paraId="0DD0B369" w14:textId="62A54651" w:rsidR="00A90839" w:rsidRPr="00C63E8B"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tcPr>
          <w:p w14:paraId="1A7F70A1" w14:textId="0D1E6085" w:rsidR="00A90839" w:rsidRPr="00C63E8B"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566A0">
              <w:rPr>
                <w:rFonts w:ascii="Times New Roman" w:eastAsia="Times New Roman" w:hAnsi="Times New Roman" w:cs="Times New Roman"/>
                <w:sz w:val="20"/>
                <w:szCs w:val="20"/>
              </w:rPr>
              <w:t>85.44</w:t>
            </w:r>
          </w:p>
        </w:tc>
        <w:tc>
          <w:tcPr>
            <w:tcW w:w="895" w:type="dxa"/>
          </w:tcPr>
          <w:p w14:paraId="26108DC8" w14:textId="4594269F"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755AFF59"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42E07009"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3736EFD9"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Intervention Duration </w:t>
            </w:r>
          </w:p>
        </w:tc>
        <w:tc>
          <w:tcPr>
            <w:tcW w:w="993" w:type="dxa"/>
          </w:tcPr>
          <w:p w14:paraId="519C24DC" w14:textId="5C2429AF"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811" w:type="dxa"/>
          </w:tcPr>
          <w:p w14:paraId="6E3EDB45" w14:textId="72601568"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2,480</w:t>
            </w:r>
          </w:p>
        </w:tc>
        <w:tc>
          <w:tcPr>
            <w:tcW w:w="2341" w:type="dxa"/>
          </w:tcPr>
          <w:p w14:paraId="7C6ECD9D" w14:textId="440269E0"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93212">
              <w:rPr>
                <w:rFonts w:ascii="Times New Roman" w:eastAsia="Times New Roman" w:hAnsi="Times New Roman" w:cs="Times New Roman"/>
                <w:sz w:val="20"/>
                <w:szCs w:val="20"/>
              </w:rPr>
              <w:t>-0.</w:t>
            </w:r>
            <w:r>
              <w:rPr>
                <w:rFonts w:ascii="Times New Roman" w:eastAsia="Times New Roman" w:hAnsi="Times New Roman" w:cs="Times New Roman"/>
                <w:sz w:val="20"/>
                <w:szCs w:val="20"/>
              </w:rPr>
              <w:t>50 (</w:t>
            </w:r>
            <w:r w:rsidRPr="001942D5">
              <w:rPr>
                <w:rFonts w:ascii="Times New Roman" w:eastAsia="Times New Roman" w:hAnsi="Times New Roman" w:cs="Times New Roman"/>
                <w:sz w:val="20"/>
                <w:szCs w:val="20"/>
              </w:rPr>
              <w:t>-2.00</w:t>
            </w:r>
            <w:r>
              <w:rPr>
                <w:rFonts w:ascii="Times New Roman" w:eastAsia="Times New Roman" w:hAnsi="Times New Roman" w:cs="Times New Roman"/>
                <w:sz w:val="20"/>
                <w:szCs w:val="20"/>
              </w:rPr>
              <w:t xml:space="preserve">; </w:t>
            </w:r>
            <w:r w:rsidRPr="001942D5">
              <w:rPr>
                <w:rFonts w:ascii="Times New Roman" w:eastAsia="Times New Roman" w:hAnsi="Times New Roman" w:cs="Times New Roman"/>
                <w:sz w:val="20"/>
                <w:szCs w:val="20"/>
              </w:rPr>
              <w:t>1.0</w:t>
            </w:r>
            <w:r>
              <w:rPr>
                <w:rFonts w:ascii="Times New Roman" w:eastAsia="Times New Roman" w:hAnsi="Times New Roman" w:cs="Times New Roman"/>
                <w:sz w:val="20"/>
                <w:szCs w:val="20"/>
              </w:rPr>
              <w:t>1)</w:t>
            </w:r>
          </w:p>
        </w:tc>
        <w:tc>
          <w:tcPr>
            <w:tcW w:w="2429" w:type="dxa"/>
          </w:tcPr>
          <w:p w14:paraId="41D30170" w14:textId="11BF2FC4"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942D5">
              <w:rPr>
                <w:rFonts w:ascii="Times New Roman" w:eastAsia="Times New Roman" w:hAnsi="Times New Roman" w:cs="Times New Roman"/>
                <w:sz w:val="20"/>
                <w:szCs w:val="20"/>
              </w:rPr>
              <w:t>-0.11</w:t>
            </w:r>
            <w:r>
              <w:rPr>
                <w:rFonts w:ascii="Times New Roman" w:eastAsia="Times New Roman" w:hAnsi="Times New Roman" w:cs="Times New Roman"/>
                <w:sz w:val="20"/>
                <w:szCs w:val="20"/>
              </w:rPr>
              <w:t xml:space="preserve"> (</w:t>
            </w:r>
            <w:r w:rsidRPr="001942D5">
              <w:rPr>
                <w:rFonts w:ascii="Times New Roman" w:eastAsia="Times New Roman" w:hAnsi="Times New Roman" w:cs="Times New Roman"/>
                <w:sz w:val="20"/>
                <w:szCs w:val="20"/>
              </w:rPr>
              <w:t>-0.2</w:t>
            </w:r>
            <w:r>
              <w:rPr>
                <w:rFonts w:ascii="Times New Roman" w:eastAsia="Times New Roman" w:hAnsi="Times New Roman" w:cs="Times New Roman"/>
                <w:sz w:val="20"/>
                <w:szCs w:val="20"/>
              </w:rPr>
              <w:t xml:space="preserve">7; </w:t>
            </w:r>
            <w:r w:rsidRPr="001942D5">
              <w:rPr>
                <w:rFonts w:ascii="Times New Roman" w:eastAsia="Times New Roman" w:hAnsi="Times New Roman" w:cs="Times New Roman"/>
                <w:sz w:val="20"/>
                <w:szCs w:val="20"/>
              </w:rPr>
              <w:t>0.04</w:t>
            </w:r>
            <w:r>
              <w:rPr>
                <w:rFonts w:ascii="Times New Roman" w:eastAsia="Times New Roman" w:hAnsi="Times New Roman" w:cs="Times New Roman"/>
                <w:sz w:val="20"/>
                <w:szCs w:val="20"/>
              </w:rPr>
              <w:t>)</w:t>
            </w:r>
          </w:p>
        </w:tc>
        <w:tc>
          <w:tcPr>
            <w:tcW w:w="1347" w:type="dxa"/>
          </w:tcPr>
          <w:p w14:paraId="56EAF3D6" w14:textId="7E3EED8B"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942D5">
              <w:rPr>
                <w:rFonts w:ascii="Times New Roman" w:eastAsia="Times New Roman" w:hAnsi="Times New Roman" w:cs="Times New Roman"/>
                <w:sz w:val="20"/>
                <w:szCs w:val="20"/>
              </w:rPr>
              <w:t>0.1500</w:t>
            </w:r>
          </w:p>
        </w:tc>
        <w:tc>
          <w:tcPr>
            <w:tcW w:w="1353" w:type="dxa"/>
          </w:tcPr>
          <w:p w14:paraId="0E9943E5" w14:textId="78610CB4"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tcPr>
          <w:p w14:paraId="28CE51EE" w14:textId="3E314A6E"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942D5">
              <w:rPr>
                <w:rFonts w:ascii="Times New Roman" w:eastAsia="Times New Roman" w:hAnsi="Times New Roman" w:cs="Times New Roman"/>
                <w:sz w:val="20"/>
                <w:szCs w:val="20"/>
              </w:rPr>
              <w:t>84.91</w:t>
            </w:r>
          </w:p>
        </w:tc>
        <w:tc>
          <w:tcPr>
            <w:tcW w:w="895" w:type="dxa"/>
          </w:tcPr>
          <w:p w14:paraId="0E29D19C"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A90839" w14:paraId="14A6F147"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3F02E395"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6CE1947B"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Year</w:t>
            </w:r>
          </w:p>
        </w:tc>
        <w:tc>
          <w:tcPr>
            <w:tcW w:w="993" w:type="dxa"/>
          </w:tcPr>
          <w:p w14:paraId="250A2C38" w14:textId="5EAB5B19"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811" w:type="dxa"/>
          </w:tcPr>
          <w:p w14:paraId="124F2BCD" w14:textId="6ED2AA2B"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2,480</w:t>
            </w:r>
          </w:p>
        </w:tc>
        <w:tc>
          <w:tcPr>
            <w:tcW w:w="2341" w:type="dxa"/>
          </w:tcPr>
          <w:p w14:paraId="02500795" w14:textId="5203D03D"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806429">
              <w:rPr>
                <w:rFonts w:ascii="Times New Roman" w:eastAsia="Times New Roman" w:hAnsi="Times New Roman" w:cs="Times New Roman"/>
                <w:sz w:val="20"/>
                <w:szCs w:val="20"/>
              </w:rPr>
              <w:t>52.13</w:t>
            </w:r>
            <w:r>
              <w:rPr>
                <w:rFonts w:ascii="Times New Roman" w:eastAsia="Times New Roman" w:hAnsi="Times New Roman" w:cs="Times New Roman"/>
                <w:sz w:val="20"/>
                <w:szCs w:val="20"/>
              </w:rPr>
              <w:t xml:space="preserve"> (</w:t>
            </w:r>
            <w:r w:rsidRPr="00AC1E99">
              <w:rPr>
                <w:rFonts w:ascii="Times New Roman" w:eastAsia="Times New Roman" w:hAnsi="Times New Roman" w:cs="Times New Roman"/>
                <w:sz w:val="20"/>
                <w:szCs w:val="20"/>
              </w:rPr>
              <w:t>-334.50</w:t>
            </w:r>
            <w:r>
              <w:rPr>
                <w:rFonts w:ascii="Times New Roman" w:eastAsia="Times New Roman" w:hAnsi="Times New Roman" w:cs="Times New Roman"/>
                <w:sz w:val="20"/>
                <w:szCs w:val="20"/>
              </w:rPr>
              <w:t xml:space="preserve">; </w:t>
            </w:r>
            <w:r w:rsidRPr="00806429">
              <w:rPr>
                <w:rFonts w:ascii="Times New Roman" w:eastAsia="Times New Roman" w:hAnsi="Times New Roman" w:cs="Times New Roman"/>
                <w:sz w:val="20"/>
                <w:szCs w:val="20"/>
              </w:rPr>
              <w:t>438.76</w:t>
            </w:r>
            <w:r>
              <w:rPr>
                <w:rFonts w:ascii="Times New Roman" w:eastAsia="Times New Roman" w:hAnsi="Times New Roman" w:cs="Times New Roman"/>
                <w:sz w:val="20"/>
                <w:szCs w:val="20"/>
              </w:rPr>
              <w:t>)</w:t>
            </w:r>
          </w:p>
        </w:tc>
        <w:tc>
          <w:tcPr>
            <w:tcW w:w="2429" w:type="dxa"/>
          </w:tcPr>
          <w:p w14:paraId="533F83C5" w14:textId="37D8EA18"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E80F06">
              <w:rPr>
                <w:rFonts w:ascii="Times New Roman" w:eastAsia="Times New Roman" w:hAnsi="Times New Roman" w:cs="Times New Roman"/>
                <w:sz w:val="20"/>
                <w:szCs w:val="20"/>
              </w:rPr>
              <w:t>-0.0</w:t>
            </w:r>
            <w:r>
              <w:rPr>
                <w:rFonts w:ascii="Times New Roman" w:eastAsia="Times New Roman" w:hAnsi="Times New Roman" w:cs="Times New Roman"/>
                <w:sz w:val="20"/>
                <w:szCs w:val="20"/>
              </w:rPr>
              <w:t>3 (</w:t>
            </w:r>
            <w:r w:rsidRPr="00E80F06">
              <w:rPr>
                <w:rFonts w:ascii="Times New Roman" w:eastAsia="Times New Roman" w:hAnsi="Times New Roman" w:cs="Times New Roman"/>
                <w:sz w:val="20"/>
                <w:szCs w:val="20"/>
              </w:rPr>
              <w:t>-0.2</w:t>
            </w:r>
            <w:r>
              <w:rPr>
                <w:rFonts w:ascii="Times New Roman" w:eastAsia="Times New Roman" w:hAnsi="Times New Roman" w:cs="Times New Roman"/>
                <w:sz w:val="20"/>
                <w:szCs w:val="20"/>
              </w:rPr>
              <w:t xml:space="preserve">2; </w:t>
            </w:r>
            <w:r w:rsidRPr="00E80F06">
              <w:rPr>
                <w:rFonts w:ascii="Times New Roman" w:eastAsia="Times New Roman" w:hAnsi="Times New Roman" w:cs="Times New Roman"/>
                <w:sz w:val="20"/>
                <w:szCs w:val="20"/>
              </w:rPr>
              <w:t>0.1</w:t>
            </w:r>
            <w:r>
              <w:rPr>
                <w:rFonts w:ascii="Times New Roman" w:eastAsia="Times New Roman" w:hAnsi="Times New Roman" w:cs="Times New Roman"/>
                <w:sz w:val="20"/>
                <w:szCs w:val="20"/>
              </w:rPr>
              <w:t>7)</w:t>
            </w:r>
          </w:p>
        </w:tc>
        <w:tc>
          <w:tcPr>
            <w:tcW w:w="1347" w:type="dxa"/>
          </w:tcPr>
          <w:p w14:paraId="46AEEF97" w14:textId="45C6088E"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B2379">
              <w:rPr>
                <w:rFonts w:ascii="Times New Roman" w:eastAsia="Times New Roman" w:hAnsi="Times New Roman" w:cs="Times New Roman"/>
                <w:sz w:val="20"/>
                <w:szCs w:val="20"/>
              </w:rPr>
              <w:t>0.7857</w:t>
            </w:r>
          </w:p>
        </w:tc>
        <w:tc>
          <w:tcPr>
            <w:tcW w:w="1353" w:type="dxa"/>
          </w:tcPr>
          <w:p w14:paraId="402A483A" w14:textId="737C9BCF"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tcPr>
          <w:p w14:paraId="3121A0C7" w14:textId="790CEEC4"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B2379">
              <w:rPr>
                <w:rFonts w:ascii="Times New Roman" w:eastAsia="Times New Roman" w:hAnsi="Times New Roman" w:cs="Times New Roman"/>
                <w:sz w:val="20"/>
                <w:szCs w:val="20"/>
              </w:rPr>
              <w:t>82.65</w:t>
            </w:r>
          </w:p>
        </w:tc>
        <w:tc>
          <w:tcPr>
            <w:tcW w:w="895" w:type="dxa"/>
          </w:tcPr>
          <w:p w14:paraId="7221C59C"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2536A3B6"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D9D9D9" w:themeFill="background1" w:themeFillShade="D9"/>
          </w:tcPr>
          <w:p w14:paraId="6382F128" w14:textId="541FBE1E" w:rsidR="00A90839" w:rsidRDefault="00A90839" w:rsidP="00B97DB5">
            <w:pPr>
              <w:rPr>
                <w:rFonts w:ascii="Times New Roman" w:eastAsia="Times New Roman" w:hAnsi="Times New Roman" w:cs="Times New Roman"/>
                <w:sz w:val="20"/>
                <w:szCs w:val="20"/>
              </w:rPr>
            </w:pPr>
            <w:r>
              <w:rPr>
                <w:rFonts w:ascii="Times New Roman" w:eastAsia="Times New Roman" w:hAnsi="Times New Roman" w:cs="Times New Roman"/>
                <w:sz w:val="20"/>
                <w:szCs w:val="20"/>
              </w:rPr>
              <w:t>HOMA-IR</w:t>
            </w:r>
          </w:p>
        </w:tc>
        <w:tc>
          <w:tcPr>
            <w:tcW w:w="1166" w:type="dxa"/>
            <w:shd w:val="clear" w:color="auto" w:fill="D9E2F3" w:themeFill="accent1" w:themeFillTint="33"/>
          </w:tcPr>
          <w:p w14:paraId="316A667F"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Age</w:t>
            </w:r>
          </w:p>
        </w:tc>
        <w:tc>
          <w:tcPr>
            <w:tcW w:w="993" w:type="dxa"/>
            <w:shd w:val="clear" w:color="auto" w:fill="D9E2F3" w:themeFill="accent1" w:themeFillTint="33"/>
          </w:tcPr>
          <w:p w14:paraId="59EADD3E" w14:textId="0295A512"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811" w:type="dxa"/>
            <w:shd w:val="clear" w:color="auto" w:fill="D9E2F3" w:themeFill="accent1" w:themeFillTint="33"/>
          </w:tcPr>
          <w:p w14:paraId="22367BD3" w14:textId="3C5C1F01"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2,255</w:t>
            </w:r>
          </w:p>
        </w:tc>
        <w:tc>
          <w:tcPr>
            <w:tcW w:w="2341" w:type="dxa"/>
            <w:shd w:val="clear" w:color="auto" w:fill="D9E2F3" w:themeFill="accent1" w:themeFillTint="33"/>
          </w:tcPr>
          <w:p w14:paraId="1F392180" w14:textId="69E87E27"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881504">
              <w:rPr>
                <w:rFonts w:ascii="Times New Roman" w:eastAsia="Times New Roman" w:hAnsi="Times New Roman" w:cs="Times New Roman"/>
                <w:sz w:val="20"/>
                <w:szCs w:val="20"/>
              </w:rPr>
              <w:t>-3.2</w:t>
            </w:r>
            <w:r>
              <w:rPr>
                <w:rFonts w:ascii="Times New Roman" w:eastAsia="Times New Roman" w:hAnsi="Times New Roman" w:cs="Times New Roman"/>
                <w:sz w:val="20"/>
                <w:szCs w:val="20"/>
              </w:rPr>
              <w:t>1 (</w:t>
            </w:r>
            <w:r w:rsidRPr="004D26A0">
              <w:rPr>
                <w:rFonts w:ascii="Times New Roman" w:eastAsia="Times New Roman" w:hAnsi="Times New Roman" w:cs="Times New Roman"/>
                <w:sz w:val="20"/>
                <w:szCs w:val="20"/>
              </w:rPr>
              <w:t>-7.</w:t>
            </w:r>
            <w:r>
              <w:rPr>
                <w:rFonts w:ascii="Times New Roman" w:eastAsia="Times New Roman" w:hAnsi="Times New Roman" w:cs="Times New Roman"/>
                <w:sz w:val="20"/>
                <w:szCs w:val="20"/>
              </w:rPr>
              <w:t xml:space="preserve">26; </w:t>
            </w:r>
            <w:r w:rsidRPr="004D26A0">
              <w:rPr>
                <w:rFonts w:ascii="Times New Roman" w:eastAsia="Times New Roman" w:hAnsi="Times New Roman" w:cs="Times New Roman"/>
                <w:sz w:val="20"/>
                <w:szCs w:val="20"/>
              </w:rPr>
              <w:t>0.8</w:t>
            </w:r>
            <w:r>
              <w:rPr>
                <w:rFonts w:ascii="Times New Roman" w:eastAsia="Times New Roman" w:hAnsi="Times New Roman" w:cs="Times New Roman"/>
                <w:sz w:val="20"/>
                <w:szCs w:val="20"/>
              </w:rPr>
              <w:t>5)</w:t>
            </w:r>
          </w:p>
        </w:tc>
        <w:tc>
          <w:tcPr>
            <w:tcW w:w="2429" w:type="dxa"/>
            <w:shd w:val="clear" w:color="auto" w:fill="D9E2F3" w:themeFill="accent1" w:themeFillTint="33"/>
          </w:tcPr>
          <w:p w14:paraId="6DC6E8CA" w14:textId="3D4453D5"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366FD">
              <w:rPr>
                <w:rFonts w:ascii="Times New Roman" w:eastAsia="Times New Roman" w:hAnsi="Times New Roman" w:cs="Times New Roman"/>
                <w:sz w:val="20"/>
                <w:szCs w:val="20"/>
              </w:rPr>
              <w:t>0.0</w:t>
            </w:r>
            <w:r>
              <w:rPr>
                <w:rFonts w:ascii="Times New Roman" w:eastAsia="Times New Roman" w:hAnsi="Times New Roman" w:cs="Times New Roman"/>
                <w:sz w:val="20"/>
                <w:szCs w:val="20"/>
              </w:rPr>
              <w:t>5 (</w:t>
            </w:r>
            <w:r w:rsidRPr="005366FD">
              <w:rPr>
                <w:rFonts w:ascii="Times New Roman" w:eastAsia="Times New Roman" w:hAnsi="Times New Roman" w:cs="Times New Roman"/>
                <w:sz w:val="20"/>
                <w:szCs w:val="20"/>
              </w:rPr>
              <w:t>-0.0</w:t>
            </w:r>
            <w:r>
              <w:rPr>
                <w:rFonts w:ascii="Times New Roman" w:eastAsia="Times New Roman" w:hAnsi="Times New Roman" w:cs="Times New Roman"/>
                <w:sz w:val="20"/>
                <w:szCs w:val="20"/>
              </w:rPr>
              <w:t xml:space="preserve">3; </w:t>
            </w:r>
            <w:r w:rsidRPr="005366FD">
              <w:rPr>
                <w:rFonts w:ascii="Times New Roman" w:eastAsia="Times New Roman" w:hAnsi="Times New Roman" w:cs="Times New Roman"/>
                <w:sz w:val="20"/>
                <w:szCs w:val="20"/>
              </w:rPr>
              <w:t>0.1</w:t>
            </w:r>
            <w:r>
              <w:rPr>
                <w:rFonts w:ascii="Times New Roman" w:eastAsia="Times New Roman" w:hAnsi="Times New Roman" w:cs="Times New Roman"/>
                <w:sz w:val="20"/>
                <w:szCs w:val="20"/>
              </w:rPr>
              <w:t>2)</w:t>
            </w:r>
          </w:p>
        </w:tc>
        <w:tc>
          <w:tcPr>
            <w:tcW w:w="1347" w:type="dxa"/>
            <w:shd w:val="clear" w:color="auto" w:fill="D9E2F3" w:themeFill="accent1" w:themeFillTint="33"/>
          </w:tcPr>
          <w:p w14:paraId="02DD7D8E" w14:textId="21543F72"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B4A36">
              <w:rPr>
                <w:rFonts w:ascii="Times New Roman" w:eastAsia="Times New Roman" w:hAnsi="Times New Roman" w:cs="Times New Roman"/>
                <w:sz w:val="20"/>
                <w:szCs w:val="20"/>
              </w:rPr>
              <w:t>0.2217</w:t>
            </w:r>
          </w:p>
        </w:tc>
        <w:tc>
          <w:tcPr>
            <w:tcW w:w="1353" w:type="dxa"/>
            <w:shd w:val="clear" w:color="auto" w:fill="D9E2F3" w:themeFill="accent1" w:themeFillTint="33"/>
          </w:tcPr>
          <w:p w14:paraId="062660EB" w14:textId="087AC35D"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0960D0EC" w14:textId="16F1D353"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5B4A36">
              <w:rPr>
                <w:rFonts w:ascii="Times New Roman" w:eastAsia="Times New Roman" w:hAnsi="Times New Roman" w:cs="Times New Roman"/>
                <w:sz w:val="20"/>
                <w:szCs w:val="20"/>
              </w:rPr>
              <w:t>97.64</w:t>
            </w:r>
          </w:p>
        </w:tc>
        <w:tc>
          <w:tcPr>
            <w:tcW w:w="895" w:type="dxa"/>
            <w:shd w:val="clear" w:color="auto" w:fill="D9E2F3" w:themeFill="accent1" w:themeFillTint="33"/>
          </w:tcPr>
          <w:p w14:paraId="623BA505"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46003D97"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3C334978"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16965DF5"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BMI</w:t>
            </w:r>
          </w:p>
        </w:tc>
        <w:tc>
          <w:tcPr>
            <w:tcW w:w="993" w:type="dxa"/>
            <w:shd w:val="clear" w:color="auto" w:fill="D9E2F3" w:themeFill="accent1" w:themeFillTint="33"/>
          </w:tcPr>
          <w:p w14:paraId="219F3FEC" w14:textId="6E53E87B"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811" w:type="dxa"/>
            <w:shd w:val="clear" w:color="auto" w:fill="D9E2F3" w:themeFill="accent1" w:themeFillTint="33"/>
          </w:tcPr>
          <w:p w14:paraId="7563F1E2" w14:textId="240AB71D"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2,255</w:t>
            </w:r>
          </w:p>
        </w:tc>
        <w:tc>
          <w:tcPr>
            <w:tcW w:w="2341" w:type="dxa"/>
            <w:shd w:val="clear" w:color="auto" w:fill="D9E2F3" w:themeFill="accent1" w:themeFillTint="33"/>
          </w:tcPr>
          <w:p w14:paraId="1643714D" w14:textId="6E3379D3"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E06E29">
              <w:rPr>
                <w:rFonts w:ascii="Times New Roman" w:eastAsia="Times New Roman" w:hAnsi="Times New Roman" w:cs="Times New Roman"/>
                <w:sz w:val="20"/>
                <w:szCs w:val="20"/>
              </w:rPr>
              <w:t>-5.72</w:t>
            </w:r>
            <w:r>
              <w:rPr>
                <w:rFonts w:ascii="Times New Roman" w:eastAsia="Times New Roman" w:hAnsi="Times New Roman" w:cs="Times New Roman"/>
                <w:sz w:val="20"/>
                <w:szCs w:val="20"/>
              </w:rPr>
              <w:t xml:space="preserve"> (</w:t>
            </w:r>
            <w:r w:rsidRPr="00E06E29">
              <w:rPr>
                <w:rFonts w:ascii="Times New Roman" w:eastAsia="Times New Roman" w:hAnsi="Times New Roman" w:cs="Times New Roman"/>
                <w:sz w:val="20"/>
                <w:szCs w:val="20"/>
              </w:rPr>
              <w:t>-13.9</w:t>
            </w:r>
            <w:r>
              <w:rPr>
                <w:rFonts w:ascii="Times New Roman" w:eastAsia="Times New Roman" w:hAnsi="Times New Roman" w:cs="Times New Roman"/>
                <w:sz w:val="20"/>
                <w:szCs w:val="20"/>
              </w:rPr>
              <w:t xml:space="preserve">4; </w:t>
            </w:r>
            <w:r w:rsidRPr="00E06E29">
              <w:rPr>
                <w:rFonts w:ascii="Times New Roman" w:eastAsia="Times New Roman" w:hAnsi="Times New Roman" w:cs="Times New Roman"/>
                <w:sz w:val="20"/>
                <w:szCs w:val="20"/>
              </w:rPr>
              <w:t>2.49</w:t>
            </w:r>
            <w:r>
              <w:rPr>
                <w:rFonts w:ascii="Times New Roman" w:eastAsia="Times New Roman" w:hAnsi="Times New Roman" w:cs="Times New Roman"/>
                <w:sz w:val="20"/>
                <w:szCs w:val="20"/>
              </w:rPr>
              <w:t>)</w:t>
            </w:r>
          </w:p>
        </w:tc>
        <w:tc>
          <w:tcPr>
            <w:tcW w:w="2429" w:type="dxa"/>
            <w:shd w:val="clear" w:color="auto" w:fill="D9E2F3" w:themeFill="accent1" w:themeFillTint="33"/>
          </w:tcPr>
          <w:p w14:paraId="345E56BD" w14:textId="17B3FA80"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E06E29">
              <w:rPr>
                <w:rFonts w:ascii="Times New Roman" w:eastAsia="Times New Roman" w:hAnsi="Times New Roman" w:cs="Times New Roman"/>
                <w:sz w:val="20"/>
                <w:szCs w:val="20"/>
              </w:rPr>
              <w:t>0.1</w:t>
            </w:r>
            <w:r>
              <w:rPr>
                <w:rFonts w:ascii="Times New Roman" w:eastAsia="Times New Roman" w:hAnsi="Times New Roman" w:cs="Times New Roman"/>
                <w:sz w:val="20"/>
                <w:szCs w:val="20"/>
              </w:rPr>
              <w:t>7 (</w:t>
            </w:r>
            <w:r w:rsidRPr="00E06E29">
              <w:rPr>
                <w:rFonts w:ascii="Times New Roman" w:eastAsia="Times New Roman" w:hAnsi="Times New Roman" w:cs="Times New Roman"/>
                <w:sz w:val="20"/>
                <w:szCs w:val="20"/>
              </w:rPr>
              <w:t>-0.1</w:t>
            </w:r>
            <w:r>
              <w:rPr>
                <w:rFonts w:ascii="Times New Roman" w:eastAsia="Times New Roman" w:hAnsi="Times New Roman" w:cs="Times New Roman"/>
                <w:sz w:val="20"/>
                <w:szCs w:val="20"/>
              </w:rPr>
              <w:t xml:space="preserve">1; </w:t>
            </w:r>
            <w:r w:rsidRPr="00E06E29">
              <w:rPr>
                <w:rFonts w:ascii="Times New Roman" w:eastAsia="Times New Roman" w:hAnsi="Times New Roman" w:cs="Times New Roman"/>
                <w:sz w:val="20"/>
                <w:szCs w:val="20"/>
              </w:rPr>
              <w:t>0.44</w:t>
            </w:r>
            <w:r>
              <w:rPr>
                <w:rFonts w:ascii="Times New Roman" w:eastAsia="Times New Roman" w:hAnsi="Times New Roman" w:cs="Times New Roman"/>
                <w:sz w:val="20"/>
                <w:szCs w:val="20"/>
              </w:rPr>
              <w:t>)</w:t>
            </w:r>
          </w:p>
        </w:tc>
        <w:tc>
          <w:tcPr>
            <w:tcW w:w="1347" w:type="dxa"/>
            <w:shd w:val="clear" w:color="auto" w:fill="D9E2F3" w:themeFill="accent1" w:themeFillTint="33"/>
          </w:tcPr>
          <w:p w14:paraId="22325A3E" w14:textId="0618FC23"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E06E29">
              <w:rPr>
                <w:rFonts w:ascii="Times New Roman" w:eastAsia="Times New Roman" w:hAnsi="Times New Roman" w:cs="Times New Roman"/>
                <w:sz w:val="20"/>
                <w:szCs w:val="20"/>
              </w:rPr>
              <w:t>0.2312</w:t>
            </w:r>
          </w:p>
        </w:tc>
        <w:tc>
          <w:tcPr>
            <w:tcW w:w="1353" w:type="dxa"/>
            <w:shd w:val="clear" w:color="auto" w:fill="D9E2F3" w:themeFill="accent1" w:themeFillTint="33"/>
          </w:tcPr>
          <w:p w14:paraId="00BCBE3D" w14:textId="3468616E"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63DAE919" w14:textId="4C427722"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E06E29">
              <w:rPr>
                <w:rFonts w:ascii="Times New Roman" w:eastAsia="Times New Roman" w:hAnsi="Times New Roman" w:cs="Times New Roman"/>
                <w:sz w:val="20"/>
                <w:szCs w:val="20"/>
              </w:rPr>
              <w:t>97.65</w:t>
            </w:r>
          </w:p>
        </w:tc>
        <w:tc>
          <w:tcPr>
            <w:tcW w:w="895" w:type="dxa"/>
            <w:shd w:val="clear" w:color="auto" w:fill="D9E2F3" w:themeFill="accent1" w:themeFillTint="33"/>
          </w:tcPr>
          <w:p w14:paraId="602D5419"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58F77153"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06CE8A4C"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3C9C356A" w14:textId="4932FC10"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HOMA-IR</w:t>
            </w:r>
          </w:p>
        </w:tc>
        <w:tc>
          <w:tcPr>
            <w:tcW w:w="993" w:type="dxa"/>
            <w:shd w:val="clear" w:color="auto" w:fill="D9E2F3" w:themeFill="accent1" w:themeFillTint="33"/>
          </w:tcPr>
          <w:p w14:paraId="4FB9F900" w14:textId="20441F6F"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32</w:t>
            </w:r>
          </w:p>
        </w:tc>
        <w:tc>
          <w:tcPr>
            <w:tcW w:w="811" w:type="dxa"/>
            <w:shd w:val="clear" w:color="auto" w:fill="D9E2F3" w:themeFill="accent1" w:themeFillTint="33"/>
          </w:tcPr>
          <w:p w14:paraId="2C925882" w14:textId="4B3B1DD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2,091</w:t>
            </w:r>
          </w:p>
        </w:tc>
        <w:tc>
          <w:tcPr>
            <w:tcW w:w="2341" w:type="dxa"/>
            <w:shd w:val="clear" w:color="auto" w:fill="D9E2F3" w:themeFill="accent1" w:themeFillTint="33"/>
          </w:tcPr>
          <w:p w14:paraId="055A2F19" w14:textId="121DC455"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3E6785">
              <w:rPr>
                <w:rFonts w:ascii="Times New Roman" w:eastAsia="Times New Roman" w:hAnsi="Times New Roman" w:cs="Times New Roman"/>
                <w:sz w:val="20"/>
                <w:szCs w:val="20"/>
              </w:rPr>
              <w:t>0.1</w:t>
            </w:r>
            <w:r>
              <w:rPr>
                <w:rFonts w:ascii="Times New Roman" w:eastAsia="Times New Roman" w:hAnsi="Times New Roman" w:cs="Times New Roman"/>
                <w:sz w:val="20"/>
                <w:szCs w:val="20"/>
              </w:rPr>
              <w:t>4 (</w:t>
            </w:r>
            <w:r w:rsidRPr="003E6785">
              <w:rPr>
                <w:rFonts w:ascii="Times New Roman" w:eastAsia="Times New Roman" w:hAnsi="Times New Roman" w:cs="Times New Roman"/>
                <w:sz w:val="20"/>
                <w:szCs w:val="20"/>
              </w:rPr>
              <w:t>-1.2</w:t>
            </w:r>
            <w:r>
              <w:rPr>
                <w:rFonts w:ascii="Times New Roman" w:eastAsia="Times New Roman" w:hAnsi="Times New Roman" w:cs="Times New Roman"/>
                <w:sz w:val="20"/>
                <w:szCs w:val="20"/>
              </w:rPr>
              <w:t>3; 1.50)</w:t>
            </w:r>
          </w:p>
        </w:tc>
        <w:tc>
          <w:tcPr>
            <w:tcW w:w="2429" w:type="dxa"/>
            <w:shd w:val="clear" w:color="auto" w:fill="D9E2F3" w:themeFill="accent1" w:themeFillTint="33"/>
          </w:tcPr>
          <w:p w14:paraId="6FCD8A93" w14:textId="4348E908"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3E6785">
              <w:rPr>
                <w:rFonts w:ascii="Times New Roman" w:eastAsia="Times New Roman" w:hAnsi="Times New Roman" w:cs="Times New Roman"/>
                <w:sz w:val="20"/>
                <w:szCs w:val="20"/>
              </w:rPr>
              <w:t>-0.23</w:t>
            </w:r>
            <w:r>
              <w:rPr>
                <w:rFonts w:ascii="Times New Roman" w:eastAsia="Times New Roman" w:hAnsi="Times New Roman" w:cs="Times New Roman"/>
                <w:sz w:val="20"/>
                <w:szCs w:val="20"/>
              </w:rPr>
              <w:t xml:space="preserve"> (</w:t>
            </w:r>
            <w:r w:rsidRPr="003E6785">
              <w:rPr>
                <w:rFonts w:ascii="Times New Roman" w:eastAsia="Times New Roman" w:hAnsi="Times New Roman" w:cs="Times New Roman"/>
                <w:sz w:val="20"/>
                <w:szCs w:val="20"/>
              </w:rPr>
              <w:t>-0.55</w:t>
            </w:r>
            <w:r>
              <w:rPr>
                <w:rFonts w:ascii="Times New Roman" w:eastAsia="Times New Roman" w:hAnsi="Times New Roman" w:cs="Times New Roman"/>
                <w:sz w:val="20"/>
                <w:szCs w:val="20"/>
              </w:rPr>
              <w:t>; 0.09)</w:t>
            </w:r>
          </w:p>
        </w:tc>
        <w:tc>
          <w:tcPr>
            <w:tcW w:w="1347" w:type="dxa"/>
            <w:shd w:val="clear" w:color="auto" w:fill="D9E2F3" w:themeFill="accent1" w:themeFillTint="33"/>
          </w:tcPr>
          <w:p w14:paraId="3B4A27F5" w14:textId="5AF96BA6"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AD7895">
              <w:rPr>
                <w:rFonts w:ascii="Times New Roman" w:eastAsia="Times New Roman" w:hAnsi="Times New Roman" w:cs="Times New Roman"/>
                <w:sz w:val="20"/>
                <w:szCs w:val="20"/>
              </w:rPr>
              <w:t>0.1567</w:t>
            </w:r>
          </w:p>
        </w:tc>
        <w:tc>
          <w:tcPr>
            <w:tcW w:w="1353" w:type="dxa"/>
            <w:shd w:val="clear" w:color="auto" w:fill="D9E2F3" w:themeFill="accent1" w:themeFillTint="33"/>
          </w:tcPr>
          <w:p w14:paraId="26EBB3E7" w14:textId="58B5B515"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3B616CDA" w14:textId="2032F905"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AD7895">
              <w:rPr>
                <w:rFonts w:ascii="Times New Roman" w:eastAsia="Times New Roman" w:hAnsi="Times New Roman" w:cs="Times New Roman"/>
                <w:sz w:val="20"/>
                <w:szCs w:val="20"/>
              </w:rPr>
              <w:t>97.76</w:t>
            </w:r>
          </w:p>
        </w:tc>
        <w:tc>
          <w:tcPr>
            <w:tcW w:w="895" w:type="dxa"/>
            <w:shd w:val="clear" w:color="auto" w:fill="D9E2F3" w:themeFill="accent1" w:themeFillTint="33"/>
          </w:tcPr>
          <w:p w14:paraId="2399A90F" w14:textId="603E5E5C"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&lt;0.0001</w:t>
            </w:r>
          </w:p>
        </w:tc>
      </w:tr>
      <w:tr w:rsidR="004E3E6A" w14:paraId="4D7F1E04"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4C9253F5"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24ABBE83"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Intervention Duration </w:t>
            </w:r>
          </w:p>
        </w:tc>
        <w:tc>
          <w:tcPr>
            <w:tcW w:w="993" w:type="dxa"/>
            <w:shd w:val="clear" w:color="auto" w:fill="D9E2F3" w:themeFill="accent1" w:themeFillTint="33"/>
          </w:tcPr>
          <w:p w14:paraId="6BB87FA1" w14:textId="656F6E91"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811" w:type="dxa"/>
            <w:shd w:val="clear" w:color="auto" w:fill="D9E2F3" w:themeFill="accent1" w:themeFillTint="33"/>
          </w:tcPr>
          <w:p w14:paraId="20052DBD" w14:textId="7EF1AA22"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2,255</w:t>
            </w:r>
          </w:p>
        </w:tc>
        <w:tc>
          <w:tcPr>
            <w:tcW w:w="2341" w:type="dxa"/>
            <w:shd w:val="clear" w:color="auto" w:fill="D9E2F3" w:themeFill="accent1" w:themeFillTint="33"/>
          </w:tcPr>
          <w:p w14:paraId="01B87505" w14:textId="0F67297A"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216717">
              <w:rPr>
                <w:rFonts w:ascii="Times New Roman" w:eastAsia="Times New Roman" w:hAnsi="Times New Roman" w:cs="Times New Roman"/>
                <w:sz w:val="20"/>
                <w:szCs w:val="20"/>
              </w:rPr>
              <w:t>-0.03</w:t>
            </w:r>
            <w:r>
              <w:rPr>
                <w:rFonts w:ascii="Times New Roman" w:eastAsia="Times New Roman" w:hAnsi="Times New Roman" w:cs="Times New Roman"/>
                <w:sz w:val="20"/>
                <w:szCs w:val="20"/>
              </w:rPr>
              <w:t xml:space="preserve"> (</w:t>
            </w:r>
            <w:r w:rsidRPr="006C7563">
              <w:rPr>
                <w:rFonts w:ascii="Times New Roman" w:eastAsia="Times New Roman" w:hAnsi="Times New Roman" w:cs="Times New Roman"/>
                <w:sz w:val="20"/>
                <w:szCs w:val="20"/>
              </w:rPr>
              <w:t>-1.2</w:t>
            </w:r>
            <w:r>
              <w:rPr>
                <w:rFonts w:ascii="Times New Roman" w:eastAsia="Times New Roman" w:hAnsi="Times New Roman" w:cs="Times New Roman"/>
                <w:sz w:val="20"/>
                <w:szCs w:val="20"/>
              </w:rPr>
              <w:t xml:space="preserve">3; </w:t>
            </w:r>
            <w:r w:rsidRPr="006C7563">
              <w:rPr>
                <w:rFonts w:ascii="Times New Roman" w:eastAsia="Times New Roman" w:hAnsi="Times New Roman" w:cs="Times New Roman"/>
                <w:sz w:val="20"/>
                <w:szCs w:val="20"/>
              </w:rPr>
              <w:t>1.1</w:t>
            </w:r>
            <w:r>
              <w:rPr>
                <w:rFonts w:ascii="Times New Roman" w:eastAsia="Times New Roman" w:hAnsi="Times New Roman" w:cs="Times New Roman"/>
                <w:sz w:val="20"/>
                <w:szCs w:val="20"/>
              </w:rPr>
              <w:t>6)</w:t>
            </w:r>
          </w:p>
        </w:tc>
        <w:tc>
          <w:tcPr>
            <w:tcW w:w="2429" w:type="dxa"/>
            <w:shd w:val="clear" w:color="auto" w:fill="D9E2F3" w:themeFill="accent1" w:themeFillTint="33"/>
          </w:tcPr>
          <w:p w14:paraId="1C6DEDA0" w14:textId="43AEDD0D"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C7563">
              <w:rPr>
                <w:rFonts w:ascii="Times New Roman" w:eastAsia="Times New Roman" w:hAnsi="Times New Roman" w:cs="Times New Roman"/>
                <w:sz w:val="20"/>
                <w:szCs w:val="20"/>
              </w:rPr>
              <w:t>-0.0</w:t>
            </w:r>
            <w:r>
              <w:rPr>
                <w:rFonts w:ascii="Times New Roman" w:eastAsia="Times New Roman" w:hAnsi="Times New Roman" w:cs="Times New Roman"/>
                <w:sz w:val="20"/>
                <w:szCs w:val="20"/>
              </w:rPr>
              <w:t>7 (</w:t>
            </w:r>
            <w:r w:rsidRPr="006C7563">
              <w:rPr>
                <w:rFonts w:ascii="Times New Roman" w:eastAsia="Times New Roman" w:hAnsi="Times New Roman" w:cs="Times New Roman"/>
                <w:sz w:val="20"/>
                <w:szCs w:val="20"/>
              </w:rPr>
              <w:t>-0.18</w:t>
            </w:r>
            <w:r>
              <w:rPr>
                <w:rFonts w:ascii="Times New Roman" w:eastAsia="Times New Roman" w:hAnsi="Times New Roman" w:cs="Times New Roman"/>
                <w:sz w:val="20"/>
                <w:szCs w:val="20"/>
              </w:rPr>
              <w:t xml:space="preserve">; </w:t>
            </w:r>
            <w:r w:rsidRPr="006C7563">
              <w:rPr>
                <w:rFonts w:ascii="Times New Roman" w:eastAsia="Times New Roman" w:hAnsi="Times New Roman" w:cs="Times New Roman"/>
                <w:sz w:val="20"/>
                <w:szCs w:val="20"/>
              </w:rPr>
              <w:t>0.04</w:t>
            </w:r>
            <w:r>
              <w:rPr>
                <w:rFonts w:ascii="Times New Roman" w:eastAsia="Times New Roman" w:hAnsi="Times New Roman" w:cs="Times New Roman"/>
                <w:sz w:val="20"/>
                <w:szCs w:val="20"/>
              </w:rPr>
              <w:t>)</w:t>
            </w:r>
          </w:p>
        </w:tc>
        <w:tc>
          <w:tcPr>
            <w:tcW w:w="1347" w:type="dxa"/>
            <w:shd w:val="clear" w:color="auto" w:fill="D9E2F3" w:themeFill="accent1" w:themeFillTint="33"/>
          </w:tcPr>
          <w:p w14:paraId="4041DE6E" w14:textId="1D367852"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E02A1B">
              <w:rPr>
                <w:rFonts w:ascii="Times New Roman" w:eastAsia="Times New Roman" w:hAnsi="Times New Roman" w:cs="Times New Roman"/>
                <w:sz w:val="20"/>
                <w:szCs w:val="20"/>
              </w:rPr>
              <w:t>0.2342</w:t>
            </w:r>
          </w:p>
        </w:tc>
        <w:tc>
          <w:tcPr>
            <w:tcW w:w="1353" w:type="dxa"/>
            <w:shd w:val="clear" w:color="auto" w:fill="D9E2F3" w:themeFill="accent1" w:themeFillTint="33"/>
          </w:tcPr>
          <w:p w14:paraId="39FF017F" w14:textId="75500277"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06E92F52" w14:textId="6040449F"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E02A1B">
              <w:rPr>
                <w:rFonts w:ascii="Times New Roman" w:eastAsia="Times New Roman" w:hAnsi="Times New Roman" w:cs="Times New Roman"/>
                <w:sz w:val="20"/>
                <w:szCs w:val="20"/>
              </w:rPr>
              <w:t>97.67</w:t>
            </w:r>
          </w:p>
        </w:tc>
        <w:tc>
          <w:tcPr>
            <w:tcW w:w="895" w:type="dxa"/>
            <w:shd w:val="clear" w:color="auto" w:fill="D9E2F3" w:themeFill="accent1" w:themeFillTint="33"/>
          </w:tcPr>
          <w:p w14:paraId="3AC90986"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r w:rsidR="004E3E6A" w14:paraId="654C86A0"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20AF4C1B"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00077AAF"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Year</w:t>
            </w:r>
          </w:p>
        </w:tc>
        <w:tc>
          <w:tcPr>
            <w:tcW w:w="993" w:type="dxa"/>
            <w:shd w:val="clear" w:color="auto" w:fill="D9E2F3" w:themeFill="accent1" w:themeFillTint="33"/>
          </w:tcPr>
          <w:p w14:paraId="39FA3B01" w14:textId="1E640F30"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811" w:type="dxa"/>
            <w:shd w:val="clear" w:color="auto" w:fill="D9E2F3" w:themeFill="accent1" w:themeFillTint="33"/>
          </w:tcPr>
          <w:p w14:paraId="4FB66E61" w14:textId="7FA75E81"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2,255</w:t>
            </w:r>
          </w:p>
        </w:tc>
        <w:tc>
          <w:tcPr>
            <w:tcW w:w="2341" w:type="dxa"/>
            <w:shd w:val="clear" w:color="auto" w:fill="D9E2F3" w:themeFill="accent1" w:themeFillTint="33"/>
          </w:tcPr>
          <w:p w14:paraId="24B55EA0" w14:textId="00D13B5F"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E60F05">
              <w:rPr>
                <w:rFonts w:ascii="Times New Roman" w:eastAsia="Times New Roman" w:hAnsi="Times New Roman" w:cs="Times New Roman"/>
                <w:sz w:val="20"/>
                <w:szCs w:val="20"/>
              </w:rPr>
              <w:t>-100.2</w:t>
            </w:r>
            <w:r>
              <w:rPr>
                <w:rFonts w:ascii="Times New Roman" w:eastAsia="Times New Roman" w:hAnsi="Times New Roman" w:cs="Times New Roman"/>
                <w:sz w:val="20"/>
                <w:szCs w:val="20"/>
              </w:rPr>
              <w:t>2 (</w:t>
            </w:r>
            <w:r w:rsidRPr="00E60F05">
              <w:rPr>
                <w:rFonts w:ascii="Times New Roman" w:eastAsia="Times New Roman" w:hAnsi="Times New Roman" w:cs="Times New Roman"/>
                <w:sz w:val="20"/>
                <w:szCs w:val="20"/>
              </w:rPr>
              <w:t>-525.9</w:t>
            </w:r>
            <w:r>
              <w:rPr>
                <w:rFonts w:ascii="Times New Roman" w:eastAsia="Times New Roman" w:hAnsi="Times New Roman" w:cs="Times New Roman"/>
                <w:sz w:val="20"/>
                <w:szCs w:val="20"/>
              </w:rPr>
              <w:t xml:space="preserve">5; </w:t>
            </w:r>
            <w:r w:rsidRPr="007D608B">
              <w:rPr>
                <w:rFonts w:ascii="Times New Roman" w:eastAsia="Times New Roman" w:hAnsi="Times New Roman" w:cs="Times New Roman"/>
                <w:sz w:val="20"/>
                <w:szCs w:val="20"/>
              </w:rPr>
              <w:t>325.5</w:t>
            </w:r>
            <w:r>
              <w:rPr>
                <w:rFonts w:ascii="Times New Roman" w:eastAsia="Times New Roman" w:hAnsi="Times New Roman" w:cs="Times New Roman"/>
                <w:sz w:val="20"/>
                <w:szCs w:val="20"/>
              </w:rPr>
              <w:t>2)</w:t>
            </w:r>
          </w:p>
        </w:tc>
        <w:tc>
          <w:tcPr>
            <w:tcW w:w="2429" w:type="dxa"/>
            <w:shd w:val="clear" w:color="auto" w:fill="D9E2F3" w:themeFill="accent1" w:themeFillTint="33"/>
          </w:tcPr>
          <w:p w14:paraId="5CFBDC5E" w14:textId="4599D377"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E1133C">
              <w:rPr>
                <w:rFonts w:ascii="Times New Roman" w:eastAsia="Times New Roman" w:hAnsi="Times New Roman" w:cs="Times New Roman"/>
                <w:sz w:val="20"/>
                <w:szCs w:val="20"/>
              </w:rPr>
              <w:t>0.0</w:t>
            </w:r>
            <w:r>
              <w:rPr>
                <w:rFonts w:ascii="Times New Roman" w:eastAsia="Times New Roman" w:hAnsi="Times New Roman" w:cs="Times New Roman"/>
                <w:sz w:val="20"/>
                <w:szCs w:val="20"/>
              </w:rPr>
              <w:t>5 (</w:t>
            </w:r>
            <w:r w:rsidRPr="00E1133C">
              <w:rPr>
                <w:rFonts w:ascii="Times New Roman" w:eastAsia="Times New Roman" w:hAnsi="Times New Roman" w:cs="Times New Roman"/>
                <w:sz w:val="20"/>
                <w:szCs w:val="20"/>
              </w:rPr>
              <w:t>-0.16</w:t>
            </w:r>
            <w:r>
              <w:rPr>
                <w:rFonts w:ascii="Times New Roman" w:eastAsia="Times New Roman" w:hAnsi="Times New Roman" w:cs="Times New Roman"/>
                <w:sz w:val="20"/>
                <w:szCs w:val="20"/>
              </w:rPr>
              <w:t xml:space="preserve">; </w:t>
            </w:r>
            <w:r w:rsidRPr="00E1133C">
              <w:rPr>
                <w:rFonts w:ascii="Times New Roman" w:eastAsia="Times New Roman" w:hAnsi="Times New Roman" w:cs="Times New Roman"/>
                <w:sz w:val="20"/>
                <w:szCs w:val="20"/>
              </w:rPr>
              <w:t>0.26</w:t>
            </w:r>
            <w:r>
              <w:rPr>
                <w:rFonts w:ascii="Times New Roman" w:eastAsia="Times New Roman" w:hAnsi="Times New Roman" w:cs="Times New Roman"/>
                <w:sz w:val="20"/>
                <w:szCs w:val="20"/>
              </w:rPr>
              <w:t>)</w:t>
            </w:r>
          </w:p>
        </w:tc>
        <w:tc>
          <w:tcPr>
            <w:tcW w:w="1347" w:type="dxa"/>
            <w:shd w:val="clear" w:color="auto" w:fill="D9E2F3" w:themeFill="accent1" w:themeFillTint="33"/>
          </w:tcPr>
          <w:p w14:paraId="4541DD7C" w14:textId="3458EC6B"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3C20BF">
              <w:rPr>
                <w:rFonts w:ascii="Times New Roman" w:eastAsia="Times New Roman" w:hAnsi="Times New Roman" w:cs="Times New Roman"/>
                <w:sz w:val="20"/>
                <w:szCs w:val="20"/>
              </w:rPr>
              <w:t>0.6469</w:t>
            </w:r>
          </w:p>
        </w:tc>
        <w:tc>
          <w:tcPr>
            <w:tcW w:w="1353" w:type="dxa"/>
            <w:shd w:val="clear" w:color="auto" w:fill="D9E2F3" w:themeFill="accent1" w:themeFillTint="33"/>
          </w:tcPr>
          <w:p w14:paraId="0ADAC800" w14:textId="0DBF65C6"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06375556" w14:textId="15290D9A"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3C20BF">
              <w:rPr>
                <w:rFonts w:ascii="Times New Roman" w:eastAsia="Times New Roman" w:hAnsi="Times New Roman" w:cs="Times New Roman"/>
                <w:sz w:val="20"/>
                <w:szCs w:val="20"/>
              </w:rPr>
              <w:t>97.05</w:t>
            </w:r>
          </w:p>
        </w:tc>
        <w:tc>
          <w:tcPr>
            <w:tcW w:w="895" w:type="dxa"/>
            <w:shd w:val="clear" w:color="auto" w:fill="D9E2F3" w:themeFill="accent1" w:themeFillTint="33"/>
          </w:tcPr>
          <w:p w14:paraId="13D1739A"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r w:rsidR="00A90839" w14:paraId="5E5163B4"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D9D9D9" w:themeFill="background1" w:themeFillShade="D9"/>
          </w:tcPr>
          <w:p w14:paraId="43D5A45B" w14:textId="3C8056D9" w:rsidR="00A90839" w:rsidRDefault="00A90839" w:rsidP="00B97DB5">
            <w:pPr>
              <w:rPr>
                <w:rFonts w:ascii="Times New Roman" w:eastAsia="Times New Roman" w:hAnsi="Times New Roman" w:cs="Times New Roman"/>
                <w:sz w:val="20"/>
                <w:szCs w:val="20"/>
              </w:rPr>
            </w:pPr>
            <w:r>
              <w:rPr>
                <w:rFonts w:ascii="Times New Roman" w:eastAsia="Times New Roman" w:hAnsi="Times New Roman" w:cs="Times New Roman"/>
                <w:sz w:val="20"/>
                <w:szCs w:val="20"/>
              </w:rPr>
              <w:t>QUICKI</w:t>
            </w:r>
          </w:p>
        </w:tc>
        <w:tc>
          <w:tcPr>
            <w:tcW w:w="1166" w:type="dxa"/>
            <w:shd w:val="clear" w:color="auto" w:fill="FFFFFF" w:themeFill="background1"/>
          </w:tcPr>
          <w:p w14:paraId="760F170A"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Age</w:t>
            </w:r>
          </w:p>
        </w:tc>
        <w:tc>
          <w:tcPr>
            <w:tcW w:w="993" w:type="dxa"/>
          </w:tcPr>
          <w:p w14:paraId="3BF3CE9F" w14:textId="452634A6"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11" w:type="dxa"/>
          </w:tcPr>
          <w:p w14:paraId="134A8A7F" w14:textId="412A2E1E"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479</w:t>
            </w:r>
          </w:p>
        </w:tc>
        <w:tc>
          <w:tcPr>
            <w:tcW w:w="2341" w:type="dxa"/>
          </w:tcPr>
          <w:p w14:paraId="2DAFF0B8" w14:textId="25B8135D"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B3769">
              <w:rPr>
                <w:rFonts w:ascii="Times New Roman" w:eastAsia="Times New Roman" w:hAnsi="Times New Roman" w:cs="Times New Roman"/>
                <w:sz w:val="20"/>
                <w:szCs w:val="20"/>
              </w:rPr>
              <w:t>-0.0</w:t>
            </w:r>
            <w:r>
              <w:rPr>
                <w:rFonts w:ascii="Times New Roman" w:eastAsia="Times New Roman" w:hAnsi="Times New Roman" w:cs="Times New Roman"/>
                <w:sz w:val="20"/>
                <w:szCs w:val="20"/>
              </w:rPr>
              <w:t>9 (</w:t>
            </w:r>
            <w:r w:rsidRPr="001B3769">
              <w:rPr>
                <w:rFonts w:ascii="Times New Roman" w:eastAsia="Times New Roman" w:hAnsi="Times New Roman" w:cs="Times New Roman"/>
                <w:sz w:val="20"/>
                <w:szCs w:val="20"/>
              </w:rPr>
              <w:t>-0.15</w:t>
            </w:r>
            <w:r>
              <w:rPr>
                <w:rFonts w:ascii="Times New Roman" w:eastAsia="Times New Roman" w:hAnsi="Times New Roman" w:cs="Times New Roman"/>
                <w:sz w:val="20"/>
                <w:szCs w:val="20"/>
              </w:rPr>
              <w:t xml:space="preserve">; </w:t>
            </w:r>
            <w:r w:rsidRPr="001B3769">
              <w:rPr>
                <w:rFonts w:ascii="Times New Roman" w:eastAsia="Times New Roman" w:hAnsi="Times New Roman" w:cs="Times New Roman"/>
                <w:sz w:val="20"/>
                <w:szCs w:val="20"/>
              </w:rPr>
              <w:t>-0.0</w:t>
            </w:r>
            <w:r>
              <w:rPr>
                <w:rFonts w:ascii="Times New Roman" w:eastAsia="Times New Roman" w:hAnsi="Times New Roman" w:cs="Times New Roman"/>
                <w:sz w:val="20"/>
                <w:szCs w:val="20"/>
              </w:rPr>
              <w:t>2)</w:t>
            </w:r>
          </w:p>
        </w:tc>
        <w:tc>
          <w:tcPr>
            <w:tcW w:w="2429" w:type="dxa"/>
          </w:tcPr>
          <w:p w14:paraId="51B2A0BA" w14:textId="0A38DD88" w:rsidR="00A90839" w:rsidRPr="000A71C7"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E04B49">
              <w:rPr>
                <w:rFonts w:ascii="Times New Roman" w:eastAsia="Times New Roman" w:hAnsi="Times New Roman" w:cs="Times New Roman"/>
                <w:b/>
                <w:bCs/>
                <w:sz w:val="20"/>
                <w:szCs w:val="20"/>
              </w:rPr>
              <w:t>0.0017</w:t>
            </w:r>
            <w:r w:rsidRPr="000A71C7">
              <w:rPr>
                <w:rFonts w:ascii="Times New Roman" w:eastAsia="Times New Roman" w:hAnsi="Times New Roman" w:cs="Times New Roman"/>
                <w:b/>
                <w:bCs/>
                <w:sz w:val="20"/>
                <w:szCs w:val="20"/>
              </w:rPr>
              <w:t xml:space="preserve"> (0.00</w:t>
            </w:r>
            <w:r>
              <w:rPr>
                <w:rFonts w:ascii="Times New Roman" w:eastAsia="Times New Roman" w:hAnsi="Times New Roman" w:cs="Times New Roman"/>
                <w:b/>
                <w:bCs/>
                <w:sz w:val="20"/>
                <w:szCs w:val="20"/>
              </w:rPr>
              <w:t>06</w:t>
            </w:r>
            <w:r w:rsidRPr="000A71C7">
              <w:rPr>
                <w:rFonts w:ascii="Times New Roman" w:eastAsia="Times New Roman" w:hAnsi="Times New Roman" w:cs="Times New Roman"/>
                <w:b/>
                <w:bCs/>
                <w:sz w:val="20"/>
                <w:szCs w:val="20"/>
              </w:rPr>
              <w:t>; 0.00</w:t>
            </w:r>
            <w:r>
              <w:rPr>
                <w:rFonts w:ascii="Times New Roman" w:eastAsia="Times New Roman" w:hAnsi="Times New Roman" w:cs="Times New Roman"/>
                <w:b/>
                <w:bCs/>
                <w:sz w:val="20"/>
                <w:szCs w:val="20"/>
              </w:rPr>
              <w:t>27</w:t>
            </w:r>
            <w:r w:rsidRPr="000A71C7">
              <w:rPr>
                <w:rFonts w:ascii="Times New Roman" w:eastAsia="Times New Roman" w:hAnsi="Times New Roman" w:cs="Times New Roman"/>
                <w:b/>
                <w:bCs/>
                <w:sz w:val="20"/>
                <w:szCs w:val="20"/>
              </w:rPr>
              <w:t>)</w:t>
            </w:r>
          </w:p>
        </w:tc>
        <w:tc>
          <w:tcPr>
            <w:tcW w:w="1347" w:type="dxa"/>
          </w:tcPr>
          <w:p w14:paraId="4CCCF043" w14:textId="6302DF24" w:rsidR="00A90839" w:rsidRPr="000A71C7"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0A71C7">
              <w:rPr>
                <w:rFonts w:ascii="Times New Roman" w:eastAsia="Times New Roman" w:hAnsi="Times New Roman" w:cs="Times New Roman"/>
                <w:b/>
                <w:bCs/>
                <w:sz w:val="20"/>
                <w:szCs w:val="20"/>
              </w:rPr>
              <w:t>0.0026</w:t>
            </w:r>
          </w:p>
        </w:tc>
        <w:tc>
          <w:tcPr>
            <w:tcW w:w="1353" w:type="dxa"/>
          </w:tcPr>
          <w:p w14:paraId="6D2A1B5F" w14:textId="23FD54FE"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92FBE">
              <w:rPr>
                <w:rFonts w:ascii="Times New Roman" w:eastAsia="Times New Roman" w:hAnsi="Times New Roman" w:cs="Times New Roman"/>
                <w:sz w:val="20"/>
                <w:szCs w:val="20"/>
              </w:rPr>
              <w:t>65.32</w:t>
            </w:r>
          </w:p>
        </w:tc>
        <w:tc>
          <w:tcPr>
            <w:tcW w:w="810" w:type="dxa"/>
            <w:gridSpan w:val="2"/>
          </w:tcPr>
          <w:p w14:paraId="0368EDF9" w14:textId="464AFC00"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092FBE">
              <w:rPr>
                <w:rFonts w:ascii="Times New Roman" w:eastAsia="Times New Roman" w:hAnsi="Times New Roman" w:cs="Times New Roman"/>
                <w:sz w:val="20"/>
                <w:szCs w:val="20"/>
              </w:rPr>
              <w:t>58.26</w:t>
            </w:r>
          </w:p>
        </w:tc>
        <w:tc>
          <w:tcPr>
            <w:tcW w:w="895" w:type="dxa"/>
          </w:tcPr>
          <w:p w14:paraId="6B7E10A4" w14:textId="1ABD7734"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1536FF">
              <w:rPr>
                <w:rFonts w:ascii="Times New Roman" w:eastAsia="Times New Roman" w:hAnsi="Times New Roman" w:cs="Times New Roman"/>
                <w:sz w:val="20"/>
                <w:szCs w:val="20"/>
              </w:rPr>
              <w:t>0.0189</w:t>
            </w:r>
          </w:p>
        </w:tc>
      </w:tr>
      <w:tr w:rsidR="00A90839" w14:paraId="1122C675"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736AE19B"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665DE2C1"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BMI</w:t>
            </w:r>
          </w:p>
        </w:tc>
        <w:tc>
          <w:tcPr>
            <w:tcW w:w="993" w:type="dxa"/>
          </w:tcPr>
          <w:p w14:paraId="3AD0F23C" w14:textId="79026C53"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11" w:type="dxa"/>
          </w:tcPr>
          <w:p w14:paraId="7CE9C5C1" w14:textId="6D029606"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479</w:t>
            </w:r>
          </w:p>
        </w:tc>
        <w:tc>
          <w:tcPr>
            <w:tcW w:w="2341" w:type="dxa"/>
          </w:tcPr>
          <w:p w14:paraId="2F5474C6" w14:textId="43EDA494"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B0763">
              <w:rPr>
                <w:rFonts w:ascii="Times New Roman" w:eastAsia="Times New Roman" w:hAnsi="Times New Roman" w:cs="Times New Roman"/>
                <w:sz w:val="20"/>
                <w:szCs w:val="20"/>
              </w:rPr>
              <w:t>0.07</w:t>
            </w:r>
            <w:r>
              <w:rPr>
                <w:rFonts w:ascii="Times New Roman" w:eastAsia="Times New Roman" w:hAnsi="Times New Roman" w:cs="Times New Roman"/>
                <w:sz w:val="20"/>
                <w:szCs w:val="20"/>
              </w:rPr>
              <w:t xml:space="preserve"> (</w:t>
            </w:r>
            <w:r w:rsidRPr="000B0763">
              <w:rPr>
                <w:rFonts w:ascii="Times New Roman" w:eastAsia="Times New Roman" w:hAnsi="Times New Roman" w:cs="Times New Roman"/>
                <w:sz w:val="20"/>
                <w:szCs w:val="20"/>
              </w:rPr>
              <w:t>-0.1</w:t>
            </w:r>
            <w:r>
              <w:rPr>
                <w:rFonts w:ascii="Times New Roman" w:eastAsia="Times New Roman" w:hAnsi="Times New Roman" w:cs="Times New Roman"/>
                <w:sz w:val="20"/>
                <w:szCs w:val="20"/>
              </w:rPr>
              <w:t>3; 0.28)</w:t>
            </w:r>
          </w:p>
        </w:tc>
        <w:tc>
          <w:tcPr>
            <w:tcW w:w="2429" w:type="dxa"/>
          </w:tcPr>
          <w:p w14:paraId="5610ACEA" w14:textId="511ED038"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0B0763">
              <w:rPr>
                <w:rFonts w:ascii="Times New Roman" w:eastAsia="Times New Roman" w:hAnsi="Times New Roman" w:cs="Times New Roman"/>
                <w:sz w:val="20"/>
                <w:szCs w:val="20"/>
              </w:rPr>
              <w:t>-0.002</w:t>
            </w:r>
            <w:r>
              <w:rPr>
                <w:rFonts w:ascii="Times New Roman" w:eastAsia="Times New Roman" w:hAnsi="Times New Roman" w:cs="Times New Roman"/>
                <w:sz w:val="20"/>
                <w:szCs w:val="20"/>
              </w:rPr>
              <w:t>0 (</w:t>
            </w:r>
            <w:r w:rsidRPr="00340275">
              <w:rPr>
                <w:rFonts w:ascii="Times New Roman" w:eastAsia="Times New Roman" w:hAnsi="Times New Roman" w:cs="Times New Roman"/>
                <w:sz w:val="20"/>
                <w:szCs w:val="20"/>
              </w:rPr>
              <w:t>-0.0087</w:t>
            </w:r>
            <w:r>
              <w:rPr>
                <w:rFonts w:ascii="Times New Roman" w:eastAsia="Times New Roman" w:hAnsi="Times New Roman" w:cs="Times New Roman"/>
                <w:sz w:val="20"/>
                <w:szCs w:val="20"/>
              </w:rPr>
              <w:t xml:space="preserve">; </w:t>
            </w:r>
            <w:r w:rsidRPr="00340275">
              <w:rPr>
                <w:rFonts w:ascii="Times New Roman" w:eastAsia="Times New Roman" w:hAnsi="Times New Roman" w:cs="Times New Roman"/>
                <w:sz w:val="20"/>
                <w:szCs w:val="20"/>
              </w:rPr>
              <w:t>0.0047</w:t>
            </w:r>
            <w:r>
              <w:rPr>
                <w:rFonts w:ascii="Times New Roman" w:eastAsia="Times New Roman" w:hAnsi="Times New Roman" w:cs="Times New Roman"/>
                <w:sz w:val="20"/>
                <w:szCs w:val="20"/>
              </w:rPr>
              <w:t>)</w:t>
            </w:r>
          </w:p>
        </w:tc>
        <w:tc>
          <w:tcPr>
            <w:tcW w:w="1347" w:type="dxa"/>
          </w:tcPr>
          <w:p w14:paraId="58C676CE" w14:textId="33F5FF7A"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C2A00">
              <w:rPr>
                <w:rFonts w:ascii="Times New Roman" w:eastAsia="Times New Roman" w:hAnsi="Times New Roman" w:cs="Times New Roman"/>
                <w:sz w:val="20"/>
                <w:szCs w:val="20"/>
              </w:rPr>
              <w:t>0.5568</w:t>
            </w:r>
          </w:p>
        </w:tc>
        <w:tc>
          <w:tcPr>
            <w:tcW w:w="1353" w:type="dxa"/>
          </w:tcPr>
          <w:p w14:paraId="50C8A8F5" w14:textId="1016428F"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tcPr>
          <w:p w14:paraId="3D069CF7" w14:textId="3F60F1C7"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6C2A00">
              <w:rPr>
                <w:rFonts w:ascii="Times New Roman" w:eastAsia="Times New Roman" w:hAnsi="Times New Roman" w:cs="Times New Roman"/>
                <w:sz w:val="20"/>
                <w:szCs w:val="20"/>
              </w:rPr>
              <w:t>82.59</w:t>
            </w:r>
          </w:p>
        </w:tc>
        <w:tc>
          <w:tcPr>
            <w:tcW w:w="895" w:type="dxa"/>
          </w:tcPr>
          <w:p w14:paraId="41C08107"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r w:rsidR="00A90839" w14:paraId="426EA54F"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246A4B91"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1CE1CFEC" w14:textId="4CDB1455"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QUICKI</w:t>
            </w:r>
          </w:p>
        </w:tc>
        <w:tc>
          <w:tcPr>
            <w:tcW w:w="993" w:type="dxa"/>
          </w:tcPr>
          <w:p w14:paraId="1DF246D6" w14:textId="37A0B1AA"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11" w:type="dxa"/>
          </w:tcPr>
          <w:p w14:paraId="729438C3" w14:textId="2ACC92BD"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479</w:t>
            </w:r>
          </w:p>
        </w:tc>
        <w:tc>
          <w:tcPr>
            <w:tcW w:w="2341" w:type="dxa"/>
          </w:tcPr>
          <w:p w14:paraId="3B527372" w14:textId="755053B6"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3D0DED">
              <w:rPr>
                <w:rFonts w:ascii="Times New Roman" w:eastAsia="Times New Roman" w:hAnsi="Times New Roman" w:cs="Times New Roman"/>
                <w:sz w:val="20"/>
                <w:szCs w:val="20"/>
              </w:rPr>
              <w:t>0.0</w:t>
            </w:r>
            <w:r>
              <w:rPr>
                <w:rFonts w:ascii="Times New Roman" w:eastAsia="Times New Roman" w:hAnsi="Times New Roman" w:cs="Times New Roman"/>
                <w:sz w:val="20"/>
                <w:szCs w:val="20"/>
              </w:rPr>
              <w:t>3 (</w:t>
            </w:r>
            <w:r w:rsidRPr="003D0DED">
              <w:rPr>
                <w:rFonts w:ascii="Times New Roman" w:eastAsia="Times New Roman" w:hAnsi="Times New Roman" w:cs="Times New Roman"/>
                <w:sz w:val="20"/>
                <w:szCs w:val="20"/>
              </w:rPr>
              <w:t>-0.0</w:t>
            </w:r>
            <w:r>
              <w:rPr>
                <w:rFonts w:ascii="Times New Roman" w:eastAsia="Times New Roman" w:hAnsi="Times New Roman" w:cs="Times New Roman"/>
                <w:sz w:val="20"/>
                <w:szCs w:val="20"/>
              </w:rPr>
              <w:t xml:space="preserve">4; </w:t>
            </w:r>
            <w:r w:rsidRPr="003D0DED">
              <w:rPr>
                <w:rFonts w:ascii="Times New Roman" w:eastAsia="Times New Roman" w:hAnsi="Times New Roman" w:cs="Times New Roman"/>
                <w:sz w:val="20"/>
                <w:szCs w:val="20"/>
              </w:rPr>
              <w:t>0.09</w:t>
            </w:r>
            <w:r>
              <w:rPr>
                <w:rFonts w:ascii="Times New Roman" w:eastAsia="Times New Roman" w:hAnsi="Times New Roman" w:cs="Times New Roman"/>
                <w:sz w:val="20"/>
                <w:szCs w:val="20"/>
              </w:rPr>
              <w:t>)</w:t>
            </w:r>
          </w:p>
        </w:tc>
        <w:tc>
          <w:tcPr>
            <w:tcW w:w="2429" w:type="dxa"/>
          </w:tcPr>
          <w:p w14:paraId="6523B7C0" w14:textId="0A83F046"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963CA1">
              <w:rPr>
                <w:rFonts w:ascii="Times New Roman" w:eastAsia="Times New Roman" w:hAnsi="Times New Roman" w:cs="Times New Roman"/>
                <w:sz w:val="20"/>
                <w:szCs w:val="20"/>
              </w:rPr>
              <w:t>-0.0456</w:t>
            </w:r>
            <w:r>
              <w:rPr>
                <w:rFonts w:ascii="Times New Roman" w:eastAsia="Times New Roman" w:hAnsi="Times New Roman" w:cs="Times New Roman"/>
                <w:sz w:val="20"/>
                <w:szCs w:val="20"/>
              </w:rPr>
              <w:t xml:space="preserve"> (</w:t>
            </w:r>
            <w:r w:rsidRPr="00963CA1">
              <w:rPr>
                <w:rFonts w:ascii="Times New Roman" w:eastAsia="Times New Roman" w:hAnsi="Times New Roman" w:cs="Times New Roman"/>
                <w:sz w:val="20"/>
                <w:szCs w:val="20"/>
              </w:rPr>
              <w:t>-0.2609</w:t>
            </w:r>
            <w:r>
              <w:rPr>
                <w:rFonts w:ascii="Times New Roman" w:eastAsia="Times New Roman" w:hAnsi="Times New Roman" w:cs="Times New Roman"/>
                <w:sz w:val="20"/>
                <w:szCs w:val="20"/>
              </w:rPr>
              <w:t xml:space="preserve">; </w:t>
            </w:r>
            <w:r w:rsidRPr="00963CA1">
              <w:rPr>
                <w:rFonts w:ascii="Times New Roman" w:eastAsia="Times New Roman" w:hAnsi="Times New Roman" w:cs="Times New Roman"/>
                <w:sz w:val="20"/>
                <w:szCs w:val="20"/>
              </w:rPr>
              <w:t>0.1696</w:t>
            </w:r>
            <w:r>
              <w:rPr>
                <w:rFonts w:ascii="Times New Roman" w:eastAsia="Times New Roman" w:hAnsi="Times New Roman" w:cs="Times New Roman"/>
                <w:sz w:val="20"/>
                <w:szCs w:val="20"/>
              </w:rPr>
              <w:t>)</w:t>
            </w:r>
          </w:p>
        </w:tc>
        <w:tc>
          <w:tcPr>
            <w:tcW w:w="1347" w:type="dxa"/>
          </w:tcPr>
          <w:p w14:paraId="264D2AB3" w14:textId="7CE93586"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963CA1">
              <w:rPr>
                <w:rFonts w:ascii="Times New Roman" w:eastAsia="Times New Roman" w:hAnsi="Times New Roman" w:cs="Times New Roman"/>
                <w:sz w:val="20"/>
                <w:szCs w:val="20"/>
              </w:rPr>
              <w:t>0.6779</w:t>
            </w:r>
          </w:p>
        </w:tc>
        <w:tc>
          <w:tcPr>
            <w:tcW w:w="1353" w:type="dxa"/>
          </w:tcPr>
          <w:p w14:paraId="796BE8B8" w14:textId="216BD113"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963CA1">
              <w:rPr>
                <w:rFonts w:ascii="Times New Roman" w:eastAsia="Times New Roman" w:hAnsi="Times New Roman" w:cs="Times New Roman"/>
                <w:sz w:val="20"/>
                <w:szCs w:val="20"/>
              </w:rPr>
              <w:t>0.51</w:t>
            </w:r>
          </w:p>
        </w:tc>
        <w:tc>
          <w:tcPr>
            <w:tcW w:w="810" w:type="dxa"/>
            <w:gridSpan w:val="2"/>
          </w:tcPr>
          <w:p w14:paraId="3BCBD6ED" w14:textId="20E55D63"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963CA1">
              <w:rPr>
                <w:rFonts w:ascii="Times New Roman" w:eastAsia="Times New Roman" w:hAnsi="Times New Roman" w:cs="Times New Roman"/>
                <w:sz w:val="20"/>
                <w:szCs w:val="20"/>
              </w:rPr>
              <w:t>81.60</w:t>
            </w:r>
          </w:p>
        </w:tc>
        <w:tc>
          <w:tcPr>
            <w:tcW w:w="895" w:type="dxa"/>
          </w:tcPr>
          <w:p w14:paraId="16011426" w14:textId="69AAE4F0" w:rsidR="00A90839" w:rsidRPr="00D220A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r w:rsidR="00A90839" w14:paraId="4E071A45"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4A2C2DDE"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1BE86B20"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Intervention Duration </w:t>
            </w:r>
          </w:p>
        </w:tc>
        <w:tc>
          <w:tcPr>
            <w:tcW w:w="993" w:type="dxa"/>
          </w:tcPr>
          <w:p w14:paraId="3E627D6C" w14:textId="68E94D19"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11" w:type="dxa"/>
          </w:tcPr>
          <w:p w14:paraId="6372670F" w14:textId="593FA720"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479</w:t>
            </w:r>
          </w:p>
        </w:tc>
        <w:tc>
          <w:tcPr>
            <w:tcW w:w="2341" w:type="dxa"/>
          </w:tcPr>
          <w:p w14:paraId="36E88796" w14:textId="7678642C"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D4E95">
              <w:rPr>
                <w:rFonts w:ascii="Times New Roman" w:eastAsia="Times New Roman" w:hAnsi="Times New Roman" w:cs="Times New Roman"/>
                <w:sz w:val="20"/>
                <w:szCs w:val="20"/>
              </w:rPr>
              <w:t>-0.03</w:t>
            </w:r>
            <w:r>
              <w:rPr>
                <w:rFonts w:ascii="Times New Roman" w:eastAsia="Times New Roman" w:hAnsi="Times New Roman" w:cs="Times New Roman"/>
                <w:sz w:val="20"/>
                <w:szCs w:val="20"/>
              </w:rPr>
              <w:t xml:space="preserve"> (</w:t>
            </w:r>
            <w:r w:rsidRPr="00DD4E95">
              <w:rPr>
                <w:rFonts w:ascii="Times New Roman" w:eastAsia="Times New Roman" w:hAnsi="Times New Roman" w:cs="Times New Roman"/>
                <w:sz w:val="20"/>
                <w:szCs w:val="20"/>
              </w:rPr>
              <w:t>-0.0</w:t>
            </w:r>
            <w:r>
              <w:rPr>
                <w:rFonts w:ascii="Times New Roman" w:eastAsia="Times New Roman" w:hAnsi="Times New Roman" w:cs="Times New Roman"/>
                <w:sz w:val="20"/>
                <w:szCs w:val="20"/>
              </w:rPr>
              <w:t xml:space="preserve">8; </w:t>
            </w:r>
            <w:r w:rsidRPr="00DD4E95">
              <w:rPr>
                <w:rFonts w:ascii="Times New Roman" w:eastAsia="Times New Roman" w:hAnsi="Times New Roman" w:cs="Times New Roman"/>
                <w:sz w:val="20"/>
                <w:szCs w:val="20"/>
              </w:rPr>
              <w:t>0.01</w:t>
            </w:r>
            <w:r>
              <w:rPr>
                <w:rFonts w:ascii="Times New Roman" w:eastAsia="Times New Roman" w:hAnsi="Times New Roman" w:cs="Times New Roman"/>
                <w:sz w:val="20"/>
                <w:szCs w:val="20"/>
              </w:rPr>
              <w:t>3)</w:t>
            </w:r>
          </w:p>
        </w:tc>
        <w:tc>
          <w:tcPr>
            <w:tcW w:w="2429" w:type="dxa"/>
          </w:tcPr>
          <w:p w14:paraId="11A656DE" w14:textId="023F3159" w:rsidR="00A90839" w:rsidRPr="00C327EE"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C327EE">
              <w:rPr>
                <w:rFonts w:ascii="Times New Roman" w:eastAsia="Times New Roman" w:hAnsi="Times New Roman" w:cs="Times New Roman"/>
                <w:b/>
                <w:bCs/>
                <w:sz w:val="20"/>
                <w:szCs w:val="20"/>
              </w:rPr>
              <w:t>0.0043 (0.0003; 0.0083)</w:t>
            </w:r>
          </w:p>
        </w:tc>
        <w:tc>
          <w:tcPr>
            <w:tcW w:w="1347" w:type="dxa"/>
          </w:tcPr>
          <w:p w14:paraId="355F402A" w14:textId="62F715F0" w:rsidR="00A90839" w:rsidRPr="00C327EE"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C327EE">
              <w:rPr>
                <w:rFonts w:ascii="Times New Roman" w:eastAsia="Times New Roman" w:hAnsi="Times New Roman" w:cs="Times New Roman"/>
                <w:b/>
                <w:bCs/>
                <w:sz w:val="20"/>
                <w:szCs w:val="20"/>
              </w:rPr>
              <w:t>0.0373</w:t>
            </w:r>
          </w:p>
        </w:tc>
        <w:tc>
          <w:tcPr>
            <w:tcW w:w="1353" w:type="dxa"/>
          </w:tcPr>
          <w:p w14:paraId="222D69F8" w14:textId="7475B91A"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536FF">
              <w:rPr>
                <w:rFonts w:ascii="Times New Roman" w:eastAsia="Times New Roman" w:hAnsi="Times New Roman" w:cs="Times New Roman"/>
                <w:sz w:val="20"/>
                <w:szCs w:val="20"/>
              </w:rPr>
              <w:t>42.36</w:t>
            </w:r>
          </w:p>
        </w:tc>
        <w:tc>
          <w:tcPr>
            <w:tcW w:w="810" w:type="dxa"/>
            <w:gridSpan w:val="2"/>
          </w:tcPr>
          <w:p w14:paraId="43471959" w14:textId="1588AA95"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536FF">
              <w:rPr>
                <w:rFonts w:ascii="Times New Roman" w:eastAsia="Times New Roman" w:hAnsi="Times New Roman" w:cs="Times New Roman"/>
                <w:sz w:val="20"/>
                <w:szCs w:val="20"/>
              </w:rPr>
              <w:t>70.28</w:t>
            </w:r>
          </w:p>
        </w:tc>
        <w:tc>
          <w:tcPr>
            <w:tcW w:w="895" w:type="dxa"/>
          </w:tcPr>
          <w:p w14:paraId="19A44566" w14:textId="69DBC06B"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536FF">
              <w:rPr>
                <w:rFonts w:ascii="Times New Roman" w:eastAsia="Times New Roman" w:hAnsi="Times New Roman" w:cs="Times New Roman"/>
                <w:sz w:val="20"/>
                <w:szCs w:val="20"/>
              </w:rPr>
              <w:t>0.0014</w:t>
            </w:r>
          </w:p>
        </w:tc>
      </w:tr>
      <w:tr w:rsidR="00A90839" w14:paraId="7BB9392D"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01879619"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FFFFFF" w:themeFill="background1"/>
          </w:tcPr>
          <w:p w14:paraId="4995E611"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Year</w:t>
            </w:r>
          </w:p>
        </w:tc>
        <w:tc>
          <w:tcPr>
            <w:tcW w:w="993" w:type="dxa"/>
          </w:tcPr>
          <w:p w14:paraId="16A801BB" w14:textId="41D92860"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9</w:t>
            </w:r>
          </w:p>
        </w:tc>
        <w:tc>
          <w:tcPr>
            <w:tcW w:w="811" w:type="dxa"/>
          </w:tcPr>
          <w:p w14:paraId="465722EC" w14:textId="42EECE88"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479</w:t>
            </w:r>
          </w:p>
        </w:tc>
        <w:tc>
          <w:tcPr>
            <w:tcW w:w="2341" w:type="dxa"/>
          </w:tcPr>
          <w:p w14:paraId="17E39639" w14:textId="3F901130"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F921B3">
              <w:rPr>
                <w:rFonts w:ascii="Times New Roman" w:eastAsia="Times New Roman" w:hAnsi="Times New Roman" w:cs="Times New Roman"/>
                <w:sz w:val="20"/>
                <w:szCs w:val="20"/>
              </w:rPr>
              <w:t>-8.01</w:t>
            </w:r>
            <w:r>
              <w:rPr>
                <w:rFonts w:ascii="Times New Roman" w:eastAsia="Times New Roman" w:hAnsi="Times New Roman" w:cs="Times New Roman"/>
                <w:sz w:val="20"/>
                <w:szCs w:val="20"/>
              </w:rPr>
              <w:t xml:space="preserve"> (</w:t>
            </w:r>
            <w:r w:rsidRPr="00F921B3">
              <w:rPr>
                <w:rFonts w:ascii="Times New Roman" w:eastAsia="Times New Roman" w:hAnsi="Times New Roman" w:cs="Times New Roman"/>
                <w:sz w:val="20"/>
                <w:szCs w:val="20"/>
              </w:rPr>
              <w:t>-13.7</w:t>
            </w:r>
            <w:r>
              <w:rPr>
                <w:rFonts w:ascii="Times New Roman" w:eastAsia="Times New Roman" w:hAnsi="Times New Roman" w:cs="Times New Roman"/>
                <w:sz w:val="20"/>
                <w:szCs w:val="20"/>
              </w:rPr>
              <w:t xml:space="preserve">9; </w:t>
            </w:r>
            <w:r w:rsidRPr="00F921B3">
              <w:rPr>
                <w:rFonts w:ascii="Times New Roman" w:eastAsia="Times New Roman" w:hAnsi="Times New Roman" w:cs="Times New Roman"/>
                <w:sz w:val="20"/>
                <w:szCs w:val="20"/>
              </w:rPr>
              <w:t>-2.2</w:t>
            </w:r>
            <w:r>
              <w:rPr>
                <w:rFonts w:ascii="Times New Roman" w:eastAsia="Times New Roman" w:hAnsi="Times New Roman" w:cs="Times New Roman"/>
                <w:sz w:val="20"/>
                <w:szCs w:val="20"/>
              </w:rPr>
              <w:t>4)</w:t>
            </w:r>
          </w:p>
        </w:tc>
        <w:tc>
          <w:tcPr>
            <w:tcW w:w="2429" w:type="dxa"/>
          </w:tcPr>
          <w:p w14:paraId="1106BE0F" w14:textId="2384D7F0" w:rsidR="00A90839" w:rsidRPr="00CD538B"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CD538B">
              <w:rPr>
                <w:rFonts w:ascii="Times New Roman" w:eastAsia="Times New Roman" w:hAnsi="Times New Roman" w:cs="Times New Roman"/>
                <w:b/>
                <w:bCs/>
                <w:sz w:val="20"/>
                <w:szCs w:val="20"/>
              </w:rPr>
              <w:t>0.0040 (0.0011; 0.0068)</w:t>
            </w:r>
          </w:p>
        </w:tc>
        <w:tc>
          <w:tcPr>
            <w:tcW w:w="1347" w:type="dxa"/>
          </w:tcPr>
          <w:p w14:paraId="4AB60583" w14:textId="3F40BB90" w:rsidR="00A90839" w:rsidRPr="00CD538B"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CD538B">
              <w:rPr>
                <w:rFonts w:ascii="Times New Roman" w:eastAsia="Times New Roman" w:hAnsi="Times New Roman" w:cs="Times New Roman"/>
                <w:b/>
                <w:bCs/>
                <w:sz w:val="20"/>
                <w:szCs w:val="20"/>
              </w:rPr>
              <w:t>0.0064</w:t>
            </w:r>
          </w:p>
        </w:tc>
        <w:tc>
          <w:tcPr>
            <w:tcW w:w="1353" w:type="dxa"/>
          </w:tcPr>
          <w:p w14:paraId="43FE580B" w14:textId="58EC78A0"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8F4764">
              <w:rPr>
                <w:rFonts w:ascii="Times New Roman" w:eastAsia="Times New Roman" w:hAnsi="Times New Roman" w:cs="Times New Roman"/>
                <w:sz w:val="20"/>
                <w:szCs w:val="20"/>
              </w:rPr>
              <w:t>64.37</w:t>
            </w:r>
          </w:p>
        </w:tc>
        <w:tc>
          <w:tcPr>
            <w:tcW w:w="810" w:type="dxa"/>
            <w:gridSpan w:val="2"/>
          </w:tcPr>
          <w:p w14:paraId="0F847597" w14:textId="2E421A1B"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8F4764">
              <w:rPr>
                <w:rFonts w:ascii="Times New Roman" w:eastAsia="Times New Roman" w:hAnsi="Times New Roman" w:cs="Times New Roman"/>
                <w:sz w:val="20"/>
                <w:szCs w:val="20"/>
              </w:rPr>
              <w:t>58.58</w:t>
            </w:r>
          </w:p>
        </w:tc>
        <w:tc>
          <w:tcPr>
            <w:tcW w:w="895" w:type="dxa"/>
          </w:tcPr>
          <w:p w14:paraId="679FE24B" w14:textId="64688699"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8F4764">
              <w:rPr>
                <w:rFonts w:ascii="Times New Roman" w:eastAsia="Times New Roman" w:hAnsi="Times New Roman" w:cs="Times New Roman"/>
                <w:sz w:val="20"/>
                <w:szCs w:val="20"/>
              </w:rPr>
              <w:t>0.0181</w:t>
            </w:r>
          </w:p>
        </w:tc>
      </w:tr>
      <w:tr w:rsidR="004E3E6A" w14:paraId="61D28133"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val="restart"/>
            <w:shd w:val="clear" w:color="auto" w:fill="D9D9D9" w:themeFill="background1" w:themeFillShade="D9"/>
          </w:tcPr>
          <w:p w14:paraId="22291B6F" w14:textId="1C833DAF" w:rsidR="00A90839" w:rsidRDefault="00A90839" w:rsidP="00B97DB5">
            <w:pPr>
              <w:rPr>
                <w:rFonts w:ascii="Times New Roman" w:eastAsia="Times New Roman" w:hAnsi="Times New Roman" w:cs="Times New Roman"/>
                <w:sz w:val="20"/>
                <w:szCs w:val="20"/>
              </w:rPr>
            </w:pPr>
            <w:r>
              <w:rPr>
                <w:rFonts w:ascii="Times New Roman" w:eastAsia="Times New Roman" w:hAnsi="Times New Roman" w:cs="Times New Roman"/>
                <w:sz w:val="20"/>
                <w:szCs w:val="20"/>
              </w:rPr>
              <w:t>C-peptide (ng/ml)</w:t>
            </w:r>
          </w:p>
        </w:tc>
        <w:tc>
          <w:tcPr>
            <w:tcW w:w="1166" w:type="dxa"/>
            <w:shd w:val="clear" w:color="auto" w:fill="D9E2F3" w:themeFill="accent1" w:themeFillTint="33"/>
          </w:tcPr>
          <w:p w14:paraId="1E0E3C7B"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Age</w:t>
            </w:r>
          </w:p>
        </w:tc>
        <w:tc>
          <w:tcPr>
            <w:tcW w:w="993" w:type="dxa"/>
            <w:shd w:val="clear" w:color="auto" w:fill="D9E2F3" w:themeFill="accent1" w:themeFillTint="33"/>
          </w:tcPr>
          <w:p w14:paraId="2332F548" w14:textId="4A022B33"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11" w:type="dxa"/>
            <w:shd w:val="clear" w:color="auto" w:fill="D9E2F3" w:themeFill="accent1" w:themeFillTint="33"/>
          </w:tcPr>
          <w:p w14:paraId="74F88047" w14:textId="7071EAA8"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867</w:t>
            </w:r>
          </w:p>
        </w:tc>
        <w:tc>
          <w:tcPr>
            <w:tcW w:w="2341" w:type="dxa"/>
            <w:shd w:val="clear" w:color="auto" w:fill="D9E2F3" w:themeFill="accent1" w:themeFillTint="33"/>
          </w:tcPr>
          <w:p w14:paraId="7C5E1BAD" w14:textId="14FEB83D"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815524">
              <w:rPr>
                <w:rFonts w:ascii="Times New Roman" w:eastAsia="Times New Roman" w:hAnsi="Times New Roman" w:cs="Times New Roman"/>
                <w:sz w:val="20"/>
                <w:szCs w:val="20"/>
              </w:rPr>
              <w:t>-2.79</w:t>
            </w:r>
            <w:r>
              <w:rPr>
                <w:rFonts w:ascii="Times New Roman" w:eastAsia="Times New Roman" w:hAnsi="Times New Roman" w:cs="Times New Roman"/>
                <w:sz w:val="20"/>
                <w:szCs w:val="20"/>
              </w:rPr>
              <w:t xml:space="preserve"> (</w:t>
            </w:r>
            <w:r w:rsidRPr="00124DAF">
              <w:rPr>
                <w:rFonts w:ascii="Times New Roman" w:eastAsia="Times New Roman" w:hAnsi="Times New Roman" w:cs="Times New Roman"/>
                <w:sz w:val="20"/>
                <w:szCs w:val="20"/>
              </w:rPr>
              <w:t>-5.4</w:t>
            </w:r>
            <w:r>
              <w:rPr>
                <w:rFonts w:ascii="Times New Roman" w:eastAsia="Times New Roman" w:hAnsi="Times New Roman" w:cs="Times New Roman"/>
                <w:sz w:val="20"/>
                <w:szCs w:val="20"/>
              </w:rPr>
              <w:t xml:space="preserve">2; </w:t>
            </w:r>
            <w:r w:rsidRPr="00124DAF">
              <w:rPr>
                <w:rFonts w:ascii="Times New Roman" w:eastAsia="Times New Roman" w:hAnsi="Times New Roman" w:cs="Times New Roman"/>
                <w:sz w:val="20"/>
                <w:szCs w:val="20"/>
              </w:rPr>
              <w:t>-0.1</w:t>
            </w:r>
            <w:r>
              <w:rPr>
                <w:rFonts w:ascii="Times New Roman" w:eastAsia="Times New Roman" w:hAnsi="Times New Roman" w:cs="Times New Roman"/>
                <w:sz w:val="20"/>
                <w:szCs w:val="20"/>
              </w:rPr>
              <w:t>7)</w:t>
            </w:r>
          </w:p>
        </w:tc>
        <w:tc>
          <w:tcPr>
            <w:tcW w:w="2429" w:type="dxa"/>
            <w:shd w:val="clear" w:color="auto" w:fill="D9E2F3" w:themeFill="accent1" w:themeFillTint="33"/>
          </w:tcPr>
          <w:p w14:paraId="4158ADAA" w14:textId="5126CE1F" w:rsidR="00A90839" w:rsidRPr="00BB32B1"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BB32B1">
              <w:rPr>
                <w:rFonts w:ascii="Times New Roman" w:eastAsia="Times New Roman" w:hAnsi="Times New Roman" w:cs="Times New Roman"/>
                <w:b/>
                <w:bCs/>
                <w:sz w:val="20"/>
                <w:szCs w:val="20"/>
              </w:rPr>
              <w:t>0.049 (0.003; 0.096)</w:t>
            </w:r>
          </w:p>
        </w:tc>
        <w:tc>
          <w:tcPr>
            <w:tcW w:w="1347" w:type="dxa"/>
            <w:shd w:val="clear" w:color="auto" w:fill="D9E2F3" w:themeFill="accent1" w:themeFillTint="33"/>
          </w:tcPr>
          <w:p w14:paraId="020B294E" w14:textId="417D664B" w:rsidR="00A90839" w:rsidRPr="00BB32B1"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sz w:val="20"/>
                <w:szCs w:val="20"/>
              </w:rPr>
            </w:pPr>
            <w:r w:rsidRPr="00BB32B1">
              <w:rPr>
                <w:rFonts w:ascii="Times New Roman" w:eastAsia="Times New Roman" w:hAnsi="Times New Roman" w:cs="Times New Roman"/>
                <w:b/>
                <w:bCs/>
                <w:sz w:val="20"/>
                <w:szCs w:val="20"/>
              </w:rPr>
              <w:t>0.0372</w:t>
            </w:r>
          </w:p>
        </w:tc>
        <w:tc>
          <w:tcPr>
            <w:tcW w:w="1353" w:type="dxa"/>
            <w:shd w:val="clear" w:color="auto" w:fill="D9E2F3" w:themeFill="accent1" w:themeFillTint="33"/>
          </w:tcPr>
          <w:p w14:paraId="013C40F3" w14:textId="1235D870"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4C2C72">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7F9452D0" w14:textId="557B3F64"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84CBE">
              <w:rPr>
                <w:rFonts w:ascii="Times New Roman" w:eastAsia="Times New Roman" w:hAnsi="Times New Roman" w:cs="Times New Roman"/>
                <w:sz w:val="20"/>
                <w:szCs w:val="20"/>
              </w:rPr>
              <w:t>96.67</w:t>
            </w:r>
          </w:p>
        </w:tc>
        <w:tc>
          <w:tcPr>
            <w:tcW w:w="895" w:type="dxa"/>
            <w:shd w:val="clear" w:color="auto" w:fill="D9E2F3" w:themeFill="accent1" w:themeFillTint="33"/>
          </w:tcPr>
          <w:p w14:paraId="7839F0A9"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r w:rsidR="004E3E6A" w14:paraId="67657F3D"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63B35A77"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72A2785F"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BMI</w:t>
            </w:r>
          </w:p>
        </w:tc>
        <w:tc>
          <w:tcPr>
            <w:tcW w:w="993" w:type="dxa"/>
            <w:shd w:val="clear" w:color="auto" w:fill="D9E2F3" w:themeFill="accent1" w:themeFillTint="33"/>
          </w:tcPr>
          <w:p w14:paraId="5DF0B8FD" w14:textId="5B0C052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11" w:type="dxa"/>
            <w:shd w:val="clear" w:color="auto" w:fill="D9E2F3" w:themeFill="accent1" w:themeFillTint="33"/>
          </w:tcPr>
          <w:p w14:paraId="76F5B213" w14:textId="772E8999"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867</w:t>
            </w:r>
          </w:p>
        </w:tc>
        <w:tc>
          <w:tcPr>
            <w:tcW w:w="2341" w:type="dxa"/>
            <w:shd w:val="clear" w:color="auto" w:fill="D9E2F3" w:themeFill="accent1" w:themeFillTint="33"/>
          </w:tcPr>
          <w:p w14:paraId="4ABD7FE2" w14:textId="3D48A407"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A22036">
              <w:rPr>
                <w:rFonts w:ascii="Times New Roman" w:eastAsia="Times New Roman" w:hAnsi="Times New Roman" w:cs="Times New Roman"/>
                <w:sz w:val="20"/>
                <w:szCs w:val="20"/>
              </w:rPr>
              <w:t>-0.</w:t>
            </w:r>
            <w:r>
              <w:rPr>
                <w:rFonts w:ascii="Times New Roman" w:eastAsia="Times New Roman" w:hAnsi="Times New Roman" w:cs="Times New Roman"/>
                <w:sz w:val="20"/>
                <w:szCs w:val="20"/>
              </w:rPr>
              <w:t>80 (</w:t>
            </w:r>
            <w:r w:rsidRPr="00A22036">
              <w:rPr>
                <w:rFonts w:ascii="Times New Roman" w:eastAsia="Times New Roman" w:hAnsi="Times New Roman" w:cs="Times New Roman"/>
                <w:sz w:val="20"/>
                <w:szCs w:val="20"/>
              </w:rPr>
              <w:t>-3.52</w:t>
            </w:r>
            <w:r>
              <w:rPr>
                <w:rFonts w:ascii="Times New Roman" w:eastAsia="Times New Roman" w:hAnsi="Times New Roman" w:cs="Times New Roman"/>
                <w:sz w:val="20"/>
                <w:szCs w:val="20"/>
              </w:rPr>
              <w:t xml:space="preserve">; </w:t>
            </w:r>
            <w:r w:rsidRPr="00A22036">
              <w:rPr>
                <w:rFonts w:ascii="Times New Roman" w:eastAsia="Times New Roman" w:hAnsi="Times New Roman" w:cs="Times New Roman"/>
                <w:sz w:val="20"/>
                <w:szCs w:val="20"/>
              </w:rPr>
              <w:t>1.9</w:t>
            </w:r>
            <w:r>
              <w:rPr>
                <w:rFonts w:ascii="Times New Roman" w:eastAsia="Times New Roman" w:hAnsi="Times New Roman" w:cs="Times New Roman"/>
                <w:sz w:val="20"/>
                <w:szCs w:val="20"/>
              </w:rPr>
              <w:t>3)</w:t>
            </w:r>
          </w:p>
        </w:tc>
        <w:tc>
          <w:tcPr>
            <w:tcW w:w="2429" w:type="dxa"/>
            <w:shd w:val="clear" w:color="auto" w:fill="D9E2F3" w:themeFill="accent1" w:themeFillTint="33"/>
          </w:tcPr>
          <w:p w14:paraId="62DFDA0A" w14:textId="095D3AD2"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A22036">
              <w:rPr>
                <w:rFonts w:ascii="Times New Roman" w:eastAsia="Times New Roman" w:hAnsi="Times New Roman" w:cs="Times New Roman"/>
                <w:sz w:val="20"/>
                <w:szCs w:val="20"/>
              </w:rPr>
              <w:t>0.027</w:t>
            </w:r>
            <w:r>
              <w:rPr>
                <w:rFonts w:ascii="Times New Roman" w:eastAsia="Times New Roman" w:hAnsi="Times New Roman" w:cs="Times New Roman"/>
                <w:sz w:val="20"/>
                <w:szCs w:val="20"/>
              </w:rPr>
              <w:t xml:space="preserve"> (</w:t>
            </w:r>
            <w:r w:rsidRPr="00A22036">
              <w:rPr>
                <w:rFonts w:ascii="Times New Roman" w:eastAsia="Times New Roman" w:hAnsi="Times New Roman" w:cs="Times New Roman"/>
                <w:sz w:val="20"/>
                <w:szCs w:val="20"/>
              </w:rPr>
              <w:t>-0.067</w:t>
            </w:r>
            <w:r>
              <w:rPr>
                <w:rFonts w:ascii="Times New Roman" w:eastAsia="Times New Roman" w:hAnsi="Times New Roman" w:cs="Times New Roman"/>
                <w:sz w:val="20"/>
                <w:szCs w:val="20"/>
              </w:rPr>
              <w:t xml:space="preserve">; </w:t>
            </w:r>
            <w:r w:rsidRPr="00A22036">
              <w:rPr>
                <w:rFonts w:ascii="Times New Roman" w:eastAsia="Times New Roman" w:hAnsi="Times New Roman" w:cs="Times New Roman"/>
                <w:sz w:val="20"/>
                <w:szCs w:val="20"/>
              </w:rPr>
              <w:t>0.121</w:t>
            </w:r>
            <w:r>
              <w:rPr>
                <w:rFonts w:ascii="Times New Roman" w:eastAsia="Times New Roman" w:hAnsi="Times New Roman" w:cs="Times New Roman"/>
                <w:sz w:val="20"/>
                <w:szCs w:val="20"/>
              </w:rPr>
              <w:t>)</w:t>
            </w:r>
          </w:p>
        </w:tc>
        <w:tc>
          <w:tcPr>
            <w:tcW w:w="1347" w:type="dxa"/>
            <w:shd w:val="clear" w:color="auto" w:fill="D9E2F3" w:themeFill="accent1" w:themeFillTint="33"/>
          </w:tcPr>
          <w:p w14:paraId="40BCA2C6" w14:textId="1B8718E2" w:rsidR="00A90839" w:rsidRPr="0074205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7213DA">
              <w:rPr>
                <w:rFonts w:ascii="Times New Roman" w:eastAsia="Times New Roman" w:hAnsi="Times New Roman" w:cs="Times New Roman"/>
                <w:sz w:val="20"/>
                <w:szCs w:val="20"/>
              </w:rPr>
              <w:t>0.5723</w:t>
            </w:r>
          </w:p>
        </w:tc>
        <w:tc>
          <w:tcPr>
            <w:tcW w:w="1353" w:type="dxa"/>
            <w:shd w:val="clear" w:color="auto" w:fill="D9E2F3" w:themeFill="accent1" w:themeFillTint="33"/>
          </w:tcPr>
          <w:p w14:paraId="1FBD6A69" w14:textId="03C5485F"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40A807E0" w14:textId="19A4369E"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7213DA">
              <w:rPr>
                <w:rFonts w:ascii="Times New Roman" w:eastAsia="Times New Roman" w:hAnsi="Times New Roman" w:cs="Times New Roman"/>
                <w:sz w:val="20"/>
                <w:szCs w:val="20"/>
              </w:rPr>
              <w:t>96.77</w:t>
            </w:r>
          </w:p>
        </w:tc>
        <w:tc>
          <w:tcPr>
            <w:tcW w:w="895" w:type="dxa"/>
            <w:shd w:val="clear" w:color="auto" w:fill="D9E2F3" w:themeFill="accent1" w:themeFillTint="33"/>
          </w:tcPr>
          <w:p w14:paraId="0942EC07"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r w:rsidR="004E3E6A" w:rsidRPr="00D220AD" w14:paraId="3CB17A9F"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3BCF37EE"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17A1671A" w14:textId="498B53F4"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Baseline C-peptide</w:t>
            </w:r>
          </w:p>
        </w:tc>
        <w:tc>
          <w:tcPr>
            <w:tcW w:w="993" w:type="dxa"/>
            <w:shd w:val="clear" w:color="auto" w:fill="D9E2F3" w:themeFill="accent1" w:themeFillTint="33"/>
          </w:tcPr>
          <w:p w14:paraId="25FD086B" w14:textId="00BCD760"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10 </w:t>
            </w:r>
          </w:p>
        </w:tc>
        <w:tc>
          <w:tcPr>
            <w:tcW w:w="811" w:type="dxa"/>
            <w:shd w:val="clear" w:color="auto" w:fill="D9E2F3" w:themeFill="accent1" w:themeFillTint="33"/>
          </w:tcPr>
          <w:p w14:paraId="7738BEA5" w14:textId="45CFE6EF"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777</w:t>
            </w:r>
          </w:p>
        </w:tc>
        <w:tc>
          <w:tcPr>
            <w:tcW w:w="2341" w:type="dxa"/>
            <w:shd w:val="clear" w:color="auto" w:fill="D9E2F3" w:themeFill="accent1" w:themeFillTint="33"/>
          </w:tcPr>
          <w:p w14:paraId="56F6AE9C" w14:textId="2AAB320B"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124734">
              <w:rPr>
                <w:rFonts w:ascii="Times New Roman" w:eastAsia="Times New Roman" w:hAnsi="Times New Roman" w:cs="Times New Roman"/>
                <w:sz w:val="20"/>
                <w:szCs w:val="20"/>
              </w:rPr>
              <w:t>-0.24</w:t>
            </w:r>
            <w:r>
              <w:rPr>
                <w:rFonts w:ascii="Times New Roman" w:eastAsia="Times New Roman" w:hAnsi="Times New Roman" w:cs="Times New Roman"/>
                <w:sz w:val="20"/>
                <w:szCs w:val="20"/>
              </w:rPr>
              <w:t xml:space="preserve"> (</w:t>
            </w:r>
            <w:r w:rsidRPr="00124734">
              <w:rPr>
                <w:rFonts w:ascii="Times New Roman" w:eastAsia="Times New Roman" w:hAnsi="Times New Roman" w:cs="Times New Roman"/>
                <w:sz w:val="20"/>
                <w:szCs w:val="20"/>
              </w:rPr>
              <w:t>-0.7</w:t>
            </w:r>
            <w:r>
              <w:rPr>
                <w:rFonts w:ascii="Times New Roman" w:eastAsia="Times New Roman" w:hAnsi="Times New Roman" w:cs="Times New Roman"/>
                <w:sz w:val="20"/>
                <w:szCs w:val="20"/>
              </w:rPr>
              <w:t xml:space="preserve">8; </w:t>
            </w:r>
            <w:r w:rsidRPr="00124734">
              <w:rPr>
                <w:rFonts w:ascii="Times New Roman" w:eastAsia="Times New Roman" w:hAnsi="Times New Roman" w:cs="Times New Roman"/>
                <w:sz w:val="20"/>
                <w:szCs w:val="20"/>
              </w:rPr>
              <w:t>0.2</w:t>
            </w:r>
            <w:r>
              <w:rPr>
                <w:rFonts w:ascii="Times New Roman" w:eastAsia="Times New Roman" w:hAnsi="Times New Roman" w:cs="Times New Roman"/>
                <w:sz w:val="20"/>
                <w:szCs w:val="20"/>
              </w:rPr>
              <w:t>9)</w:t>
            </w:r>
          </w:p>
        </w:tc>
        <w:tc>
          <w:tcPr>
            <w:tcW w:w="2429" w:type="dxa"/>
            <w:shd w:val="clear" w:color="auto" w:fill="D9E2F3" w:themeFill="accent1" w:themeFillTint="33"/>
          </w:tcPr>
          <w:p w14:paraId="50957B73" w14:textId="0AD3873E"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F3E79">
              <w:rPr>
                <w:rFonts w:ascii="Times New Roman" w:eastAsia="Times New Roman" w:hAnsi="Times New Roman" w:cs="Times New Roman"/>
                <w:sz w:val="20"/>
                <w:szCs w:val="20"/>
              </w:rPr>
              <w:t>0.14</w:t>
            </w:r>
            <w:r>
              <w:rPr>
                <w:rFonts w:ascii="Times New Roman" w:eastAsia="Times New Roman" w:hAnsi="Times New Roman" w:cs="Times New Roman"/>
                <w:sz w:val="20"/>
                <w:szCs w:val="20"/>
              </w:rPr>
              <w:t>1 (</w:t>
            </w:r>
            <w:r w:rsidRPr="00DF3E79">
              <w:rPr>
                <w:rFonts w:ascii="Times New Roman" w:eastAsia="Times New Roman" w:hAnsi="Times New Roman" w:cs="Times New Roman"/>
                <w:sz w:val="20"/>
                <w:szCs w:val="20"/>
              </w:rPr>
              <w:t>-0.10</w:t>
            </w:r>
            <w:r>
              <w:rPr>
                <w:rFonts w:ascii="Times New Roman" w:eastAsia="Times New Roman" w:hAnsi="Times New Roman" w:cs="Times New Roman"/>
                <w:sz w:val="20"/>
                <w:szCs w:val="20"/>
              </w:rPr>
              <w:t xml:space="preserve">7; </w:t>
            </w:r>
            <w:r w:rsidRPr="00DF3E79">
              <w:rPr>
                <w:rFonts w:ascii="Times New Roman" w:eastAsia="Times New Roman" w:hAnsi="Times New Roman" w:cs="Times New Roman"/>
                <w:sz w:val="20"/>
                <w:szCs w:val="20"/>
              </w:rPr>
              <w:t>0.388</w:t>
            </w:r>
            <w:r>
              <w:rPr>
                <w:rFonts w:ascii="Times New Roman" w:eastAsia="Times New Roman" w:hAnsi="Times New Roman" w:cs="Times New Roman"/>
                <w:sz w:val="20"/>
                <w:szCs w:val="20"/>
              </w:rPr>
              <w:t>)</w:t>
            </w:r>
          </w:p>
        </w:tc>
        <w:tc>
          <w:tcPr>
            <w:tcW w:w="1347" w:type="dxa"/>
            <w:shd w:val="clear" w:color="auto" w:fill="D9E2F3" w:themeFill="accent1" w:themeFillTint="33"/>
          </w:tcPr>
          <w:p w14:paraId="11ADD062" w14:textId="138FF407"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F3E79">
              <w:rPr>
                <w:rFonts w:ascii="Times New Roman" w:eastAsia="Times New Roman" w:hAnsi="Times New Roman" w:cs="Times New Roman"/>
                <w:sz w:val="20"/>
                <w:szCs w:val="20"/>
              </w:rPr>
              <w:t>0.2647</w:t>
            </w:r>
          </w:p>
        </w:tc>
        <w:tc>
          <w:tcPr>
            <w:tcW w:w="1353" w:type="dxa"/>
            <w:shd w:val="clear" w:color="auto" w:fill="D9E2F3" w:themeFill="accent1" w:themeFillTint="33"/>
          </w:tcPr>
          <w:p w14:paraId="541FFEC4" w14:textId="7AC7FE41"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6A7D83C3" w14:textId="032B18C1"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E667E4">
              <w:rPr>
                <w:rFonts w:ascii="Times New Roman" w:eastAsia="Times New Roman" w:hAnsi="Times New Roman" w:cs="Times New Roman"/>
                <w:sz w:val="20"/>
                <w:szCs w:val="20"/>
              </w:rPr>
              <w:t>97.43</w:t>
            </w:r>
          </w:p>
        </w:tc>
        <w:tc>
          <w:tcPr>
            <w:tcW w:w="895" w:type="dxa"/>
            <w:shd w:val="clear" w:color="auto" w:fill="D9E2F3" w:themeFill="accent1" w:themeFillTint="33"/>
          </w:tcPr>
          <w:p w14:paraId="6C34B285" w14:textId="77777777" w:rsidR="00A90839" w:rsidRPr="00D220A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r w:rsidR="004E3E6A" w14:paraId="2CA81B85" w14:textId="77777777" w:rsidTr="00396D06">
        <w:trPr>
          <w:cnfStyle w:val="000000100000" w:firstRow="0" w:lastRow="0" w:firstColumn="0" w:lastColumn="0" w:oddVBand="0" w:evenVBand="0" w:oddHBand="1" w:evenHBand="0" w:firstRowFirstColumn="0" w:firstRowLastColumn="0" w:lastRowFirstColumn="0" w:lastRowLastColumn="0"/>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60F1621B"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274D8665" w14:textId="77777777" w:rsidR="00A90839" w:rsidRDefault="00A90839" w:rsidP="00B97DB5">
            <w:pP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Intervention Duration </w:t>
            </w:r>
          </w:p>
        </w:tc>
        <w:tc>
          <w:tcPr>
            <w:tcW w:w="993" w:type="dxa"/>
            <w:shd w:val="clear" w:color="auto" w:fill="D9E2F3" w:themeFill="accent1" w:themeFillTint="33"/>
          </w:tcPr>
          <w:p w14:paraId="64298956" w14:textId="7A9E8904"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11" w:type="dxa"/>
            <w:shd w:val="clear" w:color="auto" w:fill="D9E2F3" w:themeFill="accent1" w:themeFillTint="33"/>
          </w:tcPr>
          <w:p w14:paraId="28868E5F" w14:textId="2EFB5AFC"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867</w:t>
            </w:r>
          </w:p>
        </w:tc>
        <w:tc>
          <w:tcPr>
            <w:tcW w:w="2341" w:type="dxa"/>
            <w:shd w:val="clear" w:color="auto" w:fill="D9E2F3" w:themeFill="accent1" w:themeFillTint="33"/>
          </w:tcPr>
          <w:p w14:paraId="4D109C17" w14:textId="78B17C12" w:rsidR="00A90839" w:rsidRPr="0017438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747A54">
              <w:rPr>
                <w:rFonts w:ascii="Times New Roman" w:eastAsia="Times New Roman" w:hAnsi="Times New Roman" w:cs="Times New Roman"/>
                <w:sz w:val="20"/>
                <w:szCs w:val="20"/>
              </w:rPr>
              <w:t>0.43</w:t>
            </w:r>
            <w:r>
              <w:rPr>
                <w:rFonts w:ascii="Times New Roman" w:eastAsia="Times New Roman" w:hAnsi="Times New Roman" w:cs="Times New Roman"/>
                <w:sz w:val="20"/>
                <w:szCs w:val="20"/>
              </w:rPr>
              <w:t xml:space="preserve"> (</w:t>
            </w:r>
            <w:r w:rsidRPr="00747A54">
              <w:rPr>
                <w:rFonts w:ascii="Times New Roman" w:eastAsia="Times New Roman" w:hAnsi="Times New Roman" w:cs="Times New Roman"/>
                <w:sz w:val="20"/>
                <w:szCs w:val="20"/>
              </w:rPr>
              <w:t>-0.0</w:t>
            </w:r>
            <w:r>
              <w:rPr>
                <w:rFonts w:ascii="Times New Roman" w:eastAsia="Times New Roman" w:hAnsi="Times New Roman" w:cs="Times New Roman"/>
                <w:sz w:val="20"/>
                <w:szCs w:val="20"/>
              </w:rPr>
              <w:t xml:space="preserve">50; </w:t>
            </w:r>
            <w:r w:rsidRPr="00747A54">
              <w:rPr>
                <w:rFonts w:ascii="Times New Roman" w:eastAsia="Times New Roman" w:hAnsi="Times New Roman" w:cs="Times New Roman"/>
                <w:sz w:val="20"/>
                <w:szCs w:val="20"/>
              </w:rPr>
              <w:t>0.9</w:t>
            </w:r>
            <w:r>
              <w:rPr>
                <w:rFonts w:ascii="Times New Roman" w:eastAsia="Times New Roman" w:hAnsi="Times New Roman" w:cs="Times New Roman"/>
                <w:sz w:val="20"/>
                <w:szCs w:val="20"/>
              </w:rPr>
              <w:t>2)</w:t>
            </w:r>
          </w:p>
        </w:tc>
        <w:tc>
          <w:tcPr>
            <w:tcW w:w="2429" w:type="dxa"/>
            <w:shd w:val="clear" w:color="auto" w:fill="D9E2F3" w:themeFill="accent1" w:themeFillTint="33"/>
          </w:tcPr>
          <w:p w14:paraId="1141066F" w14:textId="1D07F27C" w:rsidR="00A90839" w:rsidRPr="006B147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6B147D">
              <w:rPr>
                <w:rFonts w:ascii="Times New Roman" w:eastAsia="Times New Roman" w:hAnsi="Times New Roman" w:cs="Times New Roman"/>
                <w:b/>
                <w:bCs/>
                <w:sz w:val="20"/>
                <w:szCs w:val="20"/>
              </w:rPr>
              <w:t>-0.030 (-0.059; -0.002)</w:t>
            </w:r>
          </w:p>
        </w:tc>
        <w:tc>
          <w:tcPr>
            <w:tcW w:w="1347" w:type="dxa"/>
            <w:shd w:val="clear" w:color="auto" w:fill="D9E2F3" w:themeFill="accent1" w:themeFillTint="33"/>
          </w:tcPr>
          <w:p w14:paraId="06A08F45" w14:textId="4BBA87D5" w:rsidR="00A90839" w:rsidRPr="006B147D"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sz w:val="20"/>
                <w:szCs w:val="20"/>
              </w:rPr>
            </w:pPr>
            <w:r w:rsidRPr="006B147D">
              <w:rPr>
                <w:rFonts w:ascii="Times New Roman" w:eastAsia="Times New Roman" w:hAnsi="Times New Roman" w:cs="Times New Roman"/>
                <w:b/>
                <w:bCs/>
                <w:sz w:val="20"/>
                <w:szCs w:val="20"/>
              </w:rPr>
              <w:t>0.0358</w:t>
            </w:r>
          </w:p>
        </w:tc>
        <w:tc>
          <w:tcPr>
            <w:tcW w:w="1353" w:type="dxa"/>
            <w:shd w:val="clear" w:color="auto" w:fill="D9E2F3" w:themeFill="accent1" w:themeFillTint="33"/>
          </w:tcPr>
          <w:p w14:paraId="58A4ED5B" w14:textId="62CE1A2C"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B147D">
              <w:rPr>
                <w:rFonts w:ascii="Times New Roman" w:eastAsia="Times New Roman" w:hAnsi="Times New Roman" w:cs="Times New Roman"/>
                <w:sz w:val="20"/>
                <w:szCs w:val="20"/>
              </w:rPr>
              <w:t>1.13</w:t>
            </w:r>
          </w:p>
        </w:tc>
        <w:tc>
          <w:tcPr>
            <w:tcW w:w="810" w:type="dxa"/>
            <w:gridSpan w:val="2"/>
            <w:shd w:val="clear" w:color="auto" w:fill="D9E2F3" w:themeFill="accent1" w:themeFillTint="33"/>
          </w:tcPr>
          <w:p w14:paraId="4A32AB1A" w14:textId="2EF0A9FB" w:rsidR="00A90839" w:rsidRPr="0063246C"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6B147D">
              <w:rPr>
                <w:rFonts w:ascii="Times New Roman" w:eastAsia="Times New Roman" w:hAnsi="Times New Roman" w:cs="Times New Roman"/>
                <w:sz w:val="20"/>
                <w:szCs w:val="20"/>
              </w:rPr>
              <w:t>96.38</w:t>
            </w:r>
          </w:p>
        </w:tc>
        <w:tc>
          <w:tcPr>
            <w:tcW w:w="895" w:type="dxa"/>
            <w:shd w:val="clear" w:color="auto" w:fill="D9E2F3" w:themeFill="accent1" w:themeFillTint="33"/>
          </w:tcPr>
          <w:p w14:paraId="14DAE5A1" w14:textId="77777777" w:rsidR="00A90839" w:rsidRDefault="00A90839" w:rsidP="00B97DB5">
            <w:pPr>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r w:rsidR="004E3E6A" w14:paraId="7A144C8B" w14:textId="77777777" w:rsidTr="00396D06">
        <w:trPr>
          <w:trHeight w:val="368"/>
        </w:trPr>
        <w:tc>
          <w:tcPr>
            <w:cnfStyle w:val="001000000000" w:firstRow="0" w:lastRow="0" w:firstColumn="1" w:lastColumn="0" w:oddVBand="0" w:evenVBand="0" w:oddHBand="0" w:evenHBand="0" w:firstRowFirstColumn="0" w:firstRowLastColumn="0" w:lastRowFirstColumn="0" w:lastRowLastColumn="0"/>
            <w:tcW w:w="1260" w:type="dxa"/>
            <w:vMerge/>
            <w:shd w:val="clear" w:color="auto" w:fill="D9D9D9" w:themeFill="background1" w:themeFillShade="D9"/>
          </w:tcPr>
          <w:p w14:paraId="4834827A" w14:textId="77777777" w:rsidR="00A90839" w:rsidRDefault="00A90839" w:rsidP="00B97DB5">
            <w:pPr>
              <w:rPr>
                <w:rFonts w:ascii="Times New Roman" w:eastAsia="Times New Roman" w:hAnsi="Times New Roman" w:cs="Times New Roman"/>
                <w:sz w:val="20"/>
                <w:szCs w:val="20"/>
              </w:rPr>
            </w:pPr>
          </w:p>
        </w:tc>
        <w:tc>
          <w:tcPr>
            <w:tcW w:w="1166" w:type="dxa"/>
            <w:shd w:val="clear" w:color="auto" w:fill="D9E2F3" w:themeFill="accent1" w:themeFillTint="33"/>
          </w:tcPr>
          <w:p w14:paraId="217E4EE6" w14:textId="77777777" w:rsidR="00A90839" w:rsidRDefault="00A90839" w:rsidP="00B97DB5">
            <w:pP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Year</w:t>
            </w:r>
          </w:p>
        </w:tc>
        <w:tc>
          <w:tcPr>
            <w:tcW w:w="993" w:type="dxa"/>
            <w:shd w:val="clear" w:color="auto" w:fill="D9E2F3" w:themeFill="accent1" w:themeFillTint="33"/>
          </w:tcPr>
          <w:p w14:paraId="05A59976" w14:textId="6AFA2685"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811" w:type="dxa"/>
            <w:shd w:val="clear" w:color="auto" w:fill="D9E2F3" w:themeFill="accent1" w:themeFillTint="33"/>
          </w:tcPr>
          <w:p w14:paraId="3CFCF76B" w14:textId="19A4BB79"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867</w:t>
            </w:r>
          </w:p>
        </w:tc>
        <w:tc>
          <w:tcPr>
            <w:tcW w:w="2341" w:type="dxa"/>
            <w:shd w:val="clear" w:color="auto" w:fill="D9E2F3" w:themeFill="accent1" w:themeFillTint="33"/>
          </w:tcPr>
          <w:p w14:paraId="4FAC9C83" w14:textId="60EFDAB2" w:rsidR="00A90839" w:rsidRPr="0017438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AE6D89">
              <w:rPr>
                <w:rFonts w:ascii="Times New Roman" w:eastAsia="Times New Roman" w:hAnsi="Times New Roman" w:cs="Times New Roman"/>
                <w:sz w:val="20"/>
                <w:szCs w:val="20"/>
              </w:rPr>
              <w:t>113.39</w:t>
            </w:r>
            <w:r>
              <w:rPr>
                <w:rFonts w:ascii="Times New Roman" w:eastAsia="Times New Roman" w:hAnsi="Times New Roman" w:cs="Times New Roman"/>
                <w:sz w:val="20"/>
                <w:szCs w:val="20"/>
              </w:rPr>
              <w:t xml:space="preserve"> (</w:t>
            </w:r>
            <w:r w:rsidRPr="00AE6D89">
              <w:rPr>
                <w:rFonts w:ascii="Times New Roman" w:eastAsia="Times New Roman" w:hAnsi="Times New Roman" w:cs="Times New Roman"/>
                <w:sz w:val="20"/>
                <w:szCs w:val="20"/>
              </w:rPr>
              <w:t>-101.31</w:t>
            </w:r>
            <w:r>
              <w:rPr>
                <w:rFonts w:ascii="Times New Roman" w:eastAsia="Times New Roman" w:hAnsi="Times New Roman" w:cs="Times New Roman"/>
                <w:sz w:val="20"/>
                <w:szCs w:val="20"/>
              </w:rPr>
              <w:t xml:space="preserve">; </w:t>
            </w:r>
            <w:r w:rsidRPr="00AE6D89">
              <w:rPr>
                <w:rFonts w:ascii="Times New Roman" w:eastAsia="Times New Roman" w:hAnsi="Times New Roman" w:cs="Times New Roman"/>
                <w:sz w:val="20"/>
                <w:szCs w:val="20"/>
              </w:rPr>
              <w:t>328.10</w:t>
            </w:r>
            <w:r>
              <w:rPr>
                <w:rFonts w:ascii="Times New Roman" w:eastAsia="Times New Roman" w:hAnsi="Times New Roman" w:cs="Times New Roman"/>
                <w:sz w:val="20"/>
                <w:szCs w:val="20"/>
              </w:rPr>
              <w:t>)</w:t>
            </w:r>
          </w:p>
        </w:tc>
        <w:tc>
          <w:tcPr>
            <w:tcW w:w="2429" w:type="dxa"/>
            <w:shd w:val="clear" w:color="auto" w:fill="D9E2F3" w:themeFill="accent1" w:themeFillTint="33"/>
          </w:tcPr>
          <w:p w14:paraId="2BFD22DC" w14:textId="7C301D35"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770CD">
              <w:rPr>
                <w:rFonts w:ascii="Times New Roman" w:eastAsia="Times New Roman" w:hAnsi="Times New Roman" w:cs="Times New Roman"/>
                <w:sz w:val="20"/>
                <w:szCs w:val="20"/>
              </w:rPr>
              <w:t>-0.05</w:t>
            </w:r>
            <w:r>
              <w:rPr>
                <w:rFonts w:ascii="Times New Roman" w:eastAsia="Times New Roman" w:hAnsi="Times New Roman" w:cs="Times New Roman"/>
                <w:sz w:val="20"/>
                <w:szCs w:val="20"/>
              </w:rPr>
              <w:t>6 (</w:t>
            </w:r>
            <w:r w:rsidRPr="00D770CD">
              <w:rPr>
                <w:rFonts w:ascii="Times New Roman" w:eastAsia="Times New Roman" w:hAnsi="Times New Roman" w:cs="Times New Roman"/>
                <w:sz w:val="20"/>
                <w:szCs w:val="20"/>
              </w:rPr>
              <w:t>-0.16</w:t>
            </w:r>
            <w:r>
              <w:rPr>
                <w:rFonts w:ascii="Times New Roman" w:eastAsia="Times New Roman" w:hAnsi="Times New Roman" w:cs="Times New Roman"/>
                <w:sz w:val="20"/>
                <w:szCs w:val="20"/>
              </w:rPr>
              <w:t xml:space="preserve">3; </w:t>
            </w:r>
            <w:r w:rsidRPr="00D770CD">
              <w:rPr>
                <w:rFonts w:ascii="Times New Roman" w:eastAsia="Times New Roman" w:hAnsi="Times New Roman" w:cs="Times New Roman"/>
                <w:sz w:val="20"/>
                <w:szCs w:val="20"/>
              </w:rPr>
              <w:t>0.050</w:t>
            </w:r>
            <w:r>
              <w:rPr>
                <w:rFonts w:ascii="Times New Roman" w:eastAsia="Times New Roman" w:hAnsi="Times New Roman" w:cs="Times New Roman"/>
                <w:sz w:val="20"/>
                <w:szCs w:val="20"/>
              </w:rPr>
              <w:t>)</w:t>
            </w:r>
          </w:p>
        </w:tc>
        <w:tc>
          <w:tcPr>
            <w:tcW w:w="1347" w:type="dxa"/>
            <w:shd w:val="clear" w:color="auto" w:fill="D9E2F3" w:themeFill="accent1" w:themeFillTint="33"/>
          </w:tcPr>
          <w:p w14:paraId="292F2086" w14:textId="2A153E68" w:rsidR="00A90839" w:rsidRPr="0074205D"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9F1D00">
              <w:rPr>
                <w:rFonts w:ascii="Times New Roman" w:eastAsia="Times New Roman" w:hAnsi="Times New Roman" w:cs="Times New Roman"/>
                <w:sz w:val="20"/>
                <w:szCs w:val="20"/>
              </w:rPr>
              <w:t>0.3005</w:t>
            </w:r>
          </w:p>
        </w:tc>
        <w:tc>
          <w:tcPr>
            <w:tcW w:w="1353" w:type="dxa"/>
            <w:shd w:val="clear" w:color="auto" w:fill="D9E2F3" w:themeFill="accent1" w:themeFillTint="33"/>
          </w:tcPr>
          <w:p w14:paraId="0FFF7CEA" w14:textId="5E36D1C0"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Pr>
                <w:rFonts w:ascii="Times New Roman" w:eastAsia="Times New Roman" w:hAnsi="Times New Roman" w:cs="Times New Roman"/>
                <w:sz w:val="20"/>
                <w:szCs w:val="20"/>
              </w:rPr>
              <w:t>0.0</w:t>
            </w:r>
          </w:p>
        </w:tc>
        <w:tc>
          <w:tcPr>
            <w:tcW w:w="810" w:type="dxa"/>
            <w:gridSpan w:val="2"/>
            <w:shd w:val="clear" w:color="auto" w:fill="D9E2F3" w:themeFill="accent1" w:themeFillTint="33"/>
          </w:tcPr>
          <w:p w14:paraId="5767D461" w14:textId="5DCAD55E" w:rsidR="00A90839" w:rsidRPr="0063246C"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9F1D00">
              <w:rPr>
                <w:rFonts w:ascii="Times New Roman" w:eastAsia="Times New Roman" w:hAnsi="Times New Roman" w:cs="Times New Roman"/>
                <w:sz w:val="20"/>
                <w:szCs w:val="20"/>
              </w:rPr>
              <w:t>96.61</w:t>
            </w:r>
          </w:p>
        </w:tc>
        <w:tc>
          <w:tcPr>
            <w:tcW w:w="895" w:type="dxa"/>
            <w:shd w:val="clear" w:color="auto" w:fill="D9E2F3" w:themeFill="accent1" w:themeFillTint="33"/>
          </w:tcPr>
          <w:p w14:paraId="454B6FFE" w14:textId="77777777" w:rsidR="00A90839" w:rsidRDefault="00A90839" w:rsidP="00B97DB5">
            <w:pPr>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0"/>
                <w:szCs w:val="20"/>
              </w:rPr>
            </w:pPr>
            <w:r w:rsidRPr="00D220AD">
              <w:rPr>
                <w:rFonts w:ascii="Times New Roman" w:eastAsia="Times New Roman" w:hAnsi="Times New Roman" w:cs="Times New Roman"/>
                <w:sz w:val="20"/>
                <w:szCs w:val="20"/>
              </w:rPr>
              <w:t>&lt;0.0001</w:t>
            </w:r>
          </w:p>
        </w:tc>
      </w:tr>
    </w:tbl>
    <w:p w14:paraId="0BD35CB3" w14:textId="77777777" w:rsidR="001C6967" w:rsidRDefault="001C6967" w:rsidP="001C6967">
      <w:pPr>
        <w:spacing w:after="0" w:line="240" w:lineRule="auto"/>
        <w:jc w:val="both"/>
        <w:rPr>
          <w:rFonts w:ascii="Times New Roman" w:eastAsia="Times New Roman" w:hAnsi="Times New Roman" w:cs="Times New Roman"/>
          <w:bCs/>
          <w:sz w:val="20"/>
          <w:szCs w:val="20"/>
        </w:rPr>
      </w:pPr>
    </w:p>
    <w:p w14:paraId="4698017D" w14:textId="062919C7" w:rsidR="001C6967" w:rsidRDefault="001C6967" w:rsidP="001C6967">
      <w:pPr>
        <w:spacing w:after="0" w:line="240" w:lineRule="auto"/>
        <w:jc w:val="both"/>
        <w:rPr>
          <w:rFonts w:ascii="Times New Roman" w:hAnsi="Times New Roman" w:cs="Times New Roman"/>
          <w:sz w:val="20"/>
          <w:szCs w:val="20"/>
        </w:rPr>
      </w:pPr>
      <w:r>
        <w:rPr>
          <w:rFonts w:ascii="Times New Roman" w:eastAsia="Times New Roman" w:hAnsi="Times New Roman" w:cs="Times New Roman"/>
          <w:bCs/>
          <w:sz w:val="20"/>
          <w:szCs w:val="20"/>
        </w:rPr>
        <w:t>In cases where the quantitative measurements for the mean age</w:t>
      </w:r>
      <w:r w:rsidR="00EA02E2">
        <w:rPr>
          <w:rFonts w:ascii="Times New Roman" w:eastAsia="Times New Roman" w:hAnsi="Times New Roman" w:cs="Times New Roman"/>
          <w:bCs/>
          <w:sz w:val="20"/>
          <w:szCs w:val="20"/>
        </w:rPr>
        <w:t xml:space="preserve"> or</w:t>
      </w:r>
      <w:r w:rsidR="005D0E05">
        <w:rPr>
          <w:rFonts w:ascii="Times New Roman" w:eastAsia="Times New Roman" w:hAnsi="Times New Roman" w:cs="Times New Roman"/>
          <w:bCs/>
          <w:sz w:val="20"/>
          <w:szCs w:val="20"/>
        </w:rPr>
        <w:t xml:space="preserve"> baseline BMI </w:t>
      </w:r>
      <w:r>
        <w:rPr>
          <w:rFonts w:ascii="Times New Roman" w:eastAsia="Times New Roman" w:hAnsi="Times New Roman" w:cs="Times New Roman"/>
          <w:bCs/>
          <w:sz w:val="20"/>
          <w:szCs w:val="20"/>
        </w:rPr>
        <w:t>were not reported</w:t>
      </w:r>
      <w:r w:rsidR="00285FD3" w:rsidRPr="00773D3E">
        <w:rPr>
          <w:rFonts w:ascii="Times New Roman" w:eastAsia="Times New Roman" w:hAnsi="Times New Roman" w:cs="Times New Roman"/>
          <w:bCs/>
          <w:sz w:val="20"/>
          <w:szCs w:val="20"/>
        </w:rPr>
        <w:t xml:space="preserve">, the </w:t>
      </w:r>
      <w:r w:rsidR="00285FD3">
        <w:rPr>
          <w:rFonts w:ascii="Times New Roman" w:eastAsia="Times New Roman" w:hAnsi="Times New Roman" w:cs="Times New Roman"/>
          <w:bCs/>
          <w:sz w:val="20"/>
          <w:szCs w:val="20"/>
        </w:rPr>
        <w:t xml:space="preserve">values were imputed from the </w:t>
      </w:r>
      <w:r w:rsidR="00285FD3" w:rsidRPr="00773D3E">
        <w:rPr>
          <w:rFonts w:ascii="Times New Roman" w:eastAsia="Times New Roman" w:hAnsi="Times New Roman" w:cs="Times New Roman"/>
          <w:bCs/>
          <w:sz w:val="20"/>
          <w:szCs w:val="20"/>
        </w:rPr>
        <w:t>pooled median of the remaining trials</w:t>
      </w:r>
      <w:r w:rsidR="008E5340">
        <w:rPr>
          <w:rFonts w:ascii="Times New Roman" w:eastAsia="Times New Roman" w:hAnsi="Times New Roman" w:cs="Times New Roman"/>
          <w:bCs/>
          <w:sz w:val="20"/>
          <w:szCs w:val="20"/>
        </w:rPr>
        <w:t>.</w:t>
      </w:r>
      <w:r w:rsidR="009441C1">
        <w:rPr>
          <w:rFonts w:ascii="Times New Roman" w:eastAsia="Times New Roman" w:hAnsi="Times New Roman" w:cs="Times New Roman"/>
          <w:bCs/>
          <w:sz w:val="20"/>
          <w:szCs w:val="20"/>
        </w:rPr>
        <w:t xml:space="preserve"> </w:t>
      </w:r>
      <w:r w:rsidRPr="00026C2A">
        <w:rPr>
          <w:rFonts w:ascii="Times New Roman" w:hAnsi="Times New Roman" w:cs="Times New Roman"/>
          <w:b/>
          <w:bCs/>
          <w:sz w:val="20"/>
          <w:szCs w:val="20"/>
        </w:rPr>
        <w:t>Bold text</w:t>
      </w:r>
      <w:r>
        <w:rPr>
          <w:rFonts w:ascii="Times New Roman" w:hAnsi="Times New Roman" w:cs="Times New Roman"/>
          <w:sz w:val="20"/>
          <w:szCs w:val="20"/>
        </w:rPr>
        <w:t xml:space="preserve"> has been used to highlight significant effect of a covariate on the effect sizes for that respective biomarker.</w:t>
      </w:r>
    </w:p>
    <w:p w14:paraId="507DF6AB" w14:textId="77777777" w:rsidR="001C6967" w:rsidRDefault="001C6967" w:rsidP="001C6967">
      <w:pPr>
        <w:spacing w:after="0" w:line="240" w:lineRule="auto"/>
        <w:jc w:val="both"/>
        <w:rPr>
          <w:rFonts w:ascii="Times New Roman" w:hAnsi="Times New Roman" w:cs="Times New Roman"/>
          <w:sz w:val="20"/>
          <w:szCs w:val="20"/>
        </w:rPr>
      </w:pPr>
    </w:p>
    <w:p w14:paraId="0C59D145" w14:textId="77777777" w:rsidR="00BC5779" w:rsidRDefault="00BC5779">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14:paraId="4CC61893" w14:textId="5A6DEB44" w:rsidR="00BC5779" w:rsidRDefault="00BC5779" w:rsidP="00BC5779">
      <w:pPr>
        <w:pStyle w:val="Heading1"/>
        <w:rPr>
          <w:b w:val="0"/>
          <w:bCs w:val="0"/>
        </w:rPr>
      </w:pPr>
      <w:bookmarkStart w:id="12" w:name="_Toc116234670"/>
      <w:r w:rsidRPr="00B07EBE">
        <w:lastRenderedPageBreak/>
        <w:t xml:space="preserve">Supplementary </w:t>
      </w:r>
      <w:r>
        <w:t>Table S</w:t>
      </w:r>
      <w:r w:rsidR="007E5691">
        <w:t>T</w:t>
      </w:r>
      <w:r>
        <w:t xml:space="preserve">7. </w:t>
      </w:r>
      <w:r w:rsidR="009576DC">
        <w:rPr>
          <w:b w:val="0"/>
          <w:bCs w:val="0"/>
        </w:rPr>
        <w:t>Summary of the Order of Eff</w:t>
      </w:r>
      <w:r w:rsidR="002B5521">
        <w:rPr>
          <w:b w:val="0"/>
          <w:bCs w:val="0"/>
        </w:rPr>
        <w:t>icacies</w:t>
      </w:r>
      <w:r w:rsidR="009576DC">
        <w:rPr>
          <w:b w:val="0"/>
          <w:bCs w:val="0"/>
        </w:rPr>
        <w:t xml:space="preserve"> of the various Nutraceutical Types classified by </w:t>
      </w:r>
      <w:r w:rsidR="007A5E90">
        <w:rPr>
          <w:b w:val="0"/>
          <w:bCs w:val="0"/>
        </w:rPr>
        <w:t>Biomarker.</w:t>
      </w:r>
      <w:bookmarkEnd w:id="12"/>
      <w:r w:rsidR="007A5E90">
        <w:rPr>
          <w:b w:val="0"/>
          <w:bCs w:val="0"/>
        </w:rPr>
        <w:t xml:space="preserve"> </w:t>
      </w:r>
    </w:p>
    <w:tbl>
      <w:tblPr>
        <w:tblStyle w:val="PlainTable2"/>
        <w:tblW w:w="0" w:type="auto"/>
        <w:tblLook w:val="04A0" w:firstRow="1" w:lastRow="0" w:firstColumn="1" w:lastColumn="0" w:noHBand="0" w:noVBand="1"/>
      </w:tblPr>
      <w:tblGrid>
        <w:gridCol w:w="2158"/>
        <w:gridCol w:w="2158"/>
        <w:gridCol w:w="2158"/>
        <w:gridCol w:w="2158"/>
        <w:gridCol w:w="2159"/>
        <w:gridCol w:w="2159"/>
      </w:tblGrid>
      <w:tr w:rsidR="009576DC" w:rsidRPr="00DB59A4" w14:paraId="330A6D15" w14:textId="77777777" w:rsidTr="00A2662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tcPr>
          <w:p w14:paraId="1D9EF9D0" w14:textId="72ACB9CC" w:rsidR="009576DC" w:rsidRPr="00DB59A4" w:rsidRDefault="0028398E" w:rsidP="009576DC">
            <w:pPr>
              <w:rPr>
                <w:rFonts w:ascii="Times New Roman" w:hAnsi="Times New Roman" w:cs="Times New Roman"/>
              </w:rPr>
            </w:pPr>
            <w:r w:rsidRPr="00DB59A4">
              <w:rPr>
                <w:rFonts w:ascii="Times New Roman" w:hAnsi="Times New Roman" w:cs="Times New Roman"/>
              </w:rPr>
              <w:t>Biomarker</w:t>
            </w:r>
          </w:p>
        </w:tc>
        <w:tc>
          <w:tcPr>
            <w:tcW w:w="2158" w:type="dxa"/>
          </w:tcPr>
          <w:p w14:paraId="76E25C5A" w14:textId="7A5792CE" w:rsidR="009576DC" w:rsidRPr="00DB59A4" w:rsidRDefault="000A3707" w:rsidP="009576D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Most Eff</w:t>
            </w:r>
            <w:r w:rsidR="00DD052A">
              <w:rPr>
                <w:rFonts w:ascii="Times New Roman" w:hAnsi="Times New Roman" w:cs="Times New Roman"/>
              </w:rPr>
              <w:t>icacy</w:t>
            </w:r>
          </w:p>
        </w:tc>
        <w:tc>
          <w:tcPr>
            <w:tcW w:w="2158" w:type="dxa"/>
          </w:tcPr>
          <w:p w14:paraId="64FDE6F3" w14:textId="77777777" w:rsidR="009576DC" w:rsidRPr="00DB59A4" w:rsidRDefault="009576DC" w:rsidP="009576D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58" w:type="dxa"/>
          </w:tcPr>
          <w:p w14:paraId="7B91D4A9" w14:textId="77777777" w:rsidR="009576DC" w:rsidRPr="00DB59A4" w:rsidRDefault="009576DC" w:rsidP="009576D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59" w:type="dxa"/>
          </w:tcPr>
          <w:p w14:paraId="2498562D" w14:textId="77777777" w:rsidR="009576DC" w:rsidRPr="00DB59A4" w:rsidRDefault="009576DC" w:rsidP="009576D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p>
        </w:tc>
        <w:tc>
          <w:tcPr>
            <w:tcW w:w="2159" w:type="dxa"/>
          </w:tcPr>
          <w:p w14:paraId="032EBCB7" w14:textId="441BD945" w:rsidR="009576DC" w:rsidRPr="00DB59A4" w:rsidRDefault="000A3707" w:rsidP="009576DC">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Least Eff</w:t>
            </w:r>
            <w:r w:rsidR="00DD052A">
              <w:rPr>
                <w:rFonts w:ascii="Times New Roman" w:hAnsi="Times New Roman" w:cs="Times New Roman"/>
              </w:rPr>
              <w:t>icacy</w:t>
            </w:r>
          </w:p>
        </w:tc>
      </w:tr>
      <w:tr w:rsidR="009576DC" w:rsidRPr="00DB59A4" w14:paraId="2C60BCC4" w14:textId="77777777" w:rsidTr="00A266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tcPr>
          <w:p w14:paraId="3183726B" w14:textId="7EA69796" w:rsidR="009576DC" w:rsidRPr="00DB59A4" w:rsidRDefault="009576DC" w:rsidP="009576DC">
            <w:pPr>
              <w:rPr>
                <w:rFonts w:ascii="Times New Roman" w:hAnsi="Times New Roman" w:cs="Times New Roman"/>
              </w:rPr>
            </w:pPr>
          </w:p>
        </w:tc>
        <w:tc>
          <w:tcPr>
            <w:tcW w:w="2158" w:type="dxa"/>
          </w:tcPr>
          <w:p w14:paraId="1AC92E11" w14:textId="77777777" w:rsidR="009576DC" w:rsidRPr="00DB59A4" w:rsidRDefault="009576DC" w:rsidP="009576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58" w:type="dxa"/>
          </w:tcPr>
          <w:p w14:paraId="32F908AF" w14:textId="77777777" w:rsidR="009576DC" w:rsidRPr="00DB59A4" w:rsidRDefault="009576DC" w:rsidP="009576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58" w:type="dxa"/>
          </w:tcPr>
          <w:p w14:paraId="16CEF87E" w14:textId="77777777" w:rsidR="009576DC" w:rsidRPr="00DB59A4" w:rsidRDefault="009576DC" w:rsidP="009576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59" w:type="dxa"/>
          </w:tcPr>
          <w:p w14:paraId="1D1FC83A" w14:textId="77777777" w:rsidR="009576DC" w:rsidRPr="00DB59A4" w:rsidRDefault="009576DC" w:rsidP="009576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c>
          <w:tcPr>
            <w:tcW w:w="2159" w:type="dxa"/>
          </w:tcPr>
          <w:p w14:paraId="6751135D" w14:textId="77777777" w:rsidR="009576DC" w:rsidRPr="00DB59A4" w:rsidRDefault="009576DC" w:rsidP="009576DC">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p>
        </w:tc>
      </w:tr>
      <w:tr w:rsidR="00834B4A" w:rsidRPr="00DB59A4" w14:paraId="312901A1" w14:textId="77777777" w:rsidTr="0099658E">
        <w:tc>
          <w:tcPr>
            <w:cnfStyle w:val="001000000000" w:firstRow="0" w:lastRow="0" w:firstColumn="1" w:lastColumn="0" w:oddVBand="0" w:evenVBand="0" w:oddHBand="0" w:evenHBand="0" w:firstRowFirstColumn="0" w:firstRowLastColumn="0" w:lastRowFirstColumn="0" w:lastRowLastColumn="0"/>
            <w:tcW w:w="2158" w:type="dxa"/>
          </w:tcPr>
          <w:p w14:paraId="320785BD" w14:textId="52016581" w:rsidR="00834B4A" w:rsidRPr="00DB59A4" w:rsidRDefault="00834B4A" w:rsidP="00834B4A">
            <w:pPr>
              <w:rPr>
                <w:rFonts w:ascii="Times New Roman" w:hAnsi="Times New Roman" w:cs="Times New Roman"/>
              </w:rPr>
            </w:pPr>
            <w:r w:rsidRPr="00DB59A4">
              <w:rPr>
                <w:rFonts w:ascii="Times New Roman" w:hAnsi="Times New Roman" w:cs="Times New Roman"/>
              </w:rPr>
              <w:t>FPG</w:t>
            </w:r>
          </w:p>
        </w:tc>
        <w:tc>
          <w:tcPr>
            <w:tcW w:w="2158" w:type="dxa"/>
            <w:shd w:val="clear" w:color="auto" w:fill="D9E2F3" w:themeFill="accent1" w:themeFillTint="33"/>
          </w:tcPr>
          <w:p w14:paraId="65A27C99" w14:textId="357A8A5D" w:rsidR="00834B4A" w:rsidRPr="00DB59A4" w:rsidRDefault="00834B4A"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PRE</w:t>
            </w:r>
            <w:r w:rsidR="0007734A" w:rsidRPr="00DB59A4">
              <w:rPr>
                <w:rFonts w:ascii="Times New Roman" w:hAnsi="Times New Roman" w:cs="Times New Roman"/>
              </w:rPr>
              <w:t xml:space="preserve">BIOTIC </w:t>
            </w:r>
            <w:r w:rsidR="0007734A" w:rsidRPr="00DB59A4">
              <w:rPr>
                <w:rFonts w:ascii="Times New Roman" w:hAnsi="Times New Roman" w:cs="Times New Roman"/>
                <w:vertAlign w:val="subscript"/>
              </w:rPr>
              <w:t>[</w:t>
            </w:r>
            <w:r w:rsidRPr="00DB59A4">
              <w:rPr>
                <w:rFonts w:ascii="Times New Roman" w:hAnsi="Times New Roman" w:cs="Times New Roman"/>
                <w:vertAlign w:val="subscript"/>
              </w:rPr>
              <w:t>12</w:t>
            </w:r>
            <w:r w:rsidR="0007734A" w:rsidRPr="00DB59A4">
              <w:rPr>
                <w:rFonts w:ascii="Times New Roman" w:hAnsi="Times New Roman" w:cs="Times New Roman"/>
                <w:vertAlign w:val="subscript"/>
              </w:rPr>
              <w:t>]</w:t>
            </w:r>
          </w:p>
        </w:tc>
        <w:tc>
          <w:tcPr>
            <w:tcW w:w="2158" w:type="dxa"/>
            <w:shd w:val="clear" w:color="auto" w:fill="D9E2F3" w:themeFill="accent1" w:themeFillTint="33"/>
          </w:tcPr>
          <w:p w14:paraId="2592EABA" w14:textId="14578D2B" w:rsidR="00834B4A" w:rsidRPr="00DB59A4" w:rsidRDefault="0007734A"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vertAlign w:val="subscript"/>
              </w:rPr>
            </w:pPr>
            <w:r w:rsidRPr="00DB59A4">
              <w:rPr>
                <w:rFonts w:ascii="Times New Roman" w:hAnsi="Times New Roman" w:cs="Times New Roman"/>
              </w:rPr>
              <w:t xml:space="preserve">SYNBIOTIC(M) </w:t>
            </w:r>
            <w:r w:rsidRPr="00DB59A4">
              <w:rPr>
                <w:rFonts w:ascii="Times New Roman" w:hAnsi="Times New Roman" w:cs="Times New Roman"/>
                <w:vertAlign w:val="subscript"/>
              </w:rPr>
              <w:t>[12]</w:t>
            </w:r>
          </w:p>
        </w:tc>
        <w:tc>
          <w:tcPr>
            <w:tcW w:w="2158" w:type="dxa"/>
            <w:shd w:val="clear" w:color="auto" w:fill="D9E2F3" w:themeFill="accent1" w:themeFillTint="33"/>
          </w:tcPr>
          <w:p w14:paraId="10439FB0" w14:textId="3442B4D7" w:rsidR="00834B4A" w:rsidRPr="00DB59A4" w:rsidRDefault="00C8201C"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PROBIOTIC(S) </w:t>
            </w:r>
            <w:r w:rsidRPr="00DB59A4">
              <w:rPr>
                <w:rFonts w:ascii="Times New Roman" w:hAnsi="Times New Roman" w:cs="Times New Roman"/>
                <w:vertAlign w:val="subscript"/>
              </w:rPr>
              <w:t>[12]</w:t>
            </w:r>
          </w:p>
        </w:tc>
        <w:tc>
          <w:tcPr>
            <w:tcW w:w="2159" w:type="dxa"/>
            <w:shd w:val="clear" w:color="auto" w:fill="D9E2F3" w:themeFill="accent1" w:themeFillTint="33"/>
          </w:tcPr>
          <w:p w14:paraId="0D51ECAC" w14:textId="426ECD03" w:rsidR="00834B4A" w:rsidRPr="00DB59A4" w:rsidRDefault="00C8201C"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PROBIOTIC(M)</w:t>
            </w:r>
            <w:r w:rsidR="00B07A70" w:rsidRPr="00DB59A4">
              <w:rPr>
                <w:rFonts w:ascii="Times New Roman" w:hAnsi="Times New Roman" w:cs="Times New Roman"/>
              </w:rPr>
              <w:t xml:space="preserve"> </w:t>
            </w:r>
            <w:r w:rsidR="00B07A70" w:rsidRPr="00DB59A4">
              <w:rPr>
                <w:rFonts w:ascii="Times New Roman" w:hAnsi="Times New Roman" w:cs="Times New Roman"/>
                <w:vertAlign w:val="subscript"/>
              </w:rPr>
              <w:t>[24]</w:t>
            </w:r>
          </w:p>
        </w:tc>
        <w:tc>
          <w:tcPr>
            <w:tcW w:w="2159" w:type="dxa"/>
            <w:shd w:val="clear" w:color="auto" w:fill="D9D9D9" w:themeFill="background1" w:themeFillShade="D9"/>
          </w:tcPr>
          <w:p w14:paraId="1AF12BC6" w14:textId="67AD4EB0" w:rsidR="00834B4A" w:rsidRPr="00DB59A4" w:rsidRDefault="00B07A70"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SYNBIOTIC(S) </w:t>
            </w:r>
            <w:r w:rsidRPr="00DB59A4">
              <w:rPr>
                <w:rFonts w:ascii="Times New Roman" w:hAnsi="Times New Roman" w:cs="Times New Roman"/>
                <w:vertAlign w:val="subscript"/>
              </w:rPr>
              <w:t>[6]</w:t>
            </w:r>
          </w:p>
        </w:tc>
      </w:tr>
      <w:tr w:rsidR="00834B4A" w:rsidRPr="00DB59A4" w14:paraId="5CFE038F" w14:textId="77777777" w:rsidTr="00996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tcPr>
          <w:p w14:paraId="0D3047E5" w14:textId="1A9FE8B2" w:rsidR="00834B4A" w:rsidRPr="00DB59A4" w:rsidRDefault="00834B4A" w:rsidP="00834B4A">
            <w:pPr>
              <w:rPr>
                <w:rFonts w:ascii="Times New Roman" w:hAnsi="Times New Roman" w:cs="Times New Roman"/>
              </w:rPr>
            </w:pPr>
            <w:r w:rsidRPr="00DB59A4">
              <w:rPr>
                <w:rFonts w:ascii="Times New Roman" w:hAnsi="Times New Roman" w:cs="Times New Roman"/>
              </w:rPr>
              <w:t>HbA1c</w:t>
            </w:r>
          </w:p>
        </w:tc>
        <w:tc>
          <w:tcPr>
            <w:tcW w:w="2158" w:type="dxa"/>
            <w:shd w:val="clear" w:color="auto" w:fill="D9E2F3" w:themeFill="accent1" w:themeFillTint="33"/>
          </w:tcPr>
          <w:p w14:paraId="1042DDD5" w14:textId="10BAB952" w:rsidR="00834B4A" w:rsidRPr="00DB59A4" w:rsidRDefault="00274418"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SYNBIOTIC(M) </w:t>
            </w:r>
            <w:r w:rsidRPr="00DB59A4">
              <w:rPr>
                <w:rFonts w:ascii="Times New Roman" w:hAnsi="Times New Roman" w:cs="Times New Roman"/>
                <w:vertAlign w:val="subscript"/>
              </w:rPr>
              <w:t>[8]</w:t>
            </w:r>
          </w:p>
        </w:tc>
        <w:tc>
          <w:tcPr>
            <w:tcW w:w="2158" w:type="dxa"/>
            <w:shd w:val="clear" w:color="auto" w:fill="D9E2F3" w:themeFill="accent1" w:themeFillTint="33"/>
          </w:tcPr>
          <w:p w14:paraId="7044EC59" w14:textId="357618C3" w:rsidR="00834B4A" w:rsidRPr="00DB59A4" w:rsidRDefault="000A26CD"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PREBIOTIC </w:t>
            </w:r>
            <w:r w:rsidRPr="00DB59A4">
              <w:rPr>
                <w:rFonts w:ascii="Times New Roman" w:hAnsi="Times New Roman" w:cs="Times New Roman"/>
                <w:vertAlign w:val="subscript"/>
              </w:rPr>
              <w:t>[12]</w:t>
            </w:r>
          </w:p>
        </w:tc>
        <w:tc>
          <w:tcPr>
            <w:tcW w:w="2158" w:type="dxa"/>
            <w:shd w:val="clear" w:color="auto" w:fill="D9E2F3" w:themeFill="accent1" w:themeFillTint="33"/>
          </w:tcPr>
          <w:p w14:paraId="1F2C0679" w14:textId="05F1E804" w:rsidR="00834B4A" w:rsidRPr="00DB59A4" w:rsidRDefault="000A26CD"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PROBIOTIC(M) </w:t>
            </w:r>
            <w:r w:rsidRPr="00DB59A4">
              <w:rPr>
                <w:rFonts w:ascii="Times New Roman" w:hAnsi="Times New Roman" w:cs="Times New Roman"/>
                <w:vertAlign w:val="subscript"/>
              </w:rPr>
              <w:t>[16]</w:t>
            </w:r>
          </w:p>
        </w:tc>
        <w:tc>
          <w:tcPr>
            <w:tcW w:w="2159" w:type="dxa"/>
            <w:shd w:val="clear" w:color="auto" w:fill="D9D9D9" w:themeFill="background1" w:themeFillShade="D9"/>
          </w:tcPr>
          <w:p w14:paraId="77011869" w14:textId="09D58CFD" w:rsidR="00834B4A" w:rsidRPr="00DB59A4" w:rsidRDefault="00BC3BEC"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SYN</w:t>
            </w:r>
            <w:r w:rsidR="000A26CD" w:rsidRPr="00DB59A4">
              <w:rPr>
                <w:rFonts w:ascii="Times New Roman" w:hAnsi="Times New Roman" w:cs="Times New Roman"/>
              </w:rPr>
              <w:t xml:space="preserve">BIOTIC(S) </w:t>
            </w:r>
            <w:r w:rsidR="000A26CD" w:rsidRPr="00DB59A4">
              <w:rPr>
                <w:rFonts w:ascii="Times New Roman" w:hAnsi="Times New Roman" w:cs="Times New Roman"/>
                <w:vertAlign w:val="subscript"/>
              </w:rPr>
              <w:t>[</w:t>
            </w:r>
            <w:r w:rsidRPr="00DB59A4">
              <w:rPr>
                <w:rFonts w:ascii="Times New Roman" w:hAnsi="Times New Roman" w:cs="Times New Roman"/>
                <w:vertAlign w:val="subscript"/>
              </w:rPr>
              <w:t>2</w:t>
            </w:r>
            <w:r w:rsidR="000A26CD" w:rsidRPr="00DB59A4">
              <w:rPr>
                <w:rFonts w:ascii="Times New Roman" w:hAnsi="Times New Roman" w:cs="Times New Roman"/>
                <w:vertAlign w:val="subscript"/>
              </w:rPr>
              <w:t>]</w:t>
            </w:r>
          </w:p>
        </w:tc>
        <w:tc>
          <w:tcPr>
            <w:tcW w:w="2159" w:type="dxa"/>
            <w:shd w:val="clear" w:color="auto" w:fill="D9D9D9" w:themeFill="background1" w:themeFillShade="D9"/>
          </w:tcPr>
          <w:p w14:paraId="001266CA" w14:textId="760471F8" w:rsidR="00834B4A" w:rsidRPr="00DB59A4" w:rsidRDefault="00BC3BEC"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PROBIOTIC(S) </w:t>
            </w:r>
            <w:r w:rsidRPr="00DB59A4">
              <w:rPr>
                <w:rFonts w:ascii="Times New Roman" w:hAnsi="Times New Roman" w:cs="Times New Roman"/>
                <w:vertAlign w:val="subscript"/>
              </w:rPr>
              <w:t>[10]</w:t>
            </w:r>
          </w:p>
        </w:tc>
      </w:tr>
      <w:tr w:rsidR="00834B4A" w:rsidRPr="00DB59A4" w14:paraId="1AE679E3" w14:textId="77777777" w:rsidTr="0099658E">
        <w:tc>
          <w:tcPr>
            <w:cnfStyle w:val="001000000000" w:firstRow="0" w:lastRow="0" w:firstColumn="1" w:lastColumn="0" w:oddVBand="0" w:evenVBand="0" w:oddHBand="0" w:evenHBand="0" w:firstRowFirstColumn="0" w:firstRowLastColumn="0" w:lastRowFirstColumn="0" w:lastRowLastColumn="0"/>
            <w:tcW w:w="2158" w:type="dxa"/>
          </w:tcPr>
          <w:p w14:paraId="17DB7D4A" w14:textId="03AEBE8C" w:rsidR="00834B4A" w:rsidRPr="00DB59A4" w:rsidRDefault="00834B4A" w:rsidP="00834B4A">
            <w:pPr>
              <w:rPr>
                <w:rFonts w:ascii="Times New Roman" w:hAnsi="Times New Roman" w:cs="Times New Roman"/>
              </w:rPr>
            </w:pPr>
            <w:r w:rsidRPr="00DB59A4">
              <w:rPr>
                <w:rFonts w:ascii="Times New Roman" w:hAnsi="Times New Roman" w:cs="Times New Roman"/>
              </w:rPr>
              <w:t>Insulin</w:t>
            </w:r>
          </w:p>
        </w:tc>
        <w:tc>
          <w:tcPr>
            <w:tcW w:w="2158" w:type="dxa"/>
            <w:shd w:val="clear" w:color="auto" w:fill="D9E2F3" w:themeFill="accent1" w:themeFillTint="33"/>
          </w:tcPr>
          <w:p w14:paraId="5A62360E" w14:textId="66DBDEB1" w:rsidR="00834B4A" w:rsidRPr="00DB59A4" w:rsidRDefault="00677DEB"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SYNBIOTIC(S) </w:t>
            </w:r>
            <w:r w:rsidRPr="00DB59A4">
              <w:rPr>
                <w:rFonts w:ascii="Times New Roman" w:hAnsi="Times New Roman" w:cs="Times New Roman"/>
                <w:vertAlign w:val="subscript"/>
              </w:rPr>
              <w:t>[4]</w:t>
            </w:r>
          </w:p>
        </w:tc>
        <w:tc>
          <w:tcPr>
            <w:tcW w:w="2158" w:type="dxa"/>
            <w:shd w:val="clear" w:color="auto" w:fill="D9E2F3" w:themeFill="accent1" w:themeFillTint="33"/>
          </w:tcPr>
          <w:p w14:paraId="04C09D71" w14:textId="2D8FB67D" w:rsidR="00834B4A" w:rsidRPr="00DB59A4" w:rsidRDefault="00677DEB"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SYNBIOTIC(M) </w:t>
            </w:r>
            <w:r w:rsidRPr="00DB59A4">
              <w:rPr>
                <w:rFonts w:ascii="Times New Roman" w:hAnsi="Times New Roman" w:cs="Times New Roman"/>
                <w:vertAlign w:val="subscript"/>
              </w:rPr>
              <w:t>[6]</w:t>
            </w:r>
          </w:p>
        </w:tc>
        <w:tc>
          <w:tcPr>
            <w:tcW w:w="2158" w:type="dxa"/>
            <w:shd w:val="clear" w:color="auto" w:fill="D9E2F3" w:themeFill="accent1" w:themeFillTint="33"/>
          </w:tcPr>
          <w:p w14:paraId="6C64B02B" w14:textId="2531ACFF" w:rsidR="00834B4A" w:rsidRPr="00DB59A4" w:rsidRDefault="00677DEB"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PROBIOTIC(M) </w:t>
            </w:r>
            <w:r w:rsidRPr="00DB59A4">
              <w:rPr>
                <w:rFonts w:ascii="Times New Roman" w:hAnsi="Times New Roman" w:cs="Times New Roman"/>
                <w:vertAlign w:val="subscript"/>
              </w:rPr>
              <w:t>[19]</w:t>
            </w:r>
          </w:p>
        </w:tc>
        <w:tc>
          <w:tcPr>
            <w:tcW w:w="2159" w:type="dxa"/>
            <w:shd w:val="clear" w:color="auto" w:fill="D9D9D9" w:themeFill="background1" w:themeFillShade="D9"/>
          </w:tcPr>
          <w:p w14:paraId="6DC763B2" w14:textId="1D394171" w:rsidR="00834B4A" w:rsidRPr="00DB59A4" w:rsidRDefault="00350075"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PROBIOTIC(S) </w:t>
            </w:r>
            <w:r w:rsidRPr="00DB59A4">
              <w:rPr>
                <w:rFonts w:ascii="Times New Roman" w:hAnsi="Times New Roman" w:cs="Times New Roman"/>
                <w:vertAlign w:val="subscript"/>
              </w:rPr>
              <w:t>[5]</w:t>
            </w:r>
          </w:p>
        </w:tc>
        <w:tc>
          <w:tcPr>
            <w:tcW w:w="2159" w:type="dxa"/>
            <w:shd w:val="clear" w:color="auto" w:fill="D9D9D9" w:themeFill="background1" w:themeFillShade="D9"/>
          </w:tcPr>
          <w:p w14:paraId="15488A18" w14:textId="522C7D9E" w:rsidR="00834B4A" w:rsidRPr="00DB59A4" w:rsidRDefault="00350075"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PR</w:t>
            </w:r>
            <w:r w:rsidR="00463A94" w:rsidRPr="00DB59A4">
              <w:rPr>
                <w:rFonts w:ascii="Times New Roman" w:hAnsi="Times New Roman" w:cs="Times New Roman"/>
              </w:rPr>
              <w:t xml:space="preserve">EBIOTIC </w:t>
            </w:r>
            <w:r w:rsidR="00463A94" w:rsidRPr="00DB59A4">
              <w:rPr>
                <w:rFonts w:ascii="Times New Roman" w:hAnsi="Times New Roman" w:cs="Times New Roman"/>
                <w:vertAlign w:val="subscript"/>
              </w:rPr>
              <w:t>[6]</w:t>
            </w:r>
          </w:p>
        </w:tc>
      </w:tr>
      <w:tr w:rsidR="00834B4A" w:rsidRPr="00DB59A4" w14:paraId="03660584" w14:textId="77777777" w:rsidTr="0099658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58" w:type="dxa"/>
          </w:tcPr>
          <w:p w14:paraId="16DEB1AA" w14:textId="61D0B814" w:rsidR="00834B4A" w:rsidRPr="00DB59A4" w:rsidRDefault="00834B4A" w:rsidP="00834B4A">
            <w:pPr>
              <w:rPr>
                <w:rFonts w:ascii="Times New Roman" w:hAnsi="Times New Roman" w:cs="Times New Roman"/>
              </w:rPr>
            </w:pPr>
            <w:r w:rsidRPr="00DB59A4">
              <w:rPr>
                <w:rFonts w:ascii="Times New Roman" w:hAnsi="Times New Roman" w:cs="Times New Roman"/>
              </w:rPr>
              <w:t>HOMA-IR</w:t>
            </w:r>
          </w:p>
        </w:tc>
        <w:tc>
          <w:tcPr>
            <w:tcW w:w="2158" w:type="dxa"/>
            <w:shd w:val="clear" w:color="auto" w:fill="D9E2F3" w:themeFill="accent1" w:themeFillTint="33"/>
          </w:tcPr>
          <w:p w14:paraId="78528312" w14:textId="6FD9437A" w:rsidR="00834B4A" w:rsidRPr="00DB59A4" w:rsidRDefault="0028398E"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SYNBIOTIC(M) </w:t>
            </w:r>
            <w:r w:rsidRPr="00DB59A4">
              <w:rPr>
                <w:rFonts w:ascii="Times New Roman" w:hAnsi="Times New Roman" w:cs="Times New Roman"/>
                <w:vertAlign w:val="subscript"/>
              </w:rPr>
              <w:t>[7]</w:t>
            </w:r>
            <w:r w:rsidRPr="00DB59A4">
              <w:rPr>
                <w:rFonts w:ascii="Times New Roman" w:hAnsi="Times New Roman" w:cs="Times New Roman"/>
              </w:rPr>
              <w:t xml:space="preserve"> </w:t>
            </w:r>
          </w:p>
        </w:tc>
        <w:tc>
          <w:tcPr>
            <w:tcW w:w="2158" w:type="dxa"/>
            <w:shd w:val="clear" w:color="auto" w:fill="D9D9D9" w:themeFill="background1" w:themeFillShade="D9"/>
          </w:tcPr>
          <w:p w14:paraId="107B5236" w14:textId="20D8B389" w:rsidR="00834B4A" w:rsidRPr="00DB59A4" w:rsidRDefault="00DE2269"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SYNBIOTIC(S) </w:t>
            </w:r>
            <w:r w:rsidRPr="00DB59A4">
              <w:rPr>
                <w:rFonts w:ascii="Times New Roman" w:hAnsi="Times New Roman" w:cs="Times New Roman"/>
                <w:vertAlign w:val="subscript"/>
              </w:rPr>
              <w:t>[4]</w:t>
            </w:r>
          </w:p>
        </w:tc>
        <w:tc>
          <w:tcPr>
            <w:tcW w:w="2158" w:type="dxa"/>
            <w:shd w:val="clear" w:color="auto" w:fill="D9D9D9" w:themeFill="background1" w:themeFillShade="D9"/>
          </w:tcPr>
          <w:p w14:paraId="660DA114" w14:textId="1D2B1EA3" w:rsidR="00834B4A" w:rsidRPr="00DB59A4" w:rsidRDefault="00DE2269"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PROBIOTIC(S) </w:t>
            </w:r>
            <w:r w:rsidRPr="00DB59A4">
              <w:rPr>
                <w:rFonts w:ascii="Times New Roman" w:hAnsi="Times New Roman" w:cs="Times New Roman"/>
                <w:vertAlign w:val="subscript"/>
              </w:rPr>
              <w:t>[5]</w:t>
            </w:r>
          </w:p>
        </w:tc>
        <w:tc>
          <w:tcPr>
            <w:tcW w:w="2159" w:type="dxa"/>
            <w:shd w:val="clear" w:color="auto" w:fill="D9D9D9" w:themeFill="background1" w:themeFillShade="D9"/>
          </w:tcPr>
          <w:p w14:paraId="33E976B3" w14:textId="542C8037" w:rsidR="00834B4A" w:rsidRPr="00DB59A4" w:rsidRDefault="00DE2269"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PREBIOTIC </w:t>
            </w:r>
            <w:r w:rsidRPr="00DB59A4">
              <w:rPr>
                <w:rFonts w:ascii="Times New Roman" w:hAnsi="Times New Roman" w:cs="Times New Roman"/>
                <w:vertAlign w:val="subscript"/>
              </w:rPr>
              <w:t>[4]</w:t>
            </w:r>
          </w:p>
        </w:tc>
        <w:tc>
          <w:tcPr>
            <w:tcW w:w="2159" w:type="dxa"/>
            <w:shd w:val="clear" w:color="auto" w:fill="D9D9D9" w:themeFill="background1" w:themeFillShade="D9"/>
          </w:tcPr>
          <w:p w14:paraId="1E7B833A" w14:textId="1227219B" w:rsidR="00834B4A" w:rsidRPr="00DB59A4" w:rsidRDefault="00DE2269" w:rsidP="00834B4A">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PROBIOTIC(M) </w:t>
            </w:r>
            <w:r w:rsidRPr="00DB59A4">
              <w:rPr>
                <w:rFonts w:ascii="Times New Roman" w:hAnsi="Times New Roman" w:cs="Times New Roman"/>
                <w:vertAlign w:val="subscript"/>
              </w:rPr>
              <w:t>[16]</w:t>
            </w:r>
          </w:p>
        </w:tc>
      </w:tr>
      <w:tr w:rsidR="00834B4A" w:rsidRPr="00DB59A4" w14:paraId="5BA0D99A" w14:textId="77777777" w:rsidTr="0099658E">
        <w:tc>
          <w:tcPr>
            <w:cnfStyle w:val="001000000000" w:firstRow="0" w:lastRow="0" w:firstColumn="1" w:lastColumn="0" w:oddVBand="0" w:evenVBand="0" w:oddHBand="0" w:evenHBand="0" w:firstRowFirstColumn="0" w:firstRowLastColumn="0" w:lastRowFirstColumn="0" w:lastRowLastColumn="0"/>
            <w:tcW w:w="2158" w:type="dxa"/>
          </w:tcPr>
          <w:p w14:paraId="7BEE4A54" w14:textId="1F32D273" w:rsidR="00834B4A" w:rsidRPr="00DB59A4" w:rsidRDefault="00834B4A" w:rsidP="00834B4A">
            <w:pPr>
              <w:rPr>
                <w:rFonts w:ascii="Times New Roman" w:hAnsi="Times New Roman" w:cs="Times New Roman"/>
              </w:rPr>
            </w:pPr>
            <w:r w:rsidRPr="00DB59A4">
              <w:rPr>
                <w:rFonts w:ascii="Times New Roman" w:hAnsi="Times New Roman" w:cs="Times New Roman"/>
              </w:rPr>
              <w:t>QUICKI</w:t>
            </w:r>
          </w:p>
        </w:tc>
        <w:tc>
          <w:tcPr>
            <w:tcW w:w="2158" w:type="dxa"/>
            <w:shd w:val="clear" w:color="auto" w:fill="D9E2F3" w:themeFill="accent1" w:themeFillTint="33"/>
          </w:tcPr>
          <w:p w14:paraId="7FA66D40" w14:textId="2CB58335" w:rsidR="00834B4A" w:rsidRPr="00DB59A4" w:rsidRDefault="00840BD4"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PROBIOTIC(M)</w:t>
            </w:r>
            <w:r w:rsidR="00A2662B" w:rsidRPr="00DB59A4">
              <w:rPr>
                <w:rFonts w:ascii="Times New Roman" w:hAnsi="Times New Roman" w:cs="Times New Roman"/>
              </w:rPr>
              <w:t xml:space="preserve"> </w:t>
            </w:r>
            <w:r w:rsidR="00A2662B" w:rsidRPr="00DB59A4">
              <w:rPr>
                <w:rFonts w:ascii="Times New Roman" w:hAnsi="Times New Roman" w:cs="Times New Roman"/>
                <w:vertAlign w:val="subscript"/>
              </w:rPr>
              <w:t>[5]</w:t>
            </w:r>
          </w:p>
        </w:tc>
        <w:tc>
          <w:tcPr>
            <w:tcW w:w="2158" w:type="dxa"/>
            <w:shd w:val="clear" w:color="auto" w:fill="D9E2F3" w:themeFill="accent1" w:themeFillTint="33"/>
          </w:tcPr>
          <w:p w14:paraId="2EBA3074" w14:textId="495ABAEC" w:rsidR="00834B4A" w:rsidRPr="00DB59A4" w:rsidRDefault="00A2662B"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SYNBIOTIC(M) </w:t>
            </w:r>
            <w:r w:rsidRPr="00DB59A4">
              <w:rPr>
                <w:rFonts w:ascii="Times New Roman" w:hAnsi="Times New Roman" w:cs="Times New Roman"/>
                <w:vertAlign w:val="subscript"/>
              </w:rPr>
              <w:t>[2]</w:t>
            </w:r>
          </w:p>
        </w:tc>
        <w:tc>
          <w:tcPr>
            <w:tcW w:w="2158" w:type="dxa"/>
            <w:shd w:val="clear" w:color="auto" w:fill="D9D9D9" w:themeFill="background1" w:themeFillShade="D9"/>
          </w:tcPr>
          <w:p w14:paraId="37E1A3E3" w14:textId="12ED420E" w:rsidR="00834B4A" w:rsidRPr="00DB59A4" w:rsidRDefault="00A2662B"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PROBIOTIC(S) </w:t>
            </w:r>
            <w:r w:rsidRPr="00DB59A4">
              <w:rPr>
                <w:rFonts w:ascii="Times New Roman" w:hAnsi="Times New Roman" w:cs="Times New Roman"/>
                <w:vertAlign w:val="subscript"/>
              </w:rPr>
              <w:t>[1]</w:t>
            </w:r>
          </w:p>
        </w:tc>
        <w:tc>
          <w:tcPr>
            <w:tcW w:w="2159" w:type="dxa"/>
            <w:shd w:val="clear" w:color="auto" w:fill="D9D9D9" w:themeFill="background1" w:themeFillShade="D9"/>
          </w:tcPr>
          <w:p w14:paraId="66591BD2" w14:textId="0B5876F0" w:rsidR="00834B4A" w:rsidRPr="00DB59A4" w:rsidRDefault="00A2662B"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SYNBIOTIC(S) </w:t>
            </w:r>
            <w:r w:rsidRPr="00DB59A4">
              <w:rPr>
                <w:rFonts w:ascii="Times New Roman" w:hAnsi="Times New Roman" w:cs="Times New Roman"/>
                <w:vertAlign w:val="subscript"/>
              </w:rPr>
              <w:t>[1]</w:t>
            </w:r>
          </w:p>
        </w:tc>
        <w:tc>
          <w:tcPr>
            <w:tcW w:w="2159" w:type="dxa"/>
            <w:shd w:val="clear" w:color="auto" w:fill="D9D9D9" w:themeFill="background1" w:themeFillShade="D9"/>
          </w:tcPr>
          <w:p w14:paraId="038D37C3" w14:textId="2C1EFB4C" w:rsidR="00834B4A" w:rsidRPr="00DB59A4" w:rsidRDefault="00A2662B" w:rsidP="00834B4A">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rPr>
            </w:pPr>
            <w:r w:rsidRPr="00DB59A4">
              <w:rPr>
                <w:rFonts w:ascii="Times New Roman" w:hAnsi="Times New Roman" w:cs="Times New Roman"/>
              </w:rPr>
              <w:t xml:space="preserve">PREBIOTIC-NR </w:t>
            </w:r>
            <w:r w:rsidRPr="00DB59A4">
              <w:rPr>
                <w:rFonts w:ascii="Times New Roman" w:hAnsi="Times New Roman" w:cs="Times New Roman"/>
                <w:vertAlign w:val="subscript"/>
              </w:rPr>
              <w:t>[0]</w:t>
            </w:r>
          </w:p>
        </w:tc>
      </w:tr>
    </w:tbl>
    <w:p w14:paraId="6FF302FB" w14:textId="77777777" w:rsidR="00DB59A4" w:rsidRDefault="00DB59A4" w:rsidP="00DB59A4">
      <w:pPr>
        <w:jc w:val="both"/>
        <w:rPr>
          <w:rFonts w:ascii="Times New Roman" w:hAnsi="Times New Roman" w:cs="Times New Roman"/>
        </w:rPr>
      </w:pPr>
    </w:p>
    <w:p w14:paraId="5EDF1334" w14:textId="37645CEF" w:rsidR="00C36262" w:rsidRPr="00DB59A4" w:rsidRDefault="00C36262" w:rsidP="00DB59A4">
      <w:pPr>
        <w:jc w:val="both"/>
        <w:rPr>
          <w:rFonts w:ascii="Times New Roman" w:hAnsi="Times New Roman" w:cs="Times New Roman"/>
          <w:sz w:val="18"/>
          <w:szCs w:val="18"/>
        </w:rPr>
      </w:pPr>
      <w:r w:rsidRPr="00DB59A4">
        <w:rPr>
          <w:rFonts w:ascii="Times New Roman" w:hAnsi="Times New Roman" w:cs="Times New Roman"/>
          <w:sz w:val="18"/>
          <w:szCs w:val="18"/>
        </w:rPr>
        <w:t>(S)=single strain</w:t>
      </w:r>
      <w:r w:rsidR="000D1852" w:rsidRPr="00DB59A4">
        <w:rPr>
          <w:rFonts w:ascii="Times New Roman" w:hAnsi="Times New Roman" w:cs="Times New Roman"/>
          <w:sz w:val="18"/>
          <w:szCs w:val="18"/>
        </w:rPr>
        <w:t xml:space="preserve">; </w:t>
      </w:r>
      <w:r w:rsidR="00B73E5A" w:rsidRPr="00DB59A4">
        <w:rPr>
          <w:rFonts w:ascii="Times New Roman" w:hAnsi="Times New Roman" w:cs="Times New Roman"/>
          <w:sz w:val="18"/>
          <w:szCs w:val="18"/>
        </w:rPr>
        <w:t>(M)=multistrain</w:t>
      </w:r>
      <w:r w:rsidR="000D1852" w:rsidRPr="00DB59A4">
        <w:rPr>
          <w:rFonts w:ascii="Times New Roman" w:hAnsi="Times New Roman" w:cs="Times New Roman"/>
          <w:sz w:val="18"/>
          <w:szCs w:val="18"/>
        </w:rPr>
        <w:t>;</w:t>
      </w:r>
      <w:r w:rsidR="00B73E5A" w:rsidRPr="00DB59A4">
        <w:rPr>
          <w:rFonts w:ascii="Times New Roman" w:hAnsi="Times New Roman" w:cs="Times New Roman"/>
          <w:sz w:val="18"/>
          <w:szCs w:val="18"/>
        </w:rPr>
        <w:t xml:space="preserve"> [n]=number of studies</w:t>
      </w:r>
      <w:r w:rsidR="006013BE" w:rsidRPr="00DB59A4">
        <w:rPr>
          <w:rFonts w:ascii="Times New Roman" w:hAnsi="Times New Roman" w:cs="Times New Roman"/>
          <w:sz w:val="18"/>
          <w:szCs w:val="18"/>
        </w:rPr>
        <w:t xml:space="preserve"> reporting results for that nutraceutical type-biomarker combination</w:t>
      </w:r>
      <w:r w:rsidR="000D1852" w:rsidRPr="00DB59A4">
        <w:rPr>
          <w:rFonts w:ascii="Times New Roman" w:hAnsi="Times New Roman" w:cs="Times New Roman"/>
          <w:sz w:val="18"/>
          <w:szCs w:val="18"/>
        </w:rPr>
        <w:t xml:space="preserve">; blue background represents statistically significant pooled results for that nutraceutical type-biomarker combination, whereas gray background denotes non-significant results; </w:t>
      </w:r>
      <w:r w:rsidR="00A929FF" w:rsidRPr="00DB59A4">
        <w:rPr>
          <w:rFonts w:ascii="Times New Roman" w:hAnsi="Times New Roman" w:cs="Times New Roman"/>
          <w:sz w:val="18"/>
          <w:szCs w:val="18"/>
        </w:rPr>
        <w:t>effect of</w:t>
      </w:r>
      <w:r w:rsidR="000D1852" w:rsidRPr="00DB59A4">
        <w:rPr>
          <w:rFonts w:ascii="Times New Roman" w:hAnsi="Times New Roman" w:cs="Times New Roman"/>
          <w:sz w:val="18"/>
          <w:szCs w:val="18"/>
        </w:rPr>
        <w:t xml:space="preserve"> prebiotics for change in QUICKI</w:t>
      </w:r>
      <w:r w:rsidR="00A929FF" w:rsidRPr="00DB59A4">
        <w:rPr>
          <w:rFonts w:ascii="Times New Roman" w:hAnsi="Times New Roman" w:cs="Times New Roman"/>
          <w:sz w:val="18"/>
          <w:szCs w:val="18"/>
        </w:rPr>
        <w:t xml:space="preserve"> was NR=not reported</w:t>
      </w:r>
      <w:r w:rsidR="000D1852" w:rsidRPr="00DB59A4">
        <w:rPr>
          <w:rFonts w:ascii="Times New Roman" w:hAnsi="Times New Roman" w:cs="Times New Roman"/>
          <w:sz w:val="18"/>
          <w:szCs w:val="18"/>
        </w:rPr>
        <w:t xml:space="preserve">; </w:t>
      </w:r>
      <w:r w:rsidR="001F0409" w:rsidRPr="00DB59A4">
        <w:rPr>
          <w:rFonts w:ascii="Times New Roman" w:hAnsi="Times New Roman" w:cs="Times New Roman"/>
          <w:sz w:val="18"/>
          <w:szCs w:val="18"/>
        </w:rPr>
        <w:t xml:space="preserve">C-peptide was not </w:t>
      </w:r>
      <w:r w:rsidR="002B5521" w:rsidRPr="00DB59A4">
        <w:rPr>
          <w:rFonts w:ascii="Times New Roman" w:hAnsi="Times New Roman" w:cs="Times New Roman"/>
          <w:sz w:val="18"/>
          <w:szCs w:val="18"/>
        </w:rPr>
        <w:t>summarized due to non-</w:t>
      </w:r>
      <w:r w:rsidR="000E11E9" w:rsidRPr="00DB59A4">
        <w:rPr>
          <w:rFonts w:ascii="Times New Roman" w:hAnsi="Times New Roman" w:cs="Times New Roman"/>
          <w:sz w:val="18"/>
          <w:szCs w:val="18"/>
        </w:rPr>
        <w:t>significant overall</w:t>
      </w:r>
      <w:r w:rsidR="002B5521" w:rsidRPr="00DB59A4">
        <w:rPr>
          <w:rFonts w:ascii="Times New Roman" w:hAnsi="Times New Roman" w:cs="Times New Roman"/>
          <w:sz w:val="18"/>
          <w:szCs w:val="18"/>
        </w:rPr>
        <w:t xml:space="preserve"> pooled results (see main analysis in table 2); </w:t>
      </w:r>
      <w:r w:rsidR="000E11E9" w:rsidRPr="00DB59A4">
        <w:rPr>
          <w:rFonts w:ascii="Times New Roman" w:hAnsi="Times New Roman" w:cs="Times New Roman"/>
          <w:sz w:val="18"/>
          <w:szCs w:val="18"/>
        </w:rPr>
        <w:t>nutraceutical types are ordered based on decreasing</w:t>
      </w:r>
      <w:r w:rsidR="00DB59A4" w:rsidRPr="00DB59A4">
        <w:rPr>
          <w:rFonts w:ascii="Times New Roman" w:hAnsi="Times New Roman" w:cs="Times New Roman"/>
          <w:sz w:val="18"/>
          <w:szCs w:val="18"/>
        </w:rPr>
        <w:t xml:space="preserve"> order of</w:t>
      </w:r>
      <w:r w:rsidR="000E11E9" w:rsidRPr="00DB59A4">
        <w:rPr>
          <w:rFonts w:ascii="Times New Roman" w:hAnsi="Times New Roman" w:cs="Times New Roman"/>
          <w:sz w:val="18"/>
          <w:szCs w:val="18"/>
        </w:rPr>
        <w:t xml:space="preserve"> </w:t>
      </w:r>
      <w:r w:rsidR="00C107BB">
        <w:rPr>
          <w:rFonts w:ascii="Times New Roman" w:hAnsi="Times New Roman" w:cs="Times New Roman"/>
          <w:sz w:val="18"/>
          <w:szCs w:val="18"/>
        </w:rPr>
        <w:t>mean difference</w:t>
      </w:r>
      <w:r w:rsidR="000E11E9" w:rsidRPr="00DB59A4">
        <w:rPr>
          <w:rFonts w:ascii="Times New Roman" w:hAnsi="Times New Roman" w:cs="Times New Roman"/>
          <w:sz w:val="18"/>
          <w:szCs w:val="18"/>
        </w:rPr>
        <w:t xml:space="preserve"> among significant results first, followed by </w:t>
      </w:r>
      <w:r w:rsidR="00DB59A4" w:rsidRPr="00DB59A4">
        <w:rPr>
          <w:rFonts w:ascii="Times New Roman" w:hAnsi="Times New Roman" w:cs="Times New Roman"/>
          <w:sz w:val="18"/>
          <w:szCs w:val="18"/>
        </w:rPr>
        <w:t xml:space="preserve">decreasing order of </w:t>
      </w:r>
      <w:r w:rsidR="00C107BB">
        <w:rPr>
          <w:rFonts w:ascii="Times New Roman" w:hAnsi="Times New Roman" w:cs="Times New Roman"/>
          <w:sz w:val="18"/>
          <w:szCs w:val="18"/>
        </w:rPr>
        <w:t>mean difference</w:t>
      </w:r>
      <w:r w:rsidR="00DB59A4" w:rsidRPr="00DB59A4">
        <w:rPr>
          <w:rFonts w:ascii="Times New Roman" w:hAnsi="Times New Roman" w:cs="Times New Roman"/>
          <w:sz w:val="18"/>
          <w:szCs w:val="18"/>
        </w:rPr>
        <w:t xml:space="preserve"> among the non-significant results</w:t>
      </w:r>
      <w:r w:rsidR="00C107BB">
        <w:rPr>
          <w:rFonts w:ascii="Times New Roman" w:hAnsi="Times New Roman" w:cs="Times New Roman"/>
          <w:sz w:val="18"/>
          <w:szCs w:val="18"/>
        </w:rPr>
        <w:t xml:space="preserve"> (table 2)</w:t>
      </w:r>
      <w:r w:rsidR="00DB59A4" w:rsidRPr="00DB59A4">
        <w:rPr>
          <w:rFonts w:ascii="Times New Roman" w:hAnsi="Times New Roman" w:cs="Times New Roman"/>
          <w:sz w:val="18"/>
          <w:szCs w:val="18"/>
        </w:rPr>
        <w:t>.</w:t>
      </w:r>
    </w:p>
    <w:p w14:paraId="4F74E4CF" w14:textId="77777777" w:rsidR="00A2662B" w:rsidRPr="009576DC" w:rsidRDefault="00A2662B" w:rsidP="009576DC"/>
    <w:p w14:paraId="0B6CEB4C" w14:textId="4A43211A" w:rsidR="001C6967" w:rsidRDefault="001C6967" w:rsidP="001C6967">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br w:type="page"/>
      </w:r>
    </w:p>
    <w:p w14:paraId="7570B92D" w14:textId="600A2CBA" w:rsidR="00835764" w:rsidRDefault="007507F4" w:rsidP="00835764">
      <w:pPr>
        <w:pStyle w:val="Heading1"/>
        <w:rPr>
          <w:b w:val="0"/>
          <w:bCs w:val="0"/>
        </w:rPr>
      </w:pPr>
      <w:bookmarkStart w:id="13" w:name="_Toc111284777"/>
      <w:bookmarkStart w:id="14" w:name="_Toc116234671"/>
      <w:bookmarkEnd w:id="1"/>
      <w:r w:rsidRPr="003E1B2D">
        <w:lastRenderedPageBreak/>
        <w:t xml:space="preserve">Supplementary </w:t>
      </w:r>
      <w:r>
        <w:t>Figure S</w:t>
      </w:r>
      <w:r w:rsidR="00765394">
        <w:t>F</w:t>
      </w:r>
      <w:r>
        <w:t>1.</w:t>
      </w:r>
      <w:r w:rsidRPr="003E1B2D">
        <w:t xml:space="preserve"> </w:t>
      </w:r>
      <w:r w:rsidRPr="003F6EC2">
        <w:rPr>
          <w:b w:val="0"/>
          <w:bCs w:val="0"/>
        </w:rPr>
        <w:t>Summary of risk of bias assessment for the included studies.</w:t>
      </w:r>
      <w:bookmarkEnd w:id="13"/>
      <w:bookmarkEnd w:id="14"/>
    </w:p>
    <w:p w14:paraId="73E33278" w14:textId="6766613B" w:rsidR="009D5E13" w:rsidRDefault="009D5E13" w:rsidP="0056797C">
      <w:pPr>
        <w:jc w:val="center"/>
      </w:pPr>
      <w:r>
        <w:rPr>
          <w:noProof/>
        </w:rPr>
        <w:drawing>
          <wp:inline distT="0" distB="0" distL="0" distR="0" wp14:anchorId="1514DF35" wp14:editId="5AB849DE">
            <wp:extent cx="8229600" cy="3999865"/>
            <wp:effectExtent l="0" t="0" r="0" b="635"/>
            <wp:docPr id="1" name="Chart 1">
              <a:extLst xmlns:a="http://schemas.openxmlformats.org/drawingml/2006/main">
                <a:ext uri="{FF2B5EF4-FFF2-40B4-BE49-F238E27FC236}">
                  <a16:creationId xmlns:a16="http://schemas.microsoft.com/office/drawing/2014/main" id="{00000000-0008-0000-0200-000005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5DAD1515" w14:textId="77777777" w:rsidR="009D5E13" w:rsidRDefault="009D5E13">
      <w:r>
        <w:br w:type="page"/>
      </w:r>
    </w:p>
    <w:p w14:paraId="78BC4FD6" w14:textId="2E561E2C" w:rsidR="00A74CBF" w:rsidRDefault="009410DE" w:rsidP="000A0BB3">
      <w:pPr>
        <w:pStyle w:val="Heading1"/>
        <w:rPr>
          <w:b w:val="0"/>
          <w:bCs w:val="0"/>
        </w:rPr>
      </w:pPr>
      <w:bookmarkStart w:id="15" w:name="_Toc116234672"/>
      <w:r w:rsidRPr="003E1B2D">
        <w:lastRenderedPageBreak/>
        <w:t xml:space="preserve">Supplementary </w:t>
      </w:r>
      <w:r>
        <w:t>Figure S</w:t>
      </w:r>
      <w:r w:rsidR="00765394">
        <w:t>F</w:t>
      </w:r>
      <w:r w:rsidR="00A74CBF">
        <w:t>2</w:t>
      </w:r>
      <w:r>
        <w:t>.</w:t>
      </w:r>
      <w:r w:rsidRPr="003E1B2D">
        <w:t xml:space="preserve"> </w:t>
      </w:r>
      <w:r w:rsidR="000A0BB3" w:rsidRPr="003F6EC2">
        <w:rPr>
          <w:b w:val="0"/>
          <w:bCs w:val="0"/>
        </w:rPr>
        <w:t xml:space="preserve">Individual study </w:t>
      </w:r>
      <w:r w:rsidR="00495463">
        <w:rPr>
          <w:b w:val="0"/>
          <w:bCs w:val="0"/>
        </w:rPr>
        <w:t>r</w:t>
      </w:r>
      <w:r w:rsidR="000A0BB3" w:rsidRPr="003F6EC2">
        <w:rPr>
          <w:b w:val="0"/>
          <w:bCs w:val="0"/>
        </w:rPr>
        <w:t>isk of bias assessments</w:t>
      </w:r>
      <w:r w:rsidR="00A74CBF">
        <w:rPr>
          <w:b w:val="0"/>
          <w:bCs w:val="0"/>
        </w:rPr>
        <w:t>.</w:t>
      </w:r>
      <w:bookmarkEnd w:id="15"/>
    </w:p>
    <w:p w14:paraId="755B6982" w14:textId="38C856F2" w:rsidR="00A609F9" w:rsidRDefault="00A74CBF" w:rsidP="00FA0605">
      <w:pPr>
        <w:jc w:val="center"/>
      </w:pPr>
      <w:bookmarkStart w:id="16" w:name="_Toc111644712"/>
      <w:r>
        <w:rPr>
          <w:noProof/>
        </w:rPr>
        <w:drawing>
          <wp:inline distT="0" distB="0" distL="0" distR="0" wp14:anchorId="0941B218" wp14:editId="44ED7B05">
            <wp:extent cx="6671144" cy="5585248"/>
            <wp:effectExtent l="19050" t="19050" r="15875" b="15875"/>
            <wp:docPr id="1661" name="Picture 16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85719" cy="5597451"/>
                    </a:xfrm>
                    <a:prstGeom prst="rect">
                      <a:avLst/>
                    </a:prstGeom>
                    <a:noFill/>
                    <a:ln>
                      <a:solidFill>
                        <a:schemeClr val="bg1"/>
                      </a:solidFill>
                    </a:ln>
                  </pic:spPr>
                </pic:pic>
              </a:graphicData>
            </a:graphic>
          </wp:inline>
        </w:drawing>
      </w:r>
      <w:bookmarkEnd w:id="16"/>
      <w:r w:rsidR="00A609F9">
        <w:br w:type="page"/>
      </w:r>
    </w:p>
    <w:p w14:paraId="2E8A012B" w14:textId="447E849C" w:rsidR="00D20DB4" w:rsidRPr="003212CD" w:rsidRDefault="00D20DB4" w:rsidP="00D20DB4">
      <w:pPr>
        <w:pStyle w:val="Heading1"/>
      </w:pPr>
      <w:bookmarkStart w:id="17" w:name="_Toc111284779"/>
      <w:bookmarkStart w:id="18" w:name="_Toc116234673"/>
      <w:r>
        <w:lastRenderedPageBreak/>
        <w:t>Supplementary Figure S</w:t>
      </w:r>
      <w:r w:rsidR="005F3C69">
        <w:t>F</w:t>
      </w:r>
      <w:r>
        <w:t xml:space="preserve">3. </w:t>
      </w:r>
      <w:r w:rsidRPr="00CF2129">
        <w:rPr>
          <w:b w:val="0"/>
          <w:bCs w:val="0"/>
        </w:rPr>
        <w:t xml:space="preserve">Usual and contour-enhanced funnel plots assessing publication bias for (A) </w:t>
      </w:r>
      <w:r w:rsidR="00EF59A1">
        <w:rPr>
          <w:b w:val="0"/>
          <w:bCs w:val="0"/>
        </w:rPr>
        <w:t>FPG</w:t>
      </w:r>
      <w:r w:rsidRPr="00CF2129">
        <w:rPr>
          <w:b w:val="0"/>
          <w:bCs w:val="0"/>
        </w:rPr>
        <w:t xml:space="preserve">, </w:t>
      </w:r>
      <w:r w:rsidRPr="000F1CF0">
        <w:rPr>
          <w:b w:val="0"/>
          <w:bCs w:val="0"/>
        </w:rPr>
        <w:t xml:space="preserve">(B) </w:t>
      </w:r>
      <w:r w:rsidR="000F1CF0" w:rsidRPr="000F1CF0">
        <w:rPr>
          <w:b w:val="0"/>
          <w:bCs w:val="0"/>
        </w:rPr>
        <w:t>HbA1c</w:t>
      </w:r>
      <w:r w:rsidRPr="005A3502">
        <w:rPr>
          <w:b w:val="0"/>
          <w:bCs w:val="0"/>
        </w:rPr>
        <w:t xml:space="preserve">, (C) </w:t>
      </w:r>
      <w:r w:rsidR="00E13EFC" w:rsidRPr="005A3502">
        <w:rPr>
          <w:b w:val="0"/>
          <w:bCs w:val="0"/>
        </w:rPr>
        <w:t>Insulin</w:t>
      </w:r>
      <w:r w:rsidRPr="005A3502">
        <w:rPr>
          <w:b w:val="0"/>
          <w:bCs w:val="0"/>
        </w:rPr>
        <w:t xml:space="preserve">, (D) </w:t>
      </w:r>
      <w:r w:rsidR="00E13EFC" w:rsidRPr="005A3502">
        <w:rPr>
          <w:b w:val="0"/>
          <w:bCs w:val="0"/>
        </w:rPr>
        <w:t>HOMA-IR</w:t>
      </w:r>
      <w:r w:rsidRPr="005A3502">
        <w:rPr>
          <w:b w:val="0"/>
          <w:bCs w:val="0"/>
        </w:rPr>
        <w:t xml:space="preserve">, </w:t>
      </w:r>
      <w:r w:rsidRPr="00461A76">
        <w:rPr>
          <w:b w:val="0"/>
          <w:bCs w:val="0"/>
        </w:rPr>
        <w:t>(E)</w:t>
      </w:r>
      <w:bookmarkEnd w:id="17"/>
      <w:r w:rsidR="00461A76">
        <w:rPr>
          <w:b w:val="0"/>
          <w:bCs w:val="0"/>
        </w:rPr>
        <w:t xml:space="preserve"> QUICKI</w:t>
      </w:r>
      <w:r w:rsidR="00E13EFC">
        <w:rPr>
          <w:b w:val="0"/>
          <w:bCs w:val="0"/>
        </w:rPr>
        <w:t xml:space="preserve"> and (F)</w:t>
      </w:r>
      <w:r w:rsidR="00461A76">
        <w:rPr>
          <w:b w:val="0"/>
          <w:bCs w:val="0"/>
        </w:rPr>
        <w:t xml:space="preserve"> C-peptide.</w:t>
      </w:r>
      <w:bookmarkEnd w:id="1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84"/>
        <w:gridCol w:w="6476"/>
      </w:tblGrid>
      <w:tr w:rsidR="0058570F" w14:paraId="68CD1515" w14:textId="77777777" w:rsidTr="00E94A6D">
        <w:tc>
          <w:tcPr>
            <w:tcW w:w="12960" w:type="dxa"/>
            <w:gridSpan w:val="2"/>
          </w:tcPr>
          <w:p w14:paraId="02CF611C" w14:textId="4F664A2A" w:rsidR="0058570F" w:rsidRPr="00FF5551" w:rsidRDefault="00EF59A1" w:rsidP="0058570F">
            <w:pPr>
              <w:pStyle w:val="ListParagraph"/>
              <w:numPr>
                <w:ilvl w:val="0"/>
                <w:numId w:val="1"/>
              </w:num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FPG</w:t>
            </w:r>
            <w:r w:rsidR="0058570F" w:rsidRPr="00FF5551">
              <w:rPr>
                <w:rFonts w:ascii="Times New Roman" w:eastAsia="Times New Roman" w:hAnsi="Times New Roman" w:cs="Times New Roman"/>
                <w:b/>
                <w:sz w:val="20"/>
                <w:szCs w:val="20"/>
              </w:rPr>
              <w:t xml:space="preserve">; Egger test p-value = </w:t>
            </w:r>
            <w:r w:rsidR="002765DF" w:rsidRPr="002765DF">
              <w:rPr>
                <w:rFonts w:ascii="Times New Roman" w:eastAsia="Times New Roman" w:hAnsi="Times New Roman" w:cs="Times New Roman"/>
                <w:b/>
                <w:sz w:val="20"/>
                <w:szCs w:val="20"/>
              </w:rPr>
              <w:t>0.04</w:t>
            </w:r>
            <w:r w:rsidR="00D038C4">
              <w:rPr>
                <w:rFonts w:ascii="Times New Roman" w:eastAsia="Times New Roman" w:hAnsi="Times New Roman" w:cs="Times New Roman"/>
                <w:b/>
                <w:sz w:val="20"/>
                <w:szCs w:val="20"/>
              </w:rPr>
              <w:t>7</w:t>
            </w:r>
          </w:p>
        </w:tc>
      </w:tr>
      <w:tr w:rsidR="0058570F" w14:paraId="2A905C71" w14:textId="77777777" w:rsidTr="00E94A6D">
        <w:tc>
          <w:tcPr>
            <w:tcW w:w="6484" w:type="dxa"/>
          </w:tcPr>
          <w:p w14:paraId="1EAEC364" w14:textId="77777777" w:rsidR="0058570F" w:rsidRDefault="0058570F" w:rsidP="0055373D">
            <w:pPr>
              <w:jc w:val="center"/>
              <w:rPr>
                <w:rFonts w:ascii="Times New Roman" w:eastAsia="Times New Roman" w:hAnsi="Times New Roman" w:cs="Times New Roman"/>
                <w:b/>
                <w:sz w:val="20"/>
                <w:szCs w:val="20"/>
              </w:rPr>
            </w:pPr>
            <w:r>
              <w:rPr>
                <w:rFonts w:ascii="Times New Roman" w:eastAsia="Times New Roman" w:hAnsi="Times New Roman" w:cs="Times New Roman"/>
                <w:bCs/>
                <w:noProof/>
                <w:sz w:val="20"/>
                <w:szCs w:val="20"/>
              </w:rPr>
              <w:drawing>
                <wp:inline distT="0" distB="0" distL="0" distR="0" wp14:anchorId="257A1232" wp14:editId="0718A3B7">
                  <wp:extent cx="2565400" cy="2565400"/>
                  <wp:effectExtent l="0" t="0" r="635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569575" cy="2569575"/>
                          </a:xfrm>
                          <a:prstGeom prst="rect">
                            <a:avLst/>
                          </a:prstGeom>
                          <a:noFill/>
                          <a:ln>
                            <a:noFill/>
                          </a:ln>
                        </pic:spPr>
                      </pic:pic>
                    </a:graphicData>
                  </a:graphic>
                </wp:inline>
              </w:drawing>
            </w:r>
          </w:p>
        </w:tc>
        <w:tc>
          <w:tcPr>
            <w:tcW w:w="6476" w:type="dxa"/>
          </w:tcPr>
          <w:p w14:paraId="318A8801" w14:textId="77777777" w:rsidR="0058570F" w:rsidRDefault="0058570F" w:rsidP="0055373D">
            <w:pPr>
              <w:jc w:val="center"/>
              <w:rPr>
                <w:rFonts w:ascii="Times New Roman" w:eastAsia="Times New Roman" w:hAnsi="Times New Roman" w:cs="Times New Roman"/>
                <w:b/>
                <w:sz w:val="20"/>
                <w:szCs w:val="20"/>
              </w:rPr>
            </w:pPr>
            <w:r>
              <w:rPr>
                <w:rFonts w:ascii="Times New Roman" w:eastAsia="Times New Roman" w:hAnsi="Times New Roman" w:cs="Times New Roman"/>
                <w:bCs/>
                <w:noProof/>
                <w:sz w:val="20"/>
                <w:szCs w:val="20"/>
              </w:rPr>
              <w:drawing>
                <wp:inline distT="0" distB="0" distL="0" distR="0" wp14:anchorId="6BAC8B32" wp14:editId="530C9BED">
                  <wp:extent cx="2550160" cy="2550160"/>
                  <wp:effectExtent l="0" t="0" r="254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2550774" cy="2550774"/>
                          </a:xfrm>
                          <a:prstGeom prst="rect">
                            <a:avLst/>
                          </a:prstGeom>
                          <a:noFill/>
                          <a:ln>
                            <a:noFill/>
                          </a:ln>
                        </pic:spPr>
                      </pic:pic>
                    </a:graphicData>
                  </a:graphic>
                </wp:inline>
              </w:drawing>
            </w:r>
          </w:p>
        </w:tc>
      </w:tr>
      <w:tr w:rsidR="0058570F" w14:paraId="7FC1D0DD" w14:textId="77777777" w:rsidTr="00E94A6D">
        <w:tc>
          <w:tcPr>
            <w:tcW w:w="12960" w:type="dxa"/>
            <w:gridSpan w:val="2"/>
          </w:tcPr>
          <w:p w14:paraId="7F3718DD" w14:textId="335CAD2B" w:rsidR="0058570F" w:rsidRDefault="00E94A6D" w:rsidP="0055373D">
            <w:pPr>
              <w:jc w:val="center"/>
              <w:rPr>
                <w:rFonts w:ascii="Times New Roman" w:eastAsia="Times New Roman" w:hAnsi="Times New Roman" w:cs="Times New Roman"/>
                <w:bCs/>
                <w:noProof/>
                <w:sz w:val="20"/>
                <w:szCs w:val="20"/>
              </w:rPr>
            </w:pPr>
            <w:r>
              <w:br w:type="page"/>
            </w:r>
            <w:r w:rsidR="0058570F">
              <w:rPr>
                <w:rFonts w:ascii="Times New Roman" w:eastAsia="Times New Roman" w:hAnsi="Times New Roman" w:cs="Times New Roman"/>
                <w:b/>
                <w:sz w:val="20"/>
                <w:szCs w:val="20"/>
              </w:rPr>
              <w:t xml:space="preserve">(B) </w:t>
            </w:r>
            <w:r w:rsidR="002E0CC3">
              <w:rPr>
                <w:rFonts w:ascii="Times New Roman" w:eastAsia="Times New Roman" w:hAnsi="Times New Roman" w:cs="Times New Roman"/>
                <w:b/>
                <w:sz w:val="20"/>
                <w:szCs w:val="20"/>
              </w:rPr>
              <w:t>HbA1c</w:t>
            </w:r>
            <w:r w:rsidR="0058570F">
              <w:rPr>
                <w:rFonts w:ascii="Times New Roman" w:eastAsia="Times New Roman" w:hAnsi="Times New Roman" w:cs="Times New Roman"/>
                <w:b/>
                <w:sz w:val="20"/>
                <w:szCs w:val="20"/>
              </w:rPr>
              <w:t xml:space="preserve">; Egger Test </w:t>
            </w:r>
            <w:r w:rsidR="0058570F" w:rsidRPr="00A8346C">
              <w:rPr>
                <w:rFonts w:ascii="Times New Roman" w:eastAsia="Times New Roman" w:hAnsi="Times New Roman" w:cs="Times New Roman"/>
                <w:b/>
                <w:sz w:val="20"/>
                <w:szCs w:val="20"/>
              </w:rPr>
              <w:t xml:space="preserve">p-value = </w:t>
            </w:r>
            <w:r w:rsidR="002E0CC3" w:rsidRPr="002E0CC3">
              <w:rPr>
                <w:rFonts w:ascii="Times New Roman" w:eastAsia="Times New Roman" w:hAnsi="Times New Roman" w:cs="Times New Roman"/>
                <w:b/>
                <w:sz w:val="20"/>
                <w:szCs w:val="20"/>
              </w:rPr>
              <w:t>0.12</w:t>
            </w:r>
            <w:r w:rsidR="002E0CC3">
              <w:rPr>
                <w:rFonts w:ascii="Times New Roman" w:eastAsia="Times New Roman" w:hAnsi="Times New Roman" w:cs="Times New Roman"/>
                <w:b/>
                <w:sz w:val="20"/>
                <w:szCs w:val="20"/>
              </w:rPr>
              <w:t>4</w:t>
            </w:r>
          </w:p>
        </w:tc>
      </w:tr>
      <w:tr w:rsidR="0058570F" w14:paraId="723674B4" w14:textId="77777777" w:rsidTr="00E94A6D">
        <w:tc>
          <w:tcPr>
            <w:tcW w:w="6484" w:type="dxa"/>
          </w:tcPr>
          <w:p w14:paraId="4976B4C8" w14:textId="77777777" w:rsidR="0058570F" w:rsidRDefault="0058570F"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1B4AF413" wp14:editId="75542D68">
                  <wp:extent cx="2552700" cy="2552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2562011" cy="2562011"/>
                          </a:xfrm>
                          <a:prstGeom prst="rect">
                            <a:avLst/>
                          </a:prstGeom>
                          <a:noFill/>
                          <a:ln>
                            <a:noFill/>
                          </a:ln>
                        </pic:spPr>
                      </pic:pic>
                    </a:graphicData>
                  </a:graphic>
                </wp:inline>
              </w:drawing>
            </w:r>
          </w:p>
        </w:tc>
        <w:tc>
          <w:tcPr>
            <w:tcW w:w="6476" w:type="dxa"/>
          </w:tcPr>
          <w:p w14:paraId="6A02384B" w14:textId="77777777" w:rsidR="0058570F" w:rsidRDefault="0058570F"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10C2D12D" wp14:editId="77DA2DFC">
                  <wp:extent cx="2583815" cy="2583815"/>
                  <wp:effectExtent l="0" t="0" r="6985"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2591988" cy="2591988"/>
                          </a:xfrm>
                          <a:prstGeom prst="rect">
                            <a:avLst/>
                          </a:prstGeom>
                          <a:noFill/>
                          <a:ln>
                            <a:noFill/>
                          </a:ln>
                        </pic:spPr>
                      </pic:pic>
                    </a:graphicData>
                  </a:graphic>
                </wp:inline>
              </w:drawing>
            </w:r>
          </w:p>
        </w:tc>
      </w:tr>
      <w:tr w:rsidR="0058570F" w14:paraId="50A00905" w14:textId="77777777" w:rsidTr="00E94A6D">
        <w:tc>
          <w:tcPr>
            <w:tcW w:w="12960" w:type="dxa"/>
            <w:gridSpan w:val="2"/>
          </w:tcPr>
          <w:p w14:paraId="2E2806F7" w14:textId="73883C7C" w:rsidR="0058570F" w:rsidRPr="007D5826" w:rsidRDefault="0039717E" w:rsidP="0058570F">
            <w:pPr>
              <w:pStyle w:val="ListParagraph"/>
              <w:numPr>
                <w:ilvl w:val="0"/>
                <w:numId w:val="2"/>
              </w:numPr>
              <w:jc w:val="center"/>
              <w:rPr>
                <w:rFonts w:ascii="Times New Roman" w:eastAsia="Times New Roman" w:hAnsi="Times New Roman" w:cs="Times New Roman"/>
                <w:bCs/>
                <w:noProof/>
                <w:sz w:val="20"/>
                <w:szCs w:val="20"/>
              </w:rPr>
            </w:pPr>
            <w:r>
              <w:rPr>
                <w:rFonts w:ascii="Times New Roman" w:eastAsia="Times New Roman" w:hAnsi="Times New Roman" w:cs="Times New Roman"/>
                <w:b/>
                <w:sz w:val="20"/>
                <w:szCs w:val="20"/>
              </w:rPr>
              <w:lastRenderedPageBreak/>
              <w:t>Insulin</w:t>
            </w:r>
            <w:r w:rsidR="0058570F">
              <w:rPr>
                <w:rFonts w:ascii="Times New Roman" w:eastAsia="Times New Roman" w:hAnsi="Times New Roman" w:cs="Times New Roman"/>
                <w:b/>
                <w:sz w:val="20"/>
                <w:szCs w:val="20"/>
              </w:rPr>
              <w:t xml:space="preserve">; </w:t>
            </w:r>
            <w:r w:rsidR="0058570F" w:rsidRPr="007D5826">
              <w:rPr>
                <w:rFonts w:ascii="Times New Roman" w:eastAsia="Times New Roman" w:hAnsi="Times New Roman" w:cs="Times New Roman"/>
                <w:b/>
                <w:sz w:val="20"/>
                <w:szCs w:val="20"/>
              </w:rPr>
              <w:t xml:space="preserve">Egger Test p-value = </w:t>
            </w:r>
            <w:r w:rsidRPr="0039717E">
              <w:rPr>
                <w:rFonts w:ascii="Times New Roman" w:eastAsia="Times New Roman" w:hAnsi="Times New Roman" w:cs="Times New Roman"/>
                <w:b/>
                <w:sz w:val="20"/>
                <w:szCs w:val="20"/>
              </w:rPr>
              <w:t>0.32</w:t>
            </w:r>
            <w:r>
              <w:rPr>
                <w:rFonts w:ascii="Times New Roman" w:eastAsia="Times New Roman" w:hAnsi="Times New Roman" w:cs="Times New Roman"/>
                <w:b/>
                <w:sz w:val="20"/>
                <w:szCs w:val="20"/>
              </w:rPr>
              <w:t>8</w:t>
            </w:r>
          </w:p>
        </w:tc>
      </w:tr>
      <w:tr w:rsidR="0058570F" w14:paraId="638ADE8E" w14:textId="77777777" w:rsidTr="00E94A6D">
        <w:tc>
          <w:tcPr>
            <w:tcW w:w="6484" w:type="dxa"/>
          </w:tcPr>
          <w:p w14:paraId="2686F61C" w14:textId="77777777" w:rsidR="0058570F" w:rsidRDefault="0058570F"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43C94DD8" wp14:editId="76E6B775">
                  <wp:extent cx="2781300" cy="27813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2781402" cy="2781402"/>
                          </a:xfrm>
                          <a:prstGeom prst="rect">
                            <a:avLst/>
                          </a:prstGeom>
                          <a:noFill/>
                          <a:ln>
                            <a:noFill/>
                          </a:ln>
                        </pic:spPr>
                      </pic:pic>
                    </a:graphicData>
                  </a:graphic>
                </wp:inline>
              </w:drawing>
            </w:r>
          </w:p>
        </w:tc>
        <w:tc>
          <w:tcPr>
            <w:tcW w:w="6476" w:type="dxa"/>
          </w:tcPr>
          <w:p w14:paraId="229C5C3A" w14:textId="77777777" w:rsidR="0058570F" w:rsidRDefault="0058570F"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7CD5FD2F" wp14:editId="34C7A6EE">
                  <wp:extent cx="2781300" cy="27813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2781540" cy="2781540"/>
                          </a:xfrm>
                          <a:prstGeom prst="rect">
                            <a:avLst/>
                          </a:prstGeom>
                          <a:noFill/>
                          <a:ln>
                            <a:noFill/>
                          </a:ln>
                        </pic:spPr>
                      </pic:pic>
                    </a:graphicData>
                  </a:graphic>
                </wp:inline>
              </w:drawing>
            </w:r>
          </w:p>
        </w:tc>
      </w:tr>
      <w:tr w:rsidR="0058570F" w14:paraId="5BAD0059" w14:textId="77777777" w:rsidTr="00E94A6D">
        <w:tc>
          <w:tcPr>
            <w:tcW w:w="12960" w:type="dxa"/>
            <w:gridSpan w:val="2"/>
          </w:tcPr>
          <w:p w14:paraId="6188E458" w14:textId="09A5253E" w:rsidR="0058570F" w:rsidRPr="007E405B" w:rsidRDefault="005C2DB6" w:rsidP="0058570F">
            <w:pPr>
              <w:pStyle w:val="ListParagraph"/>
              <w:numPr>
                <w:ilvl w:val="0"/>
                <w:numId w:val="2"/>
              </w:numPr>
              <w:jc w:val="center"/>
              <w:rPr>
                <w:rFonts w:ascii="Times New Roman" w:eastAsia="Times New Roman" w:hAnsi="Times New Roman" w:cs="Times New Roman"/>
                <w:bCs/>
                <w:noProof/>
                <w:sz w:val="20"/>
                <w:szCs w:val="20"/>
              </w:rPr>
            </w:pPr>
            <w:r>
              <w:rPr>
                <w:rFonts w:ascii="Times New Roman" w:eastAsia="Times New Roman" w:hAnsi="Times New Roman" w:cs="Times New Roman"/>
                <w:b/>
                <w:sz w:val="20"/>
                <w:szCs w:val="20"/>
              </w:rPr>
              <w:t xml:space="preserve">HOMA-IR; </w:t>
            </w:r>
            <w:r w:rsidR="0058570F" w:rsidRPr="007E405B">
              <w:rPr>
                <w:rFonts w:ascii="Times New Roman" w:eastAsia="Times New Roman" w:hAnsi="Times New Roman" w:cs="Times New Roman"/>
                <w:b/>
                <w:sz w:val="20"/>
                <w:szCs w:val="20"/>
              </w:rPr>
              <w:t>Egger Test p-value</w:t>
            </w:r>
            <w:r>
              <w:rPr>
                <w:rFonts w:ascii="Times New Roman" w:eastAsia="Times New Roman" w:hAnsi="Times New Roman" w:cs="Times New Roman"/>
                <w:b/>
                <w:sz w:val="20"/>
                <w:szCs w:val="20"/>
              </w:rPr>
              <w:t xml:space="preserve"> =</w:t>
            </w:r>
            <w:r w:rsidR="0058570F" w:rsidRPr="007E405B">
              <w:rPr>
                <w:rFonts w:ascii="Times New Roman" w:eastAsia="Times New Roman" w:hAnsi="Times New Roman" w:cs="Times New Roman"/>
                <w:b/>
                <w:sz w:val="20"/>
                <w:szCs w:val="20"/>
              </w:rPr>
              <w:t xml:space="preserve"> </w:t>
            </w:r>
            <w:r w:rsidRPr="005C2DB6">
              <w:rPr>
                <w:rFonts w:ascii="Times New Roman" w:eastAsia="Times New Roman" w:hAnsi="Times New Roman" w:cs="Times New Roman"/>
                <w:b/>
                <w:sz w:val="20"/>
                <w:szCs w:val="20"/>
              </w:rPr>
              <w:t>0.10</w:t>
            </w:r>
            <w:r>
              <w:rPr>
                <w:rFonts w:ascii="Times New Roman" w:eastAsia="Times New Roman" w:hAnsi="Times New Roman" w:cs="Times New Roman"/>
                <w:b/>
                <w:sz w:val="20"/>
                <w:szCs w:val="20"/>
              </w:rPr>
              <w:t>3</w:t>
            </w:r>
          </w:p>
        </w:tc>
      </w:tr>
      <w:tr w:rsidR="0058570F" w14:paraId="23E0B61F" w14:textId="77777777" w:rsidTr="00E94A6D">
        <w:trPr>
          <w:trHeight w:val="67"/>
        </w:trPr>
        <w:tc>
          <w:tcPr>
            <w:tcW w:w="6484" w:type="dxa"/>
          </w:tcPr>
          <w:p w14:paraId="16F34441" w14:textId="77777777" w:rsidR="0058570F" w:rsidRDefault="0058570F"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2D3B8010" wp14:editId="5049CE75">
                  <wp:extent cx="2819502" cy="2819502"/>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2819502" cy="2819502"/>
                          </a:xfrm>
                          <a:prstGeom prst="rect">
                            <a:avLst/>
                          </a:prstGeom>
                          <a:noFill/>
                          <a:ln>
                            <a:noFill/>
                          </a:ln>
                        </pic:spPr>
                      </pic:pic>
                    </a:graphicData>
                  </a:graphic>
                </wp:inline>
              </w:drawing>
            </w:r>
          </w:p>
        </w:tc>
        <w:tc>
          <w:tcPr>
            <w:tcW w:w="6476" w:type="dxa"/>
          </w:tcPr>
          <w:p w14:paraId="0D8E3700" w14:textId="77777777" w:rsidR="0058570F" w:rsidRDefault="0058570F"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21307EA6" wp14:editId="2FDB039A">
                  <wp:extent cx="2857749" cy="2857749"/>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a:picLocks noChangeAspect="1" noChangeArrowheads="1"/>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857749" cy="2857749"/>
                          </a:xfrm>
                          <a:prstGeom prst="rect">
                            <a:avLst/>
                          </a:prstGeom>
                          <a:noFill/>
                          <a:ln>
                            <a:noFill/>
                          </a:ln>
                        </pic:spPr>
                      </pic:pic>
                    </a:graphicData>
                  </a:graphic>
                </wp:inline>
              </w:drawing>
            </w:r>
          </w:p>
        </w:tc>
      </w:tr>
      <w:tr w:rsidR="0058570F" w14:paraId="6121CD82" w14:textId="77777777" w:rsidTr="00E94A6D">
        <w:trPr>
          <w:trHeight w:val="67"/>
        </w:trPr>
        <w:tc>
          <w:tcPr>
            <w:tcW w:w="12960" w:type="dxa"/>
            <w:gridSpan w:val="2"/>
          </w:tcPr>
          <w:p w14:paraId="7EB782CC" w14:textId="1F864132" w:rsidR="0058570F" w:rsidRPr="008A3B5A" w:rsidRDefault="005812F3" w:rsidP="0058570F">
            <w:pPr>
              <w:pStyle w:val="ListParagraph"/>
              <w:numPr>
                <w:ilvl w:val="0"/>
                <w:numId w:val="2"/>
              </w:numPr>
              <w:jc w:val="center"/>
              <w:rPr>
                <w:rFonts w:ascii="Times New Roman" w:eastAsia="Times New Roman" w:hAnsi="Times New Roman" w:cs="Times New Roman"/>
                <w:bCs/>
                <w:noProof/>
                <w:sz w:val="20"/>
                <w:szCs w:val="20"/>
              </w:rPr>
            </w:pPr>
            <w:r>
              <w:rPr>
                <w:rFonts w:ascii="Times New Roman" w:eastAsia="Times New Roman" w:hAnsi="Times New Roman" w:cs="Times New Roman"/>
                <w:b/>
                <w:sz w:val="20"/>
                <w:szCs w:val="20"/>
              </w:rPr>
              <w:lastRenderedPageBreak/>
              <w:t>QUICKI</w:t>
            </w:r>
            <w:r w:rsidR="0058570F">
              <w:rPr>
                <w:rFonts w:ascii="Times New Roman" w:eastAsia="Times New Roman" w:hAnsi="Times New Roman" w:cs="Times New Roman"/>
                <w:b/>
                <w:sz w:val="20"/>
                <w:szCs w:val="20"/>
              </w:rPr>
              <w:t xml:space="preserve">; Egger Test </w:t>
            </w:r>
            <w:r w:rsidR="0058570F" w:rsidRPr="00A8346C">
              <w:rPr>
                <w:rFonts w:ascii="Times New Roman" w:eastAsia="Times New Roman" w:hAnsi="Times New Roman" w:cs="Times New Roman"/>
                <w:b/>
                <w:sz w:val="20"/>
                <w:szCs w:val="20"/>
              </w:rPr>
              <w:t xml:space="preserve">p-value </w:t>
            </w:r>
            <w:r>
              <w:rPr>
                <w:rFonts w:ascii="Times New Roman" w:eastAsia="Times New Roman" w:hAnsi="Times New Roman" w:cs="Times New Roman"/>
                <w:b/>
                <w:sz w:val="20"/>
                <w:szCs w:val="20"/>
              </w:rPr>
              <w:t xml:space="preserve">= </w:t>
            </w:r>
            <w:r w:rsidRPr="005812F3">
              <w:rPr>
                <w:rFonts w:ascii="Times New Roman" w:eastAsia="Times New Roman" w:hAnsi="Times New Roman" w:cs="Times New Roman"/>
                <w:b/>
                <w:sz w:val="20"/>
                <w:szCs w:val="20"/>
              </w:rPr>
              <w:t>0.453</w:t>
            </w:r>
          </w:p>
        </w:tc>
      </w:tr>
      <w:tr w:rsidR="0058570F" w14:paraId="6C70264C" w14:textId="77777777" w:rsidTr="00E94A6D">
        <w:trPr>
          <w:trHeight w:val="67"/>
        </w:trPr>
        <w:tc>
          <w:tcPr>
            <w:tcW w:w="6484" w:type="dxa"/>
          </w:tcPr>
          <w:p w14:paraId="68D5E8BD" w14:textId="77777777" w:rsidR="0058570F" w:rsidRDefault="0058570F"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6B8AEA81" wp14:editId="4BC5F203">
                  <wp:extent cx="2615609" cy="2615609"/>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2617608" cy="2617608"/>
                          </a:xfrm>
                          <a:prstGeom prst="rect">
                            <a:avLst/>
                          </a:prstGeom>
                          <a:noFill/>
                          <a:ln>
                            <a:noFill/>
                          </a:ln>
                        </pic:spPr>
                      </pic:pic>
                    </a:graphicData>
                  </a:graphic>
                </wp:inline>
              </w:drawing>
            </w:r>
          </w:p>
        </w:tc>
        <w:tc>
          <w:tcPr>
            <w:tcW w:w="6476" w:type="dxa"/>
          </w:tcPr>
          <w:p w14:paraId="714E85CE" w14:textId="77777777" w:rsidR="0058570F" w:rsidRDefault="0058570F"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557CAD4D" wp14:editId="7AE3B691">
                  <wp:extent cx="2664031" cy="2664031"/>
                  <wp:effectExtent l="0" t="0" r="3175" b="3175"/>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noChangeArrowheads="1"/>
                          </pic:cNvPicPr>
                        </pic:nvPicPr>
                        <pic:blipFill>
                          <a:blip r:embed="rId17" cstate="print">
                            <a:extLst>
                              <a:ext uri="{28A0092B-C50C-407E-A947-70E740481C1C}">
                                <a14:useLocalDpi xmlns:a14="http://schemas.microsoft.com/office/drawing/2010/main" val="0"/>
                              </a:ext>
                            </a:extLst>
                          </a:blip>
                          <a:stretch>
                            <a:fillRect/>
                          </a:stretch>
                        </pic:blipFill>
                        <pic:spPr bwMode="auto">
                          <a:xfrm>
                            <a:off x="0" y="0"/>
                            <a:ext cx="2670527" cy="2670527"/>
                          </a:xfrm>
                          <a:prstGeom prst="rect">
                            <a:avLst/>
                          </a:prstGeom>
                          <a:noFill/>
                          <a:ln>
                            <a:noFill/>
                          </a:ln>
                        </pic:spPr>
                      </pic:pic>
                    </a:graphicData>
                  </a:graphic>
                </wp:inline>
              </w:drawing>
            </w:r>
          </w:p>
        </w:tc>
      </w:tr>
      <w:tr w:rsidR="00461A76" w14:paraId="25D0C2CB" w14:textId="77777777" w:rsidTr="00401AE2">
        <w:trPr>
          <w:trHeight w:val="67"/>
        </w:trPr>
        <w:tc>
          <w:tcPr>
            <w:tcW w:w="12960" w:type="dxa"/>
            <w:gridSpan w:val="2"/>
          </w:tcPr>
          <w:p w14:paraId="2D90C48B" w14:textId="10A5C73B" w:rsidR="00461A76" w:rsidRPr="00486F25" w:rsidRDefault="00486F25" w:rsidP="00486F25">
            <w:pPr>
              <w:pStyle w:val="ListParagraph"/>
              <w:numPr>
                <w:ilvl w:val="0"/>
                <w:numId w:val="2"/>
              </w:numPr>
              <w:jc w:val="center"/>
              <w:rPr>
                <w:rFonts w:ascii="Times New Roman" w:eastAsia="Times New Roman" w:hAnsi="Times New Roman" w:cs="Times New Roman"/>
                <w:bCs/>
                <w:noProof/>
                <w:sz w:val="20"/>
                <w:szCs w:val="20"/>
              </w:rPr>
            </w:pPr>
            <w:r>
              <w:rPr>
                <w:rFonts w:ascii="Times New Roman" w:eastAsia="Times New Roman" w:hAnsi="Times New Roman" w:cs="Times New Roman"/>
                <w:b/>
                <w:sz w:val="20"/>
                <w:szCs w:val="20"/>
              </w:rPr>
              <w:t>C-peptide</w:t>
            </w:r>
            <w:r w:rsidR="00461A76" w:rsidRPr="00486F25">
              <w:rPr>
                <w:rFonts w:ascii="Times New Roman" w:eastAsia="Times New Roman" w:hAnsi="Times New Roman" w:cs="Times New Roman"/>
                <w:b/>
                <w:sz w:val="20"/>
                <w:szCs w:val="20"/>
              </w:rPr>
              <w:t>; Egger Test p-value</w:t>
            </w:r>
            <w:r w:rsidRPr="00486F25">
              <w:rPr>
                <w:rFonts w:ascii="Times New Roman" w:eastAsia="Times New Roman" w:hAnsi="Times New Roman" w:cs="Times New Roman"/>
                <w:b/>
                <w:sz w:val="20"/>
                <w:szCs w:val="20"/>
              </w:rPr>
              <w:t xml:space="preserve"> =</w:t>
            </w:r>
            <w:r w:rsidR="00461A76" w:rsidRPr="00486F25">
              <w:rPr>
                <w:rFonts w:ascii="Times New Roman" w:eastAsia="Times New Roman" w:hAnsi="Times New Roman" w:cs="Times New Roman"/>
                <w:b/>
                <w:sz w:val="20"/>
                <w:szCs w:val="20"/>
              </w:rPr>
              <w:t xml:space="preserve"> </w:t>
            </w:r>
            <w:r w:rsidRPr="00486F25">
              <w:rPr>
                <w:rFonts w:ascii="Times New Roman" w:eastAsia="Times New Roman" w:hAnsi="Times New Roman" w:cs="Times New Roman"/>
                <w:b/>
                <w:sz w:val="20"/>
                <w:szCs w:val="20"/>
              </w:rPr>
              <w:t>0.35</w:t>
            </w:r>
            <w:r w:rsidR="00C61AD9">
              <w:rPr>
                <w:rFonts w:ascii="Times New Roman" w:eastAsia="Times New Roman" w:hAnsi="Times New Roman" w:cs="Times New Roman"/>
                <w:b/>
                <w:sz w:val="20"/>
                <w:szCs w:val="20"/>
              </w:rPr>
              <w:t>6</w:t>
            </w:r>
          </w:p>
        </w:tc>
      </w:tr>
      <w:tr w:rsidR="00461A76" w14:paraId="623F7EF4" w14:textId="77777777" w:rsidTr="0018295E">
        <w:trPr>
          <w:trHeight w:val="4131"/>
        </w:trPr>
        <w:tc>
          <w:tcPr>
            <w:tcW w:w="6484" w:type="dxa"/>
          </w:tcPr>
          <w:p w14:paraId="6C76F1EA" w14:textId="0FDE807D" w:rsidR="00461A76" w:rsidRDefault="007441FB"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65F3F16E" wp14:editId="13FEA785">
                  <wp:extent cx="2796363" cy="2796363"/>
                  <wp:effectExtent l="0" t="0" r="4445" b="4445"/>
                  <wp:docPr id="3" name="Picture 3" descr="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hart&#10;&#10;Description automatically generated"/>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800723" cy="2800723"/>
                          </a:xfrm>
                          <a:prstGeom prst="rect">
                            <a:avLst/>
                          </a:prstGeom>
                        </pic:spPr>
                      </pic:pic>
                    </a:graphicData>
                  </a:graphic>
                </wp:inline>
              </w:drawing>
            </w:r>
          </w:p>
        </w:tc>
        <w:tc>
          <w:tcPr>
            <w:tcW w:w="6476" w:type="dxa"/>
          </w:tcPr>
          <w:p w14:paraId="2A2B82A3" w14:textId="7A55BCE4" w:rsidR="00461A76" w:rsidRDefault="007441FB" w:rsidP="0055373D">
            <w:pPr>
              <w:jc w:val="center"/>
              <w:rPr>
                <w:rFonts w:ascii="Times New Roman" w:eastAsia="Times New Roman" w:hAnsi="Times New Roman" w:cs="Times New Roman"/>
                <w:bCs/>
                <w:noProof/>
                <w:sz w:val="20"/>
                <w:szCs w:val="20"/>
              </w:rPr>
            </w:pPr>
            <w:r>
              <w:rPr>
                <w:rFonts w:ascii="Times New Roman" w:eastAsia="Times New Roman" w:hAnsi="Times New Roman" w:cs="Times New Roman"/>
                <w:bCs/>
                <w:noProof/>
                <w:sz w:val="20"/>
                <w:szCs w:val="20"/>
              </w:rPr>
              <w:drawing>
                <wp:inline distT="0" distB="0" distL="0" distR="0" wp14:anchorId="463C6067" wp14:editId="72A346DF">
                  <wp:extent cx="2795905" cy="2795905"/>
                  <wp:effectExtent l="0" t="0" r="4445" b="4445"/>
                  <wp:docPr id="4" name="Picture 4" descr="A picture containing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icture containing chart&#10;&#10;Description automatically generated"/>
                          <pic:cNvPicPr/>
                        </pic:nvPicPr>
                        <pic:blipFill>
                          <a:blip r:embed="rId19" cstate="print">
                            <a:extLst>
                              <a:ext uri="{28A0092B-C50C-407E-A947-70E740481C1C}">
                                <a14:useLocalDpi xmlns:a14="http://schemas.microsoft.com/office/drawing/2010/main" val="0"/>
                              </a:ext>
                            </a:extLst>
                          </a:blip>
                          <a:stretch>
                            <a:fillRect/>
                          </a:stretch>
                        </pic:blipFill>
                        <pic:spPr>
                          <a:xfrm>
                            <a:off x="0" y="0"/>
                            <a:ext cx="2801948" cy="2801948"/>
                          </a:xfrm>
                          <a:prstGeom prst="rect">
                            <a:avLst/>
                          </a:prstGeom>
                        </pic:spPr>
                      </pic:pic>
                    </a:graphicData>
                  </a:graphic>
                </wp:inline>
              </w:drawing>
            </w:r>
          </w:p>
        </w:tc>
      </w:tr>
    </w:tbl>
    <w:p w14:paraId="14DE0B37" w14:textId="77777777" w:rsidR="00CE10D6" w:rsidRDefault="00CE10D6">
      <w:r>
        <w:br w:type="page"/>
      </w:r>
    </w:p>
    <w:p w14:paraId="5C602FB3" w14:textId="27D055D7" w:rsidR="008D44FB" w:rsidRDefault="00FA0605" w:rsidP="00FA0605">
      <w:pPr>
        <w:pStyle w:val="Heading1"/>
      </w:pPr>
      <w:bookmarkStart w:id="19" w:name="_Toc116234674"/>
      <w:r>
        <w:lastRenderedPageBreak/>
        <w:t>Supplementary References</w:t>
      </w:r>
      <w:bookmarkEnd w:id="19"/>
    </w:p>
    <w:p w14:paraId="6E02D488" w14:textId="0B66CA2D" w:rsidR="00CD03A0" w:rsidRPr="00CD03A0" w:rsidRDefault="00FA0605"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FA0605">
        <w:rPr>
          <w:rFonts w:ascii="Times New Roman" w:hAnsi="Times New Roman" w:cs="Times New Roman"/>
          <w:sz w:val="24"/>
          <w:szCs w:val="24"/>
        </w:rPr>
        <w:fldChar w:fldCharType="begin" w:fldLock="1"/>
      </w:r>
      <w:r w:rsidRPr="00FA0605">
        <w:rPr>
          <w:rFonts w:ascii="Times New Roman" w:hAnsi="Times New Roman" w:cs="Times New Roman"/>
          <w:sz w:val="24"/>
          <w:szCs w:val="24"/>
        </w:rPr>
        <w:instrText xml:space="preserve">ADDIN Mendeley Bibliography CSL_BIBLIOGRAPHY </w:instrText>
      </w:r>
      <w:r w:rsidRPr="00FA0605">
        <w:rPr>
          <w:rFonts w:ascii="Times New Roman" w:hAnsi="Times New Roman" w:cs="Times New Roman"/>
          <w:sz w:val="24"/>
          <w:szCs w:val="24"/>
        </w:rPr>
        <w:fldChar w:fldCharType="separate"/>
      </w:r>
      <w:r w:rsidR="00CD03A0" w:rsidRPr="00CD03A0">
        <w:rPr>
          <w:rFonts w:ascii="Times New Roman" w:hAnsi="Times New Roman" w:cs="Times New Roman"/>
          <w:noProof/>
          <w:sz w:val="24"/>
          <w:szCs w:val="24"/>
        </w:rPr>
        <w:t>[1]</w:t>
      </w:r>
      <w:r w:rsidR="00CD03A0" w:rsidRPr="00CD03A0">
        <w:rPr>
          <w:rFonts w:ascii="Times New Roman" w:hAnsi="Times New Roman" w:cs="Times New Roman"/>
          <w:noProof/>
          <w:sz w:val="24"/>
          <w:szCs w:val="24"/>
        </w:rPr>
        <w:tab/>
        <w:t>R. Goyal, I. Jialal, Diabetes Mellitus Type 2 - StatPearls - NCBI Bookshelf - BAB II, Diabetes Mellit. Type 2. (2020). https://www.ncbi.nlm.nih.gov/books/NBK513253/ (accessed March 1, 2022).</w:t>
      </w:r>
    </w:p>
    <w:p w14:paraId="7DA06561"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[2]</w:t>
      </w:r>
      <w:r w:rsidRPr="00CD03A0">
        <w:rPr>
          <w:rFonts w:ascii="Times New Roman" w:hAnsi="Times New Roman" w:cs="Times New Roman"/>
          <w:noProof/>
          <w:sz w:val="24"/>
          <w:szCs w:val="24"/>
        </w:rPr>
        <w:tab/>
        <w:t>T. Zhu, M.O. Goodarzi, Metabolites Linking the Gut Microbiome with Risk for Type 2 Diabetes, Curr. Nutr. Rep. 9 (2020) 83. https://doi.org/10.1007/S13668-020-00307-3.</w:t>
      </w:r>
    </w:p>
    <w:p w14:paraId="0D5E43BC"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[3]</w:t>
      </w:r>
      <w:r w:rsidRPr="00CD03A0">
        <w:rPr>
          <w:rFonts w:ascii="Times New Roman" w:hAnsi="Times New Roman" w:cs="Times New Roman"/>
          <w:noProof/>
          <w:sz w:val="24"/>
          <w:szCs w:val="24"/>
        </w:rPr>
        <w:tab/>
        <w:t>M. Gurung, Z. Li, H. You, R. Rodrigues, D.B. Jump, A. Morgun, N. Shulzhenko, Role of gut microbiota in type 2 diabetes pathophysiology, EBioMedicine. 51 (2020) 102590. https://doi.org/10.1016/J.EBIOM.2019.11.051.</w:t>
      </w:r>
    </w:p>
    <w:p w14:paraId="745942C2"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[4]</w:t>
      </w:r>
      <w:r w:rsidRPr="00CD03A0">
        <w:rPr>
          <w:rFonts w:ascii="Times New Roman" w:hAnsi="Times New Roman" w:cs="Times New Roman"/>
          <w:noProof/>
          <w:sz w:val="24"/>
          <w:szCs w:val="24"/>
        </w:rPr>
        <w:tab/>
        <w:t>M.M. Agarwal, Gestational diabetes mellitus: Screening with fasting plasma glucose, World J. Diabetes. 7 (2016) 279. https://doi.org/10.4239/wjd.v7.i14.279.</w:t>
      </w:r>
    </w:p>
    <w:p w14:paraId="1F6306E9"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[5]</w:t>
      </w:r>
      <w:r w:rsidRPr="00CD03A0">
        <w:rPr>
          <w:rFonts w:ascii="Times New Roman" w:hAnsi="Times New Roman" w:cs="Times New Roman"/>
          <w:noProof/>
          <w:sz w:val="24"/>
          <w:szCs w:val="24"/>
        </w:rPr>
        <w:tab/>
        <w:t>Y.A. Yang, C.H. Lin, Multiple enzyme-doped thread-based microfluidic system for blood urea nitrogen and glucose detection in human whole blood, Biomicrofluidics. 9 (2015). https://doi.org/10.1063/1.4915616.</w:t>
      </w:r>
    </w:p>
    <w:p w14:paraId="350CEAFE"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[6]</w:t>
      </w:r>
      <w:r w:rsidRPr="00CD03A0">
        <w:rPr>
          <w:rFonts w:ascii="Times New Roman" w:hAnsi="Times New Roman" w:cs="Times New Roman"/>
          <w:noProof/>
          <w:sz w:val="24"/>
          <w:szCs w:val="24"/>
        </w:rPr>
        <w:tab/>
        <w:t>D.D. Thomas, B.E. Corkey, N.W. Istfan, C.M. Apovian, Hyperinsulinemia: An Early Indicator of Metabolic Dysfunction, J. Endocr. Soc. 3 (2019) 1727. https://doi.org/10.1210/JS.2019-00065.</w:t>
      </w:r>
    </w:p>
    <w:p w14:paraId="4B9FDDA7"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[7]</w:t>
      </w:r>
      <w:r w:rsidRPr="00CD03A0">
        <w:rPr>
          <w:rFonts w:ascii="Times New Roman" w:hAnsi="Times New Roman" w:cs="Times New Roman"/>
          <w:noProof/>
          <w:sz w:val="24"/>
          <w:szCs w:val="24"/>
        </w:rPr>
        <w:tab/>
        <w:t>G. Mata-Torres, A. Andrade-Cetto, F.A. Espinoza-Hernández, R. Cárdenas-Vázquez, Hepatic Glucose Output Inhibition by Mexican Plants Used in the Treatment of Type 2 Diabetes, Front. Pharmacol. 11 (2020). https://doi.org/10.3389/FPHAR.2020.00215/FULL.</w:t>
      </w:r>
    </w:p>
    <w:p w14:paraId="4F071F2B"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[8]</w:t>
      </w:r>
      <w:r w:rsidRPr="00CD03A0">
        <w:rPr>
          <w:rFonts w:ascii="Times New Roman" w:hAnsi="Times New Roman" w:cs="Times New Roman"/>
          <w:noProof/>
          <w:sz w:val="24"/>
          <w:szCs w:val="24"/>
        </w:rPr>
        <w:tab/>
        <w:t>E. Eyth, R. Nai, Hemoglobin A1C - StatPearls - NCBI Bookshelf, (2021). https://www.ncbi.nlm.nih.gov/books/NBK549816/ (accessed March 19, 2022).</w:t>
      </w:r>
    </w:p>
    <w:p w14:paraId="5F4383BE"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[9]</w:t>
      </w:r>
      <w:r w:rsidRPr="00CD03A0">
        <w:rPr>
          <w:rFonts w:ascii="Times New Roman" w:hAnsi="Times New Roman" w:cs="Times New Roman"/>
          <w:noProof/>
          <w:sz w:val="24"/>
          <w:szCs w:val="24"/>
        </w:rPr>
        <w:tab/>
        <w:t>N. Kassaian, A. Feizi, A. Aminorroaya, P. Jafari, M.T. Ebrahimi, M. Amini, The effects of probiotics and synbiotic supplementation on glucose and insulin metabolism in adults with prediabetes: a double-blind randomized clinical trial, Acta Diabetol. 55 (2018) 1019–1028. https://doi.org/10.1007/s00592-018-1175-2.</w:t>
      </w:r>
    </w:p>
    <w:p w14:paraId="3C220908"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[10]</w:t>
      </w:r>
      <w:r w:rsidRPr="00CD03A0">
        <w:rPr>
          <w:rFonts w:ascii="Times New Roman" w:hAnsi="Times New Roman" w:cs="Times New Roman"/>
          <w:noProof/>
          <w:sz w:val="24"/>
          <w:szCs w:val="24"/>
        </w:rPr>
        <w:tab/>
        <w:t>V. Castorani, N. Polidori, C. Giannini, A. Blasetti, F. Chiarelli, Insulin resistance and type 2 diabetes in children, Ann. Pediatr. Endocrinol. Metab. 25 (2020) 217. https://doi.org/10.6065/APEM.2040090.045.</w:t>
      </w:r>
    </w:p>
    <w:p w14:paraId="00C15F29"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[11]</w:t>
      </w:r>
      <w:r w:rsidRPr="00CD03A0">
        <w:rPr>
          <w:rFonts w:ascii="Times New Roman" w:hAnsi="Times New Roman" w:cs="Times New Roman"/>
          <w:noProof/>
          <w:sz w:val="24"/>
          <w:szCs w:val="24"/>
        </w:rPr>
        <w:tab/>
        <w:t>A.M. Vincent, B. Calabek, L. Roberts, E.L. Feldman, Biology of diabetic neuropathy, in: Handb. Clin. Neurol., Elsevier B.V., 2013: pp. 591–606. https://doi.org/10.1016/B978-0-444-52902-2.00034-5.</w:t>
      </w:r>
    </w:p>
    <w:p w14:paraId="156C66EA"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[12]</w:t>
      </w:r>
      <w:r w:rsidRPr="00CD03A0">
        <w:rPr>
          <w:rFonts w:ascii="Times New Roman" w:hAnsi="Times New Roman" w:cs="Times New Roman"/>
          <w:noProof/>
          <w:sz w:val="24"/>
          <w:szCs w:val="24"/>
        </w:rPr>
        <w:tab/>
        <w:t xml:space="preserve">C.C. Lee, S.M. Haffner, L.E. Wagenknecht, C. Lorenzo, J.M. Norris, R.N. Bergman, D. Stefanovski, A.M. Anderson, J.I. </w:t>
      </w:r>
      <w:r w:rsidRPr="00CD03A0">
        <w:rPr>
          <w:rFonts w:ascii="Times New Roman" w:hAnsi="Times New Roman" w:cs="Times New Roman"/>
          <w:noProof/>
          <w:sz w:val="24"/>
          <w:szCs w:val="24"/>
        </w:rPr>
        <w:lastRenderedPageBreak/>
        <w:t>Rotter, M.O. Goodarzi, A.J. Hanley, Insulin Clearance and the Incidence of Type 2 Diabetes in Hispanics and African Americans: The IRAS Family Study, Diabetes Care. 36 (2013) 901. https://doi.org/10.2337/DC12-1316.</w:t>
      </w:r>
    </w:p>
    <w:p w14:paraId="7AB4C944"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[13]</w:t>
      </w:r>
      <w:r w:rsidRPr="00CD03A0">
        <w:rPr>
          <w:rFonts w:ascii="Times New Roman" w:hAnsi="Times New Roman" w:cs="Times New Roman"/>
          <w:noProof/>
          <w:sz w:val="24"/>
          <w:szCs w:val="24"/>
        </w:rPr>
        <w:tab/>
        <w:t>K.K. Gambhir, J.A. Archer, C.J. Bradley, Characteristics of human erythrocyte insulin receptors, Diabetes. 27 (1978) 701–708. https://doi.org/10.2337/DIAB.27.7.701.</w:t>
      </w:r>
    </w:p>
    <w:p w14:paraId="049A2C22"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[14]</w:t>
      </w:r>
      <w:r w:rsidRPr="00CD03A0">
        <w:rPr>
          <w:rFonts w:ascii="Times New Roman" w:hAnsi="Times New Roman" w:cs="Times New Roman"/>
          <w:noProof/>
          <w:sz w:val="24"/>
          <w:szCs w:val="24"/>
        </w:rPr>
        <w:tab/>
        <w:t>P. Zancan, M. Sola-Penna, Regulation of human erythrocyte metabolism by insulin: cellular distribution of 6-phosphofructo-1-kinase and its implication for red blood cell function, Mol. Genet. Metab. 86 (2005) 401–411. https://doi.org/10.1016/J.YMGME.2005.06.011.</w:t>
      </w:r>
    </w:p>
    <w:p w14:paraId="299BB7F2"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szCs w:val="24"/>
        </w:rPr>
      </w:pPr>
      <w:r w:rsidRPr="00CD03A0">
        <w:rPr>
          <w:rFonts w:ascii="Times New Roman" w:hAnsi="Times New Roman" w:cs="Times New Roman"/>
          <w:noProof/>
          <w:sz w:val="24"/>
          <w:szCs w:val="24"/>
        </w:rPr>
        <w:t>[15]</w:t>
      </w:r>
      <w:r w:rsidRPr="00CD03A0">
        <w:rPr>
          <w:rFonts w:ascii="Times New Roman" w:hAnsi="Times New Roman" w:cs="Times New Roman"/>
          <w:noProof/>
          <w:sz w:val="24"/>
          <w:szCs w:val="24"/>
        </w:rPr>
        <w:tab/>
        <w:t>K.K. Gambhir, V.R. Agarwal, Red blood cell insulin receptors in health and disease, Biochem. Med. Metab. Biol. 45 (1991) 133–153. https://doi.org/10.1016/0885-4505(91)90015-D.</w:t>
      </w:r>
    </w:p>
    <w:p w14:paraId="55EC7D1B" w14:textId="77777777" w:rsidR="00CD03A0" w:rsidRPr="00CD03A0" w:rsidRDefault="00CD03A0" w:rsidP="00CD03A0">
      <w:pPr>
        <w:widowControl w:val="0"/>
        <w:autoSpaceDE w:val="0"/>
        <w:autoSpaceDN w:val="0"/>
        <w:adjustRightInd w:val="0"/>
        <w:spacing w:line="240" w:lineRule="auto"/>
        <w:ind w:left="640" w:hanging="640"/>
        <w:rPr>
          <w:rFonts w:ascii="Times New Roman" w:hAnsi="Times New Roman" w:cs="Times New Roman"/>
          <w:noProof/>
          <w:sz w:val="24"/>
        </w:rPr>
      </w:pPr>
      <w:r w:rsidRPr="00CD03A0">
        <w:rPr>
          <w:rFonts w:ascii="Times New Roman" w:hAnsi="Times New Roman" w:cs="Times New Roman"/>
          <w:noProof/>
          <w:sz w:val="24"/>
          <w:szCs w:val="24"/>
        </w:rPr>
        <w:t>[16]</w:t>
      </w:r>
      <w:r w:rsidRPr="00CD03A0">
        <w:rPr>
          <w:rFonts w:ascii="Times New Roman" w:hAnsi="Times New Roman" w:cs="Times New Roman"/>
          <w:noProof/>
          <w:sz w:val="24"/>
          <w:szCs w:val="24"/>
        </w:rPr>
        <w:tab/>
        <w:t>M.J. Page, D. Moher, P.M. Bossuyt, I. Boutron, T.C. Hoffmann, C.D. Mulrow, L. Shamseer, J.M. Tetzlaff, E.A. Akl, S.E. Brennan, R. Chou, J. Glanville, J.M. Grimshaw, A. Hróbjartsson, M.M. Lalu, T. Li, E.W. Loder, E. Mayo-Wilson, S. Mcdonald, L.A. Mcguinness, L.A. Stewart, J. Thomas, A.C. Tricco, V.A. Welch, P. Whiting, J.E. Mckenzie, PRISMA 2020 explanation and elaboration: Updated guidance and exemplars for reporting systematic reviews, BMJ. 372 (2021). https://doi.org/10.1136/bmj.n160.</w:t>
      </w:r>
    </w:p>
    <w:p w14:paraId="53A4223B" w14:textId="124A306D" w:rsidR="00FA0605" w:rsidRDefault="00FA0605">
      <w:r w:rsidRPr="00FA0605">
        <w:rPr>
          <w:rFonts w:ascii="Times New Roman" w:hAnsi="Times New Roman" w:cs="Times New Roman"/>
          <w:sz w:val="24"/>
          <w:szCs w:val="24"/>
        </w:rPr>
        <w:fldChar w:fldCharType="end"/>
      </w:r>
    </w:p>
    <w:sectPr w:rsidR="00FA0605" w:rsidSect="0008496A">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073961"/>
    <w:multiLevelType w:val="hybridMultilevel"/>
    <w:tmpl w:val="1238644E"/>
    <w:lvl w:ilvl="0" w:tplc="B0D2115A">
      <w:start w:val="3"/>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864BE4"/>
    <w:multiLevelType w:val="hybridMultilevel"/>
    <w:tmpl w:val="28D628C6"/>
    <w:lvl w:ilvl="0" w:tplc="E72047E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96A"/>
    <w:rsid w:val="00002BCA"/>
    <w:rsid w:val="000201EA"/>
    <w:rsid w:val="0004512D"/>
    <w:rsid w:val="00047D77"/>
    <w:rsid w:val="00051B1C"/>
    <w:rsid w:val="00055016"/>
    <w:rsid w:val="000566A0"/>
    <w:rsid w:val="000605D5"/>
    <w:rsid w:val="0006314D"/>
    <w:rsid w:val="00064AD4"/>
    <w:rsid w:val="000711B8"/>
    <w:rsid w:val="0007734A"/>
    <w:rsid w:val="0008425B"/>
    <w:rsid w:val="0008496A"/>
    <w:rsid w:val="00092FBE"/>
    <w:rsid w:val="00096214"/>
    <w:rsid w:val="000A0BB3"/>
    <w:rsid w:val="000A26CD"/>
    <w:rsid w:val="000A3707"/>
    <w:rsid w:val="000A71C7"/>
    <w:rsid w:val="000B0763"/>
    <w:rsid w:val="000B184B"/>
    <w:rsid w:val="000B663C"/>
    <w:rsid w:val="000B67C9"/>
    <w:rsid w:val="000D1852"/>
    <w:rsid w:val="000D1AB8"/>
    <w:rsid w:val="000D3579"/>
    <w:rsid w:val="000D36EA"/>
    <w:rsid w:val="000E03E3"/>
    <w:rsid w:val="000E11E9"/>
    <w:rsid w:val="000F1CF0"/>
    <w:rsid w:val="00102FAC"/>
    <w:rsid w:val="001033CC"/>
    <w:rsid w:val="00107799"/>
    <w:rsid w:val="00110B0B"/>
    <w:rsid w:val="00110B3B"/>
    <w:rsid w:val="0011144E"/>
    <w:rsid w:val="001117B2"/>
    <w:rsid w:val="0011457F"/>
    <w:rsid w:val="00122CA2"/>
    <w:rsid w:val="00124734"/>
    <w:rsid w:val="0012493C"/>
    <w:rsid w:val="00124DAF"/>
    <w:rsid w:val="001345C5"/>
    <w:rsid w:val="00136191"/>
    <w:rsid w:val="00137B59"/>
    <w:rsid w:val="001400EF"/>
    <w:rsid w:val="0014089E"/>
    <w:rsid w:val="00144213"/>
    <w:rsid w:val="00144AD0"/>
    <w:rsid w:val="0015363C"/>
    <w:rsid w:val="001536FF"/>
    <w:rsid w:val="00157D87"/>
    <w:rsid w:val="00161D0B"/>
    <w:rsid w:val="00164759"/>
    <w:rsid w:val="0016772E"/>
    <w:rsid w:val="0017438C"/>
    <w:rsid w:val="0018138D"/>
    <w:rsid w:val="0018295E"/>
    <w:rsid w:val="00183CF0"/>
    <w:rsid w:val="00184CBE"/>
    <w:rsid w:val="0019279F"/>
    <w:rsid w:val="001942D5"/>
    <w:rsid w:val="001945D9"/>
    <w:rsid w:val="00197A18"/>
    <w:rsid w:val="00197EA0"/>
    <w:rsid w:val="001A30BC"/>
    <w:rsid w:val="001A3334"/>
    <w:rsid w:val="001B2379"/>
    <w:rsid w:val="001B3769"/>
    <w:rsid w:val="001C6967"/>
    <w:rsid w:val="001E2BC8"/>
    <w:rsid w:val="001F0409"/>
    <w:rsid w:val="00200747"/>
    <w:rsid w:val="00201F2F"/>
    <w:rsid w:val="00216717"/>
    <w:rsid w:val="00223918"/>
    <w:rsid w:val="00263C8A"/>
    <w:rsid w:val="00266559"/>
    <w:rsid w:val="00267293"/>
    <w:rsid w:val="0027119E"/>
    <w:rsid w:val="00274418"/>
    <w:rsid w:val="002765DF"/>
    <w:rsid w:val="0028398E"/>
    <w:rsid w:val="0028459C"/>
    <w:rsid w:val="002849CC"/>
    <w:rsid w:val="00284FB0"/>
    <w:rsid w:val="00285FD3"/>
    <w:rsid w:val="00286AE6"/>
    <w:rsid w:val="00286CBB"/>
    <w:rsid w:val="00287526"/>
    <w:rsid w:val="002877B2"/>
    <w:rsid w:val="00292001"/>
    <w:rsid w:val="002A3E8A"/>
    <w:rsid w:val="002A75D5"/>
    <w:rsid w:val="002B155D"/>
    <w:rsid w:val="002B5040"/>
    <w:rsid w:val="002B5521"/>
    <w:rsid w:val="002B7328"/>
    <w:rsid w:val="002C11E0"/>
    <w:rsid w:val="002D261E"/>
    <w:rsid w:val="002E0CC3"/>
    <w:rsid w:val="002E2513"/>
    <w:rsid w:val="002E6645"/>
    <w:rsid w:val="002F3B15"/>
    <w:rsid w:val="00300FD5"/>
    <w:rsid w:val="003145E9"/>
    <w:rsid w:val="00316717"/>
    <w:rsid w:val="003200C5"/>
    <w:rsid w:val="00326F2F"/>
    <w:rsid w:val="00327210"/>
    <w:rsid w:val="00333B20"/>
    <w:rsid w:val="00333E69"/>
    <w:rsid w:val="00340275"/>
    <w:rsid w:val="003439A2"/>
    <w:rsid w:val="003454BE"/>
    <w:rsid w:val="00345EC8"/>
    <w:rsid w:val="00346BFA"/>
    <w:rsid w:val="00347D7C"/>
    <w:rsid w:val="00350075"/>
    <w:rsid w:val="00355C82"/>
    <w:rsid w:val="00365D85"/>
    <w:rsid w:val="00382372"/>
    <w:rsid w:val="00393BD0"/>
    <w:rsid w:val="00396D06"/>
    <w:rsid w:val="0039717E"/>
    <w:rsid w:val="003B206A"/>
    <w:rsid w:val="003B32B4"/>
    <w:rsid w:val="003B6220"/>
    <w:rsid w:val="003C20BF"/>
    <w:rsid w:val="003D0DED"/>
    <w:rsid w:val="003D3E11"/>
    <w:rsid w:val="003D7E78"/>
    <w:rsid w:val="003E2830"/>
    <w:rsid w:val="003E2C52"/>
    <w:rsid w:val="003E397C"/>
    <w:rsid w:val="003E6785"/>
    <w:rsid w:val="003E7C5B"/>
    <w:rsid w:val="003F4153"/>
    <w:rsid w:val="00404681"/>
    <w:rsid w:val="00417691"/>
    <w:rsid w:val="00432A03"/>
    <w:rsid w:val="00441DC7"/>
    <w:rsid w:val="00455AB7"/>
    <w:rsid w:val="0046072A"/>
    <w:rsid w:val="00461A76"/>
    <w:rsid w:val="00463A94"/>
    <w:rsid w:val="00466019"/>
    <w:rsid w:val="00466561"/>
    <w:rsid w:val="0048062C"/>
    <w:rsid w:val="00483CFE"/>
    <w:rsid w:val="00484959"/>
    <w:rsid w:val="00486F25"/>
    <w:rsid w:val="0049246F"/>
    <w:rsid w:val="00492716"/>
    <w:rsid w:val="00495463"/>
    <w:rsid w:val="004B0B40"/>
    <w:rsid w:val="004C2C72"/>
    <w:rsid w:val="004C2F42"/>
    <w:rsid w:val="004D26A0"/>
    <w:rsid w:val="004D2C8A"/>
    <w:rsid w:val="004D40AF"/>
    <w:rsid w:val="004E3818"/>
    <w:rsid w:val="004E3E6A"/>
    <w:rsid w:val="004E5E14"/>
    <w:rsid w:val="004F5847"/>
    <w:rsid w:val="004F7C5C"/>
    <w:rsid w:val="00516D78"/>
    <w:rsid w:val="00516DF2"/>
    <w:rsid w:val="005173D7"/>
    <w:rsid w:val="00517857"/>
    <w:rsid w:val="00524624"/>
    <w:rsid w:val="0052572F"/>
    <w:rsid w:val="00534A16"/>
    <w:rsid w:val="00535B77"/>
    <w:rsid w:val="005366FD"/>
    <w:rsid w:val="00537A1B"/>
    <w:rsid w:val="005411BA"/>
    <w:rsid w:val="0054488F"/>
    <w:rsid w:val="00546653"/>
    <w:rsid w:val="0056797C"/>
    <w:rsid w:val="005761CE"/>
    <w:rsid w:val="005812F3"/>
    <w:rsid w:val="0058570F"/>
    <w:rsid w:val="00587530"/>
    <w:rsid w:val="00592613"/>
    <w:rsid w:val="005A123B"/>
    <w:rsid w:val="005A3502"/>
    <w:rsid w:val="005A3A3A"/>
    <w:rsid w:val="005A6275"/>
    <w:rsid w:val="005B0225"/>
    <w:rsid w:val="005B4A36"/>
    <w:rsid w:val="005B6132"/>
    <w:rsid w:val="005B6BAB"/>
    <w:rsid w:val="005C2DB6"/>
    <w:rsid w:val="005D0E05"/>
    <w:rsid w:val="005D2811"/>
    <w:rsid w:val="005D3105"/>
    <w:rsid w:val="005F1641"/>
    <w:rsid w:val="005F3C69"/>
    <w:rsid w:val="005F6A38"/>
    <w:rsid w:val="006013BE"/>
    <w:rsid w:val="00601738"/>
    <w:rsid w:val="0062454A"/>
    <w:rsid w:val="00626A1E"/>
    <w:rsid w:val="0062768F"/>
    <w:rsid w:val="006436A4"/>
    <w:rsid w:val="00645981"/>
    <w:rsid w:val="006529C1"/>
    <w:rsid w:val="006541DE"/>
    <w:rsid w:val="00657DBA"/>
    <w:rsid w:val="00672939"/>
    <w:rsid w:val="00677DEB"/>
    <w:rsid w:val="00683714"/>
    <w:rsid w:val="00693212"/>
    <w:rsid w:val="006935D9"/>
    <w:rsid w:val="006B147D"/>
    <w:rsid w:val="006B464D"/>
    <w:rsid w:val="006B6351"/>
    <w:rsid w:val="006C2A00"/>
    <w:rsid w:val="006C7563"/>
    <w:rsid w:val="006D52CA"/>
    <w:rsid w:val="006D78D1"/>
    <w:rsid w:val="006F1CF5"/>
    <w:rsid w:val="006F3128"/>
    <w:rsid w:val="006F3D2E"/>
    <w:rsid w:val="006F483E"/>
    <w:rsid w:val="006F531E"/>
    <w:rsid w:val="006F560C"/>
    <w:rsid w:val="006F5D40"/>
    <w:rsid w:val="007034E5"/>
    <w:rsid w:val="007213DA"/>
    <w:rsid w:val="00727E61"/>
    <w:rsid w:val="007334E1"/>
    <w:rsid w:val="00735E04"/>
    <w:rsid w:val="00736ABD"/>
    <w:rsid w:val="00737CC2"/>
    <w:rsid w:val="007441FB"/>
    <w:rsid w:val="007464FD"/>
    <w:rsid w:val="00747A54"/>
    <w:rsid w:val="007507F4"/>
    <w:rsid w:val="00760394"/>
    <w:rsid w:val="00762481"/>
    <w:rsid w:val="00765394"/>
    <w:rsid w:val="0078783F"/>
    <w:rsid w:val="007937E7"/>
    <w:rsid w:val="00794585"/>
    <w:rsid w:val="00797EF0"/>
    <w:rsid w:val="007A0697"/>
    <w:rsid w:val="007A5E90"/>
    <w:rsid w:val="007B3ECF"/>
    <w:rsid w:val="007D608B"/>
    <w:rsid w:val="007D7783"/>
    <w:rsid w:val="007E19A9"/>
    <w:rsid w:val="007E5691"/>
    <w:rsid w:val="007F2524"/>
    <w:rsid w:val="00806429"/>
    <w:rsid w:val="00811BCF"/>
    <w:rsid w:val="00811F6C"/>
    <w:rsid w:val="0081268A"/>
    <w:rsid w:val="00815524"/>
    <w:rsid w:val="0082487E"/>
    <w:rsid w:val="0082638B"/>
    <w:rsid w:val="00827F88"/>
    <w:rsid w:val="008345B2"/>
    <w:rsid w:val="00834B4A"/>
    <w:rsid w:val="00835764"/>
    <w:rsid w:val="00837BB2"/>
    <w:rsid w:val="00840BD4"/>
    <w:rsid w:val="00847A4F"/>
    <w:rsid w:val="0085694F"/>
    <w:rsid w:val="00875CA7"/>
    <w:rsid w:val="00881504"/>
    <w:rsid w:val="00881682"/>
    <w:rsid w:val="00885B5A"/>
    <w:rsid w:val="00892E82"/>
    <w:rsid w:val="0089454E"/>
    <w:rsid w:val="00895133"/>
    <w:rsid w:val="008B0AB8"/>
    <w:rsid w:val="008B13A5"/>
    <w:rsid w:val="008B2660"/>
    <w:rsid w:val="008D44FB"/>
    <w:rsid w:val="008D5646"/>
    <w:rsid w:val="008E5340"/>
    <w:rsid w:val="008F4764"/>
    <w:rsid w:val="008F6F05"/>
    <w:rsid w:val="00901AD5"/>
    <w:rsid w:val="00907D7A"/>
    <w:rsid w:val="00924958"/>
    <w:rsid w:val="00930F51"/>
    <w:rsid w:val="00931810"/>
    <w:rsid w:val="0093373F"/>
    <w:rsid w:val="009410DE"/>
    <w:rsid w:val="009441C1"/>
    <w:rsid w:val="0095249A"/>
    <w:rsid w:val="009576DC"/>
    <w:rsid w:val="00963CA1"/>
    <w:rsid w:val="00974E18"/>
    <w:rsid w:val="00977D1B"/>
    <w:rsid w:val="009858B2"/>
    <w:rsid w:val="00985DF9"/>
    <w:rsid w:val="0098634C"/>
    <w:rsid w:val="0099339D"/>
    <w:rsid w:val="00993B69"/>
    <w:rsid w:val="0099658E"/>
    <w:rsid w:val="009A1253"/>
    <w:rsid w:val="009A647D"/>
    <w:rsid w:val="009B5CBE"/>
    <w:rsid w:val="009D5524"/>
    <w:rsid w:val="009D5E13"/>
    <w:rsid w:val="009E2969"/>
    <w:rsid w:val="009E5E48"/>
    <w:rsid w:val="009F0D45"/>
    <w:rsid w:val="009F1D00"/>
    <w:rsid w:val="009F3EC9"/>
    <w:rsid w:val="00A0706B"/>
    <w:rsid w:val="00A170CC"/>
    <w:rsid w:val="00A20571"/>
    <w:rsid w:val="00A22036"/>
    <w:rsid w:val="00A24976"/>
    <w:rsid w:val="00A25870"/>
    <w:rsid w:val="00A2662B"/>
    <w:rsid w:val="00A273E0"/>
    <w:rsid w:val="00A417C9"/>
    <w:rsid w:val="00A4300D"/>
    <w:rsid w:val="00A609F9"/>
    <w:rsid w:val="00A74CBF"/>
    <w:rsid w:val="00A76FE4"/>
    <w:rsid w:val="00A803C9"/>
    <w:rsid w:val="00A81FA9"/>
    <w:rsid w:val="00A84AB8"/>
    <w:rsid w:val="00A86405"/>
    <w:rsid w:val="00A87DD0"/>
    <w:rsid w:val="00A90839"/>
    <w:rsid w:val="00A929FF"/>
    <w:rsid w:val="00A93C39"/>
    <w:rsid w:val="00AC1E99"/>
    <w:rsid w:val="00AC3725"/>
    <w:rsid w:val="00AC6124"/>
    <w:rsid w:val="00AC7749"/>
    <w:rsid w:val="00AD7895"/>
    <w:rsid w:val="00AE36C7"/>
    <w:rsid w:val="00AE3B18"/>
    <w:rsid w:val="00AE6D89"/>
    <w:rsid w:val="00AF7B44"/>
    <w:rsid w:val="00B00377"/>
    <w:rsid w:val="00B035CE"/>
    <w:rsid w:val="00B05424"/>
    <w:rsid w:val="00B07A70"/>
    <w:rsid w:val="00B12579"/>
    <w:rsid w:val="00B145D1"/>
    <w:rsid w:val="00B158B2"/>
    <w:rsid w:val="00B311E4"/>
    <w:rsid w:val="00B32538"/>
    <w:rsid w:val="00B43CD8"/>
    <w:rsid w:val="00B56F3A"/>
    <w:rsid w:val="00B6129B"/>
    <w:rsid w:val="00B620B6"/>
    <w:rsid w:val="00B62399"/>
    <w:rsid w:val="00B7158F"/>
    <w:rsid w:val="00B73E5A"/>
    <w:rsid w:val="00B854BA"/>
    <w:rsid w:val="00B8664B"/>
    <w:rsid w:val="00B8739E"/>
    <w:rsid w:val="00B900AC"/>
    <w:rsid w:val="00B924D7"/>
    <w:rsid w:val="00B96AB8"/>
    <w:rsid w:val="00B97DB5"/>
    <w:rsid w:val="00BA12E8"/>
    <w:rsid w:val="00BA626C"/>
    <w:rsid w:val="00BB141A"/>
    <w:rsid w:val="00BB32B1"/>
    <w:rsid w:val="00BC31E8"/>
    <w:rsid w:val="00BC3BEC"/>
    <w:rsid w:val="00BC4054"/>
    <w:rsid w:val="00BC4305"/>
    <w:rsid w:val="00BC5779"/>
    <w:rsid w:val="00BC6D9D"/>
    <w:rsid w:val="00BD61E6"/>
    <w:rsid w:val="00BE18E1"/>
    <w:rsid w:val="00BE1F3E"/>
    <w:rsid w:val="00BF29E2"/>
    <w:rsid w:val="00C00242"/>
    <w:rsid w:val="00C03DD3"/>
    <w:rsid w:val="00C06D4C"/>
    <w:rsid w:val="00C107BB"/>
    <w:rsid w:val="00C12441"/>
    <w:rsid w:val="00C23905"/>
    <w:rsid w:val="00C30C55"/>
    <w:rsid w:val="00C3172F"/>
    <w:rsid w:val="00C32397"/>
    <w:rsid w:val="00C327EE"/>
    <w:rsid w:val="00C36262"/>
    <w:rsid w:val="00C37432"/>
    <w:rsid w:val="00C40543"/>
    <w:rsid w:val="00C431C9"/>
    <w:rsid w:val="00C607EA"/>
    <w:rsid w:val="00C60C77"/>
    <w:rsid w:val="00C61AD9"/>
    <w:rsid w:val="00C63E8B"/>
    <w:rsid w:val="00C64693"/>
    <w:rsid w:val="00C6717F"/>
    <w:rsid w:val="00C72DF4"/>
    <w:rsid w:val="00C8201C"/>
    <w:rsid w:val="00CA5CF8"/>
    <w:rsid w:val="00CB0F62"/>
    <w:rsid w:val="00CC7781"/>
    <w:rsid w:val="00CD03A0"/>
    <w:rsid w:val="00CD538B"/>
    <w:rsid w:val="00CE10D6"/>
    <w:rsid w:val="00CE2C66"/>
    <w:rsid w:val="00D01513"/>
    <w:rsid w:val="00D038C4"/>
    <w:rsid w:val="00D10856"/>
    <w:rsid w:val="00D11704"/>
    <w:rsid w:val="00D20DB4"/>
    <w:rsid w:val="00D32579"/>
    <w:rsid w:val="00D32E6B"/>
    <w:rsid w:val="00D351BA"/>
    <w:rsid w:val="00D41BF3"/>
    <w:rsid w:val="00D424E9"/>
    <w:rsid w:val="00D44CD6"/>
    <w:rsid w:val="00D60DFF"/>
    <w:rsid w:val="00D630EE"/>
    <w:rsid w:val="00D66A80"/>
    <w:rsid w:val="00D76DDD"/>
    <w:rsid w:val="00D770CD"/>
    <w:rsid w:val="00D8503C"/>
    <w:rsid w:val="00D872CC"/>
    <w:rsid w:val="00DA38D6"/>
    <w:rsid w:val="00DB1560"/>
    <w:rsid w:val="00DB59A4"/>
    <w:rsid w:val="00DC0931"/>
    <w:rsid w:val="00DC4128"/>
    <w:rsid w:val="00DC520B"/>
    <w:rsid w:val="00DD052A"/>
    <w:rsid w:val="00DD47DF"/>
    <w:rsid w:val="00DD4E95"/>
    <w:rsid w:val="00DE2269"/>
    <w:rsid w:val="00DE4F0C"/>
    <w:rsid w:val="00DF3E79"/>
    <w:rsid w:val="00E02A1B"/>
    <w:rsid w:val="00E04B49"/>
    <w:rsid w:val="00E06E29"/>
    <w:rsid w:val="00E1133C"/>
    <w:rsid w:val="00E12296"/>
    <w:rsid w:val="00E12D7B"/>
    <w:rsid w:val="00E13EFC"/>
    <w:rsid w:val="00E232CA"/>
    <w:rsid w:val="00E24592"/>
    <w:rsid w:val="00E31584"/>
    <w:rsid w:val="00E35020"/>
    <w:rsid w:val="00E46A88"/>
    <w:rsid w:val="00E569B6"/>
    <w:rsid w:val="00E60F05"/>
    <w:rsid w:val="00E63D4F"/>
    <w:rsid w:val="00E667E4"/>
    <w:rsid w:val="00E67EFF"/>
    <w:rsid w:val="00E734C9"/>
    <w:rsid w:val="00E75404"/>
    <w:rsid w:val="00E80F06"/>
    <w:rsid w:val="00E861FB"/>
    <w:rsid w:val="00E915C6"/>
    <w:rsid w:val="00E9366A"/>
    <w:rsid w:val="00E94A6D"/>
    <w:rsid w:val="00EA02E2"/>
    <w:rsid w:val="00EA4A93"/>
    <w:rsid w:val="00EA5690"/>
    <w:rsid w:val="00EC44F4"/>
    <w:rsid w:val="00ED442F"/>
    <w:rsid w:val="00EF213E"/>
    <w:rsid w:val="00EF59A1"/>
    <w:rsid w:val="00EF6438"/>
    <w:rsid w:val="00EF7013"/>
    <w:rsid w:val="00F02873"/>
    <w:rsid w:val="00F048F8"/>
    <w:rsid w:val="00F05124"/>
    <w:rsid w:val="00F10880"/>
    <w:rsid w:val="00F157B9"/>
    <w:rsid w:val="00F16931"/>
    <w:rsid w:val="00F22AF2"/>
    <w:rsid w:val="00F32A28"/>
    <w:rsid w:val="00F4622B"/>
    <w:rsid w:val="00F50CDD"/>
    <w:rsid w:val="00F55000"/>
    <w:rsid w:val="00F64335"/>
    <w:rsid w:val="00F67AF4"/>
    <w:rsid w:val="00F750B1"/>
    <w:rsid w:val="00F84EE8"/>
    <w:rsid w:val="00F86B2A"/>
    <w:rsid w:val="00F921B3"/>
    <w:rsid w:val="00F93EA1"/>
    <w:rsid w:val="00FA0605"/>
    <w:rsid w:val="00FA5A89"/>
    <w:rsid w:val="00FB5274"/>
    <w:rsid w:val="00FB7705"/>
    <w:rsid w:val="00FC150D"/>
    <w:rsid w:val="00FC16AE"/>
    <w:rsid w:val="00FD544A"/>
    <w:rsid w:val="00FE11A9"/>
    <w:rsid w:val="00FE61AA"/>
    <w:rsid w:val="00FF42B8"/>
    <w:rsid w:val="00FF5149"/>
    <w:rsid w:val="00FF5CD3"/>
    <w:rsid w:val="00FF63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1882C3"/>
  <w15:chartTrackingRefBased/>
  <w15:docId w15:val="{E853F302-302F-4D04-A1FC-6020AD508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496A"/>
  </w:style>
  <w:style w:type="paragraph" w:styleId="Heading1">
    <w:name w:val="heading 1"/>
    <w:basedOn w:val="Normal"/>
    <w:next w:val="Normal"/>
    <w:link w:val="Heading1Char"/>
    <w:uiPriority w:val="9"/>
    <w:qFormat/>
    <w:rsid w:val="0008496A"/>
    <w:pPr>
      <w:outlineLvl w:val="0"/>
    </w:pPr>
    <w:rPr>
      <w:rFonts w:ascii="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849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496A"/>
    <w:rPr>
      <w:rFonts w:ascii="Segoe UI" w:hAnsi="Segoe UI" w:cs="Segoe UI"/>
      <w:sz w:val="18"/>
      <w:szCs w:val="18"/>
    </w:rPr>
  </w:style>
  <w:style w:type="character" w:customStyle="1" w:styleId="Heading1Char">
    <w:name w:val="Heading 1 Char"/>
    <w:basedOn w:val="DefaultParagraphFont"/>
    <w:link w:val="Heading1"/>
    <w:uiPriority w:val="9"/>
    <w:rsid w:val="0008496A"/>
    <w:rPr>
      <w:rFonts w:ascii="Times New Roman" w:hAnsi="Times New Roman" w:cs="Times New Roman"/>
      <w:b/>
      <w:bCs/>
      <w:sz w:val="24"/>
      <w:szCs w:val="24"/>
    </w:rPr>
  </w:style>
  <w:style w:type="character" w:styleId="CommentReference">
    <w:name w:val="annotation reference"/>
    <w:basedOn w:val="DefaultParagraphFont"/>
    <w:uiPriority w:val="99"/>
    <w:semiHidden/>
    <w:unhideWhenUsed/>
    <w:rsid w:val="0008496A"/>
    <w:rPr>
      <w:sz w:val="16"/>
      <w:szCs w:val="16"/>
    </w:rPr>
  </w:style>
  <w:style w:type="paragraph" w:styleId="CommentText">
    <w:name w:val="annotation text"/>
    <w:basedOn w:val="Normal"/>
    <w:link w:val="CommentTextChar"/>
    <w:uiPriority w:val="99"/>
    <w:semiHidden/>
    <w:unhideWhenUsed/>
    <w:rsid w:val="0008496A"/>
    <w:pPr>
      <w:spacing w:line="240" w:lineRule="auto"/>
    </w:pPr>
    <w:rPr>
      <w:sz w:val="20"/>
      <w:szCs w:val="20"/>
    </w:rPr>
  </w:style>
  <w:style w:type="character" w:customStyle="1" w:styleId="CommentTextChar">
    <w:name w:val="Comment Text Char"/>
    <w:basedOn w:val="DefaultParagraphFont"/>
    <w:link w:val="CommentText"/>
    <w:uiPriority w:val="99"/>
    <w:semiHidden/>
    <w:rsid w:val="0008496A"/>
    <w:rPr>
      <w:sz w:val="20"/>
      <w:szCs w:val="20"/>
    </w:rPr>
  </w:style>
  <w:style w:type="table" w:styleId="TableGrid">
    <w:name w:val="Table Grid"/>
    <w:basedOn w:val="TableNormal"/>
    <w:uiPriority w:val="39"/>
    <w:rsid w:val="006436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12441"/>
    <w:pPr>
      <w:widowControl w:val="0"/>
      <w:autoSpaceDE w:val="0"/>
      <w:autoSpaceDN w:val="0"/>
      <w:adjustRightInd w:val="0"/>
      <w:spacing w:after="0" w:line="240" w:lineRule="auto"/>
    </w:pPr>
    <w:rPr>
      <w:rFonts w:ascii="Calibri" w:eastAsia="Times New Roman" w:hAnsi="Calibri" w:cs="Calibri"/>
      <w:color w:val="000000"/>
      <w:sz w:val="24"/>
      <w:szCs w:val="24"/>
      <w:lang w:val="en-CA" w:eastAsia="en-CA"/>
    </w:rPr>
  </w:style>
  <w:style w:type="table" w:styleId="PlainTable1">
    <w:name w:val="Plain Table 1"/>
    <w:basedOn w:val="TableNormal"/>
    <w:uiPriority w:val="41"/>
    <w:rsid w:val="001C6967"/>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ListParagraph">
    <w:name w:val="List Paragraph"/>
    <w:basedOn w:val="Normal"/>
    <w:uiPriority w:val="34"/>
    <w:qFormat/>
    <w:rsid w:val="0058570F"/>
    <w:pPr>
      <w:ind w:left="720"/>
      <w:contextualSpacing/>
    </w:pPr>
  </w:style>
  <w:style w:type="table" w:styleId="PlainTable2">
    <w:name w:val="Plain Table 2"/>
    <w:basedOn w:val="TableNormal"/>
    <w:uiPriority w:val="42"/>
    <w:rsid w:val="009858B2"/>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TOCHeading">
    <w:name w:val="TOC Heading"/>
    <w:basedOn w:val="Heading1"/>
    <w:next w:val="Normal"/>
    <w:uiPriority w:val="39"/>
    <w:unhideWhenUsed/>
    <w:qFormat/>
    <w:rsid w:val="00FF6360"/>
    <w:pPr>
      <w:keepNext/>
      <w:keepLines/>
      <w:spacing w:before="240" w:after="0"/>
      <w:outlineLvl w:val="9"/>
    </w:pPr>
    <w:rPr>
      <w:rFonts w:asciiTheme="majorHAnsi" w:eastAsiaTheme="majorEastAsia" w:hAnsiTheme="majorHAnsi" w:cstheme="majorBidi"/>
      <w:b w:val="0"/>
      <w:bCs w:val="0"/>
      <w:color w:val="2F5496" w:themeColor="accent1" w:themeShade="BF"/>
      <w:sz w:val="32"/>
      <w:szCs w:val="32"/>
    </w:rPr>
  </w:style>
  <w:style w:type="paragraph" w:styleId="TOC1">
    <w:name w:val="toc 1"/>
    <w:basedOn w:val="Normal"/>
    <w:next w:val="Normal"/>
    <w:autoRedefine/>
    <w:uiPriority w:val="39"/>
    <w:unhideWhenUsed/>
    <w:rsid w:val="00FF6360"/>
    <w:pPr>
      <w:spacing w:after="100"/>
    </w:pPr>
  </w:style>
  <w:style w:type="character" w:styleId="Hyperlink">
    <w:name w:val="Hyperlink"/>
    <w:basedOn w:val="DefaultParagraphFont"/>
    <w:uiPriority w:val="99"/>
    <w:unhideWhenUsed/>
    <w:rsid w:val="00FF636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66466446">
      <w:bodyDiv w:val="1"/>
      <w:marLeft w:val="0"/>
      <w:marRight w:val="0"/>
      <w:marTop w:val="0"/>
      <w:marBottom w:val="0"/>
      <w:divBdr>
        <w:top w:val="none" w:sz="0" w:space="0" w:color="auto"/>
        <w:left w:val="none" w:sz="0" w:space="0" w:color="auto"/>
        <w:bottom w:val="none" w:sz="0" w:space="0" w:color="auto"/>
        <w:right w:val="none" w:sz="0" w:space="0" w:color="auto"/>
      </w:divBdr>
    </w:div>
    <w:div w:id="2066834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hart" Target="charts/chart1.xml"/><Relationship Id="rId11" Type="http://schemas.openxmlformats.org/officeDocument/2006/relationships/image" Target="media/image5.png"/><Relationship Id="rId5" Type="http://schemas.openxmlformats.org/officeDocument/2006/relationships/webSettings" Target="webSettings.xml"/><Relationship Id="rId15" Type="http://schemas.openxmlformats.org/officeDocument/2006/relationships/image" Target="media/image9.png"/><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image" Target="media/image8.png"/></Relationships>
</file>

<file path=word/charts/_rels/chart1.xml.rels><?xml version="1.0" encoding="UTF-8" standalone="yes"?>
<Relationships xmlns="http://schemas.openxmlformats.org/package/2006/relationships"><Relationship Id="rId3" Type="http://schemas.openxmlformats.org/officeDocument/2006/relationships/oleObject" Target="https://wcmq-my.sharepoint.com/personal/prp4005_qatar-med_cornell_edu/Documents/Desktop/HID-1%20Spring/T2DM%20Diet%20Paper/G_L/Final%20Glycemic%20and%20Lipid/Glycemic/ROB%20Glycemic%20Only.xlsm"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0">
                <a:solidFill>
                  <a:sysClr val="windowText" lastClr="000000"/>
                </a:solidFill>
                <a:latin typeface="Times New Roman" panose="02020603050405020304" pitchFamily="18" charset="0"/>
                <a:cs typeface="Times New Roman" panose="02020603050405020304" pitchFamily="18" charset="0"/>
              </a:rPr>
              <a:t>Risk of Bias Summary</a:t>
            </a:r>
          </a:p>
        </c:rich>
      </c:tx>
      <c:layout>
        <c:manualLayout>
          <c:xMode val="edge"/>
          <c:yMode val="edge"/>
          <c:x val="0.44966426071741034"/>
          <c:y val="1.9050642959199872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bar"/>
        <c:grouping val="stacked"/>
        <c:varyColors val="0"/>
        <c:ser>
          <c:idx val="0"/>
          <c:order val="0"/>
          <c:tx>
            <c:v>Low risk</c:v>
          </c:tx>
          <c:spPr>
            <a:solidFill>
              <a:srgbClr val="FFCCCC"/>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Summary!$AD$1:$AJ$1</c:f>
              <c:strCache>
                <c:ptCount val="7"/>
                <c:pt idx="0">
                  <c:v>Randomization process</c:v>
                </c:pt>
                <c:pt idx="1">
                  <c:v>Timing of identification or recruitment of participants</c:v>
                </c:pt>
                <c:pt idx="2">
                  <c:v>Deviations from intended interventions</c:v>
                </c:pt>
                <c:pt idx="3">
                  <c:v>Mising outcome data</c:v>
                </c:pt>
                <c:pt idx="4">
                  <c:v>Measurement of the outcome</c:v>
                </c:pt>
                <c:pt idx="5">
                  <c:v>Selection of the reported result</c:v>
                </c:pt>
                <c:pt idx="6">
                  <c:v>Overall Bias</c:v>
                </c:pt>
              </c:strCache>
            </c:strRef>
          </c:cat>
          <c:val>
            <c:numRef>
              <c:f>Summary!$AD$4:$AJ$4</c:f>
              <c:numCache>
                <c:formatCode>General</c:formatCode>
                <c:ptCount val="7"/>
                <c:pt idx="0">
                  <c:v>79.3</c:v>
                </c:pt>
                <c:pt idx="1">
                  <c:v>89.7</c:v>
                </c:pt>
                <c:pt idx="2">
                  <c:v>84.5</c:v>
                </c:pt>
                <c:pt idx="3">
                  <c:v>84.5</c:v>
                </c:pt>
                <c:pt idx="4">
                  <c:v>93.1</c:v>
                </c:pt>
                <c:pt idx="5">
                  <c:v>93.1</c:v>
                </c:pt>
                <c:pt idx="6">
                  <c:v>70.7</c:v>
                </c:pt>
              </c:numCache>
            </c:numRef>
          </c:val>
          <c:extLst>
            <c:ext xmlns:c16="http://schemas.microsoft.com/office/drawing/2014/chart" uri="{C3380CC4-5D6E-409C-BE32-E72D297353CC}">
              <c16:uniqueId val="{00000000-4478-4A6F-A4E5-C7EF611B66F2}"/>
            </c:ext>
          </c:extLst>
        </c:ser>
        <c:ser>
          <c:idx val="1"/>
          <c:order val="1"/>
          <c:tx>
            <c:v>Some concerns</c:v>
          </c:tx>
          <c:spPr>
            <a:solidFill>
              <a:srgbClr val="FF7C8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Summary!$AD$1:$AJ$1</c:f>
              <c:strCache>
                <c:ptCount val="7"/>
                <c:pt idx="0">
                  <c:v>Randomization process</c:v>
                </c:pt>
                <c:pt idx="1">
                  <c:v>Timing of identification or recruitment of participants</c:v>
                </c:pt>
                <c:pt idx="2">
                  <c:v>Deviations from intended interventions</c:v>
                </c:pt>
                <c:pt idx="3">
                  <c:v>Mising outcome data</c:v>
                </c:pt>
                <c:pt idx="4">
                  <c:v>Measurement of the outcome</c:v>
                </c:pt>
                <c:pt idx="5">
                  <c:v>Selection of the reported result</c:v>
                </c:pt>
                <c:pt idx="6">
                  <c:v>Overall Bias</c:v>
                </c:pt>
              </c:strCache>
            </c:strRef>
          </c:cat>
          <c:val>
            <c:numRef>
              <c:f>Summary!$AD$5:$AJ$5</c:f>
              <c:numCache>
                <c:formatCode>General</c:formatCode>
                <c:ptCount val="7"/>
                <c:pt idx="0">
                  <c:v>17.2</c:v>
                </c:pt>
                <c:pt idx="1">
                  <c:v>10.3</c:v>
                </c:pt>
                <c:pt idx="2">
                  <c:v>12.1</c:v>
                </c:pt>
                <c:pt idx="3">
                  <c:v>12.1</c:v>
                </c:pt>
                <c:pt idx="4">
                  <c:v>3.4</c:v>
                </c:pt>
                <c:pt idx="5">
                  <c:v>1.7</c:v>
                </c:pt>
                <c:pt idx="6">
                  <c:v>19</c:v>
                </c:pt>
              </c:numCache>
            </c:numRef>
          </c:val>
          <c:extLst>
            <c:ext xmlns:c16="http://schemas.microsoft.com/office/drawing/2014/chart" uri="{C3380CC4-5D6E-409C-BE32-E72D297353CC}">
              <c16:uniqueId val="{00000001-4478-4A6F-A4E5-C7EF611B66F2}"/>
            </c:ext>
          </c:extLst>
        </c:ser>
        <c:ser>
          <c:idx val="2"/>
          <c:order val="2"/>
          <c:tx>
            <c:v>High risk</c:v>
          </c:tx>
          <c:spPr>
            <a:solidFill>
              <a:srgbClr val="C0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Summary!$AD$1:$AJ$1</c:f>
              <c:strCache>
                <c:ptCount val="7"/>
                <c:pt idx="0">
                  <c:v>Randomization process</c:v>
                </c:pt>
                <c:pt idx="1">
                  <c:v>Timing of identification or recruitment of participants</c:v>
                </c:pt>
                <c:pt idx="2">
                  <c:v>Deviations from intended interventions</c:v>
                </c:pt>
                <c:pt idx="3">
                  <c:v>Mising outcome data</c:v>
                </c:pt>
                <c:pt idx="4">
                  <c:v>Measurement of the outcome</c:v>
                </c:pt>
                <c:pt idx="5">
                  <c:v>Selection of the reported result</c:v>
                </c:pt>
                <c:pt idx="6">
                  <c:v>Overall Bias</c:v>
                </c:pt>
              </c:strCache>
            </c:strRef>
          </c:cat>
          <c:val>
            <c:numRef>
              <c:f>Summary!$AD$6:$AJ$6</c:f>
              <c:numCache>
                <c:formatCode>General</c:formatCode>
                <c:ptCount val="7"/>
                <c:pt idx="0">
                  <c:v>3.4</c:v>
                </c:pt>
                <c:pt idx="1">
                  <c:v>0</c:v>
                </c:pt>
                <c:pt idx="2">
                  <c:v>3.4</c:v>
                </c:pt>
                <c:pt idx="3">
                  <c:v>3.4</c:v>
                </c:pt>
                <c:pt idx="4">
                  <c:v>3.4</c:v>
                </c:pt>
                <c:pt idx="5">
                  <c:v>5.2</c:v>
                </c:pt>
                <c:pt idx="6">
                  <c:v>10.3</c:v>
                </c:pt>
              </c:numCache>
            </c:numRef>
          </c:val>
          <c:extLst>
            <c:ext xmlns:c16="http://schemas.microsoft.com/office/drawing/2014/chart" uri="{C3380CC4-5D6E-409C-BE32-E72D297353CC}">
              <c16:uniqueId val="{00000002-4478-4A6F-A4E5-C7EF611B66F2}"/>
            </c:ext>
          </c:extLst>
        </c:ser>
        <c:dLbls>
          <c:dLblPos val="ctr"/>
          <c:showLegendKey val="0"/>
          <c:showVal val="1"/>
          <c:showCatName val="0"/>
          <c:showSerName val="0"/>
          <c:showPercent val="0"/>
          <c:showBubbleSize val="0"/>
        </c:dLbls>
        <c:gapWidth val="150"/>
        <c:overlap val="100"/>
        <c:axId val="553782360"/>
        <c:axId val="553781704"/>
      </c:barChart>
      <c:catAx>
        <c:axId val="553782360"/>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en-US"/>
          </a:p>
        </c:txPr>
        <c:crossAx val="553781704"/>
        <c:crosses val="autoZero"/>
        <c:auto val="1"/>
        <c:lblAlgn val="ctr"/>
        <c:lblOffset val="100"/>
        <c:noMultiLvlLbl val="0"/>
      </c:catAx>
      <c:valAx>
        <c:axId val="553781704"/>
        <c:scaling>
          <c:orientation val="minMax"/>
          <c:max val="100"/>
          <c:min val="0"/>
        </c:scaling>
        <c:delete val="0"/>
        <c:axPos val="b"/>
        <c:majorGridlines>
          <c:spPr>
            <a:ln w="9525" cap="flat" cmpd="sng" algn="ctr">
              <a:solidFill>
                <a:schemeClr val="tx1">
                  <a:lumMod val="15000"/>
                  <a:lumOff val="85000"/>
                </a:schemeClr>
              </a:solidFill>
              <a:round/>
            </a:ln>
            <a:effectLst/>
          </c:spPr>
        </c:majorGridlines>
        <c:minorGridlines>
          <c:spPr>
            <a:ln w="9525" cap="flat" cmpd="sng" algn="ctr">
              <a:solidFill>
                <a:schemeClr val="tx1">
                  <a:lumMod val="5000"/>
                  <a:lumOff val="95000"/>
                </a:schemeClr>
              </a:solidFill>
              <a:round/>
            </a:ln>
            <a:effectLst/>
          </c:spPr>
        </c:min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53782360"/>
        <c:crosses val="autoZero"/>
        <c:crossBetween val="between"/>
      </c:valAx>
      <c:spPr>
        <a:noFill/>
        <a:ln>
          <a:noFill/>
        </a:ln>
        <a:effectLst/>
      </c:spPr>
    </c:plotArea>
    <c:legend>
      <c:legendPos val="b"/>
      <c:layout>
        <c:manualLayout>
          <c:xMode val="edge"/>
          <c:yMode val="edge"/>
          <c:x val="0.41064790512297067"/>
          <c:y val="7.9615437020999463E-2"/>
          <c:w val="0.2712966608340624"/>
          <c:h val="5.3580308335406321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A4EE0831-7898-442B-AE9E-1D949C36D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1776</TotalTime>
  <Pages>18</Pages>
  <Words>15492</Words>
  <Characters>88309</Characters>
  <Application>Microsoft Office Word</Application>
  <DocSecurity>0</DocSecurity>
  <Lines>735</Lines>
  <Paragraphs>207</Paragraphs>
  <ScaleCrop>false</ScaleCrop>
  <Company/>
  <LinksUpToDate>false</LinksUpToDate>
  <CharactersWithSpaces>103594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Pradipta Paul</dc:creator>
  <cp:keywords/>
  <dc:description/>
  <cp:lastModifiedBy>Pradipta Paul</cp:lastModifiedBy>
  <cp:revision>504</cp:revision>
  <dcterms:created xsi:type="dcterms:W3CDTF">2022-08-13T13:24:00Z</dcterms:created>
  <dcterms:modified xsi:type="dcterms:W3CDTF">2022-10-09T21:12:00Z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 11th edition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http://www.zotero.org/styles/cardiovascular-research</vt:lpwstr>
  </property>
  <property fmtid="{D5CDD505-2E9C-101B-9397-08002B2CF9AE}" pid="9" name="Mendeley Recent Style Name 3_1">
    <vt:lpwstr>Cardiovascular Research</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http://www.zotero.org/styles/council-of-science-editors</vt:lpwstr>
  </property>
  <property fmtid="{D5CDD505-2E9C-101B-9397-08002B2CF9AE}" pid="13" name="Mendeley Recent Style Name 5_1">
    <vt:lpwstr>Council of Science Editors, Citation-Sequence (numeric)</vt:lpwstr>
  </property>
  <property fmtid="{D5CDD505-2E9C-101B-9397-08002B2CF9AE}" pid="14" name="Mendeley Recent Style Id 6_1">
    <vt:lpwstr>http://www.zotero.org/styles/diabetologia</vt:lpwstr>
  </property>
  <property fmtid="{D5CDD505-2E9C-101B-9397-08002B2CF9AE}" pid="15" name="Mendeley Recent Style Name 6_1">
    <vt:lpwstr>Diabetologia</vt:lpwstr>
  </property>
  <property fmtid="{D5CDD505-2E9C-101B-9397-08002B2CF9AE}" pid="16" name="Mendeley Recent Style Id 7_1">
    <vt:lpwstr>http://www.zotero.org/styles/nature</vt:lpwstr>
  </property>
  <property fmtid="{D5CDD505-2E9C-101B-9397-08002B2CF9AE}" pid="17" name="Mendeley Recent Style Name 7_1">
    <vt:lpwstr>Nature</vt:lpwstr>
  </property>
  <property fmtid="{D5CDD505-2E9C-101B-9397-08002B2CF9AE}" pid="18" name="Mendeley Recent Style Id 8_1">
    <vt:lpwstr>http://www.zotero.org/styles/pharmacological-research</vt:lpwstr>
  </property>
  <property fmtid="{D5CDD505-2E9C-101B-9397-08002B2CF9AE}" pid="19" name="Mendeley Recent Style Name 8_1">
    <vt:lpwstr>Pharmacological Research</vt:lpwstr>
  </property>
  <property fmtid="{D5CDD505-2E9C-101B-9397-08002B2CF9AE}" pid="20" name="Mendeley Recent Style Id 9_1">
    <vt:lpwstr>http://www.zotero.org/styles/taylor-and-francis-chicago-author-date</vt:lpwstr>
  </property>
  <property fmtid="{D5CDD505-2E9C-101B-9397-08002B2CF9AE}" pid="21" name="Mendeley Recent Style Name 9_1">
    <vt:lpwstr>Taylor &amp; Francis - Chicago Manual of Style (author-date)</vt:lpwstr>
  </property>
  <property fmtid="{D5CDD505-2E9C-101B-9397-08002B2CF9AE}" pid="22" name="Mendeley Document_1">
    <vt:lpwstr>True</vt:lpwstr>
  </property>
  <property fmtid="{D5CDD505-2E9C-101B-9397-08002B2CF9AE}" pid="23" name="Mendeley Unique User Id_1">
    <vt:lpwstr>501bdf04-6f97-394f-b56d-64932a62561c</vt:lpwstr>
  </property>
  <property fmtid="{D5CDD505-2E9C-101B-9397-08002B2CF9AE}" pid="24" name="Mendeley Citation Style_1">
    <vt:lpwstr>http://www.zotero.org/styles/pharmacological-research</vt:lpwstr>
  </property>
</Properties>
</file>