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9DB5D" w14:textId="77777777" w:rsidR="006E640B" w:rsidRPr="00D62614" w:rsidRDefault="006E640B" w:rsidP="00D62614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626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Air-jet spun tissue engineering scaffolds incorporated with diamond nanosheets with improved mechanical strength and biocompatibility</w:t>
      </w:r>
    </w:p>
    <w:p w14:paraId="35F1314A" w14:textId="77777777" w:rsidR="006E640B" w:rsidRPr="00D62614" w:rsidRDefault="006E640B" w:rsidP="00D62614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6261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Robin Augustine</w:t>
      </w:r>
      <w:r w:rsidRPr="00D62614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1,2*</w:t>
      </w:r>
      <w:r w:rsidRPr="00D6261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D6261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Sumama</w:t>
      </w:r>
      <w:proofErr w:type="spellEnd"/>
      <w:r w:rsidRPr="00D6261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D6261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Nuthana</w:t>
      </w:r>
      <w:proofErr w:type="spellEnd"/>
      <w:r w:rsidRPr="00D6261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Kalva</w:t>
      </w:r>
      <w:r w:rsidRPr="00D62614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1,2</w:t>
      </w:r>
      <w:r w:rsidRPr="00D6261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Yogesh B Dalvi</w:t>
      </w:r>
      <w:r w:rsidRPr="00D62614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3</w:t>
      </w:r>
      <w:r w:rsidRPr="00D6261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Ruby Varghese</w:t>
      </w:r>
      <w:r w:rsidRPr="00D62614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4</w:t>
      </w:r>
      <w:r w:rsidRPr="00D6261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Maneesh Chandran</w:t>
      </w:r>
      <w:r w:rsidRPr="00D62614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5</w:t>
      </w:r>
      <w:r w:rsidRPr="00D6261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D6261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Anwarul</w:t>
      </w:r>
      <w:proofErr w:type="spellEnd"/>
      <w:r w:rsidRPr="00D6261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Hasan</w:t>
      </w:r>
      <w:r w:rsidRPr="00D62614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1,2*</w:t>
      </w:r>
    </w:p>
    <w:p w14:paraId="00FCA7B2" w14:textId="77777777" w:rsidR="006E640B" w:rsidRPr="00D62614" w:rsidRDefault="006E640B" w:rsidP="00D62614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D62614">
        <w:rPr>
          <w:rFonts w:ascii="Times New Roman" w:hAnsi="Times New Roman" w:cs="Times New Roman"/>
          <w:iCs/>
          <w:color w:val="000000" w:themeColor="text1"/>
          <w:sz w:val="24"/>
          <w:szCs w:val="24"/>
          <w:vertAlign w:val="superscript"/>
        </w:rPr>
        <w:t>1</w:t>
      </w:r>
      <w:r w:rsidRPr="00D6261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Department of Mechanical and Industrial Engineering, College of Engineering, Qatar University, Doha, Qatar</w:t>
      </w:r>
    </w:p>
    <w:p w14:paraId="77BA19E6" w14:textId="77777777" w:rsidR="006E640B" w:rsidRPr="00D62614" w:rsidRDefault="006E640B" w:rsidP="00D62614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D62614">
        <w:rPr>
          <w:rFonts w:ascii="Times New Roman" w:hAnsi="Times New Roman" w:cs="Times New Roman"/>
          <w:iCs/>
          <w:color w:val="000000" w:themeColor="text1"/>
          <w:sz w:val="24"/>
          <w:szCs w:val="24"/>
          <w:vertAlign w:val="superscript"/>
        </w:rPr>
        <w:t>2</w:t>
      </w:r>
      <w:r w:rsidRPr="00D6261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Biomedical Research Center (BRC), Qatar University, Doha, Qatar</w:t>
      </w:r>
    </w:p>
    <w:p w14:paraId="39807C46" w14:textId="77777777" w:rsidR="006E640B" w:rsidRPr="00D62614" w:rsidRDefault="006E640B" w:rsidP="00D6261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261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D626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Pushpagiri Research Centre, </w:t>
      </w:r>
      <w:proofErr w:type="spellStart"/>
      <w:r w:rsidRPr="00D62614">
        <w:rPr>
          <w:rFonts w:ascii="Times New Roman" w:hAnsi="Times New Roman" w:cs="Times New Roman"/>
          <w:color w:val="000000" w:themeColor="text1"/>
          <w:sz w:val="24"/>
          <w:szCs w:val="24"/>
        </w:rPr>
        <w:t>Pushpagiri</w:t>
      </w:r>
      <w:proofErr w:type="spellEnd"/>
      <w:r w:rsidRPr="00D626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Institute of Medical Science &amp; Research, </w:t>
      </w:r>
      <w:proofErr w:type="spellStart"/>
      <w:r w:rsidRPr="00D62614">
        <w:rPr>
          <w:rFonts w:ascii="Times New Roman" w:hAnsi="Times New Roman" w:cs="Times New Roman"/>
          <w:color w:val="000000" w:themeColor="text1"/>
          <w:sz w:val="24"/>
          <w:szCs w:val="24"/>
        </w:rPr>
        <w:t>Tiruvalla</w:t>
      </w:r>
      <w:proofErr w:type="spellEnd"/>
      <w:r w:rsidRPr="00D62614">
        <w:rPr>
          <w:rFonts w:ascii="Times New Roman" w:hAnsi="Times New Roman" w:cs="Times New Roman"/>
          <w:color w:val="000000" w:themeColor="text1"/>
          <w:sz w:val="24"/>
          <w:szCs w:val="24"/>
        </w:rPr>
        <w:t>, Kerala-689101, India.</w:t>
      </w:r>
    </w:p>
    <w:p w14:paraId="112C6838" w14:textId="77777777" w:rsidR="006E640B" w:rsidRPr="00D62614" w:rsidRDefault="006E640B" w:rsidP="00D6261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261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4</w:t>
      </w:r>
      <w:r w:rsidRPr="00D62614">
        <w:rPr>
          <w:rFonts w:ascii="Times New Roman" w:hAnsi="Times New Roman" w:cs="Times New Roman"/>
          <w:color w:val="000000" w:themeColor="text1"/>
          <w:sz w:val="24"/>
          <w:szCs w:val="24"/>
        </w:rPr>
        <w:t>Department of Chemistry, School of Sciences, Jain Deemed to be University Bangalore, Karnataka 560069, India.</w:t>
      </w:r>
    </w:p>
    <w:p w14:paraId="6FA6D733" w14:textId="77777777" w:rsidR="006E640B" w:rsidRPr="00D62614" w:rsidRDefault="006E640B" w:rsidP="00D62614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D62614">
        <w:rPr>
          <w:rFonts w:ascii="Times New Roman" w:hAnsi="Times New Roman" w:cs="Times New Roman"/>
          <w:iCs/>
          <w:color w:val="000000" w:themeColor="text1"/>
          <w:sz w:val="24"/>
          <w:szCs w:val="24"/>
          <w:vertAlign w:val="superscript"/>
        </w:rPr>
        <w:t>5</w:t>
      </w:r>
      <w:r w:rsidRPr="00D6261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Department of Physics, National Institute of Technology Calicut, Kozhikode, Kerala 560069, India.</w:t>
      </w:r>
    </w:p>
    <w:p w14:paraId="6E9ABBD5" w14:textId="77777777" w:rsidR="006E640B" w:rsidRPr="00D62614" w:rsidRDefault="006E640B" w:rsidP="00D62614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D6261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Email: </w:t>
      </w:r>
      <w:r w:rsidRPr="00D62614">
        <w:rPr>
          <w:rStyle w:val="Hyperlink"/>
          <w:rFonts w:ascii="Times New Roman" w:hAnsi="Times New Roman" w:cs="Times New Roman"/>
          <w:iCs/>
          <w:color w:val="000000" w:themeColor="text1"/>
          <w:sz w:val="24"/>
          <w:szCs w:val="24"/>
        </w:rPr>
        <w:t>robin@robinlab.in, ahasan@qu.edu.qa</w:t>
      </w:r>
    </w:p>
    <w:p w14:paraId="2FD19EE7" w14:textId="77777777" w:rsidR="006E640B" w:rsidRPr="00D62614" w:rsidRDefault="006E640B" w:rsidP="00D6261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B61046" w14:textId="3E725B7D" w:rsidR="002E7084" w:rsidRPr="00D62614" w:rsidRDefault="00840246" w:rsidP="00D6261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2614">
        <w:rPr>
          <w:rFonts w:ascii="Times New Roman" w:hAnsi="Times New Roman" w:cs="Times New Roman"/>
          <w:b/>
          <w:bCs/>
          <w:sz w:val="24"/>
          <w:szCs w:val="24"/>
        </w:rPr>
        <w:t>Histological analysis</w:t>
      </w:r>
    </w:p>
    <w:p w14:paraId="7DBB5770" w14:textId="6B90963E" w:rsidR="00A03607" w:rsidRPr="00D62614" w:rsidRDefault="00840246" w:rsidP="00D62614">
      <w:pPr>
        <w:jc w:val="both"/>
        <w:rPr>
          <w:rFonts w:ascii="Times New Roman" w:hAnsi="Times New Roman" w:cs="Times New Roman"/>
          <w:sz w:val="24"/>
          <w:szCs w:val="24"/>
        </w:rPr>
      </w:pPr>
      <w:r w:rsidRPr="00D62614">
        <w:rPr>
          <w:rFonts w:ascii="Times New Roman" w:hAnsi="Times New Roman" w:cs="Times New Roman"/>
          <w:sz w:val="24"/>
          <w:szCs w:val="24"/>
        </w:rPr>
        <w:t>T</w:t>
      </w:r>
      <w:r w:rsidR="00A03607" w:rsidRPr="00D62614">
        <w:rPr>
          <w:rFonts w:ascii="Times New Roman" w:hAnsi="Times New Roman" w:cs="Times New Roman"/>
          <w:sz w:val="24"/>
          <w:szCs w:val="24"/>
        </w:rPr>
        <w:t xml:space="preserve">o evaluate the </w:t>
      </w:r>
      <w:r w:rsidR="00A03607" w:rsidRPr="00D62614">
        <w:rPr>
          <w:rFonts w:ascii="Times New Roman" w:hAnsi="Times New Roman" w:cs="Times New Roman"/>
          <w:i/>
          <w:iCs/>
          <w:sz w:val="24"/>
          <w:szCs w:val="24"/>
        </w:rPr>
        <w:t>in vivo</w:t>
      </w:r>
      <w:r w:rsidR="00A03607" w:rsidRPr="00D62614">
        <w:rPr>
          <w:rFonts w:ascii="Times New Roman" w:hAnsi="Times New Roman" w:cs="Times New Roman"/>
          <w:sz w:val="24"/>
          <w:szCs w:val="24"/>
        </w:rPr>
        <w:t xml:space="preserve"> biocompatibility and degradation of PCL </w:t>
      </w:r>
      <w:r w:rsidR="00030948">
        <w:rPr>
          <w:rFonts w:ascii="Times New Roman" w:hAnsi="Times New Roman" w:cs="Times New Roman"/>
          <w:sz w:val="24"/>
          <w:szCs w:val="24"/>
        </w:rPr>
        <w:t>scaffolds</w:t>
      </w:r>
      <w:r w:rsidR="00A03607" w:rsidRPr="00D62614">
        <w:rPr>
          <w:rFonts w:ascii="Times New Roman" w:hAnsi="Times New Roman" w:cs="Times New Roman"/>
          <w:sz w:val="24"/>
          <w:szCs w:val="24"/>
        </w:rPr>
        <w:t xml:space="preserve">, with (various concentrations) and without (Blank) </w:t>
      </w:r>
      <w:r w:rsidR="00030948">
        <w:rPr>
          <w:rFonts w:ascii="Times New Roman" w:hAnsi="Times New Roman" w:cs="Times New Roman"/>
          <w:sz w:val="24"/>
          <w:szCs w:val="24"/>
        </w:rPr>
        <w:t>DNS</w:t>
      </w:r>
      <w:r w:rsidR="00A03607" w:rsidRPr="00D62614">
        <w:rPr>
          <w:rFonts w:ascii="Times New Roman" w:hAnsi="Times New Roman" w:cs="Times New Roman"/>
          <w:sz w:val="24"/>
          <w:szCs w:val="24"/>
        </w:rPr>
        <w:t xml:space="preserve"> in the rat model.</w:t>
      </w:r>
      <w:r w:rsidR="00B02565" w:rsidRPr="00D62614">
        <w:rPr>
          <w:rFonts w:ascii="Times New Roman" w:hAnsi="Times New Roman" w:cs="Times New Roman"/>
          <w:sz w:val="24"/>
          <w:szCs w:val="24"/>
        </w:rPr>
        <w:t xml:space="preserve"> </w:t>
      </w:r>
      <w:r w:rsidR="00A03607" w:rsidRPr="00D62614">
        <w:rPr>
          <w:rFonts w:ascii="Times New Roman" w:hAnsi="Times New Roman" w:cs="Times New Roman"/>
          <w:sz w:val="24"/>
          <w:szCs w:val="24"/>
        </w:rPr>
        <w:t xml:space="preserve">PCL </w:t>
      </w:r>
      <w:r w:rsidR="00030948">
        <w:rPr>
          <w:rFonts w:ascii="Times New Roman" w:hAnsi="Times New Roman" w:cs="Times New Roman"/>
          <w:sz w:val="24"/>
          <w:szCs w:val="24"/>
        </w:rPr>
        <w:t>scaffold</w:t>
      </w:r>
      <w:r w:rsidR="00A03607" w:rsidRPr="00D62614">
        <w:rPr>
          <w:rFonts w:ascii="Times New Roman" w:hAnsi="Times New Roman" w:cs="Times New Roman"/>
          <w:sz w:val="24"/>
          <w:szCs w:val="24"/>
        </w:rPr>
        <w:t xml:space="preserve">s, with and without </w:t>
      </w:r>
      <w:r w:rsidR="00030948">
        <w:rPr>
          <w:rFonts w:ascii="Times New Roman" w:hAnsi="Times New Roman" w:cs="Times New Roman"/>
          <w:sz w:val="24"/>
          <w:szCs w:val="24"/>
        </w:rPr>
        <w:t>DNS</w:t>
      </w:r>
      <w:r w:rsidR="00A03607" w:rsidRPr="00D62614">
        <w:rPr>
          <w:rFonts w:ascii="Times New Roman" w:hAnsi="Times New Roman" w:cs="Times New Roman"/>
          <w:sz w:val="24"/>
          <w:szCs w:val="24"/>
        </w:rPr>
        <w:t xml:space="preserve"> </w:t>
      </w:r>
      <w:r w:rsidR="00030948">
        <w:rPr>
          <w:rFonts w:ascii="Times New Roman" w:hAnsi="Times New Roman" w:cs="Times New Roman"/>
          <w:sz w:val="24"/>
          <w:szCs w:val="24"/>
        </w:rPr>
        <w:t>scaffold</w:t>
      </w:r>
      <w:r w:rsidR="00A03607" w:rsidRPr="00D62614">
        <w:rPr>
          <w:rFonts w:ascii="Times New Roman" w:hAnsi="Times New Roman" w:cs="Times New Roman"/>
          <w:sz w:val="24"/>
          <w:szCs w:val="24"/>
        </w:rPr>
        <w:t xml:space="preserve"> were implanted subcutaneously in the backs of 16 rats</w:t>
      </w:r>
      <w:r w:rsidR="00A10E81">
        <w:rPr>
          <w:rFonts w:ascii="Times New Roman" w:hAnsi="Times New Roman" w:cs="Times New Roman"/>
          <w:sz w:val="24"/>
          <w:szCs w:val="24"/>
        </w:rPr>
        <w:t xml:space="preserve"> (Details are provided in the experimental section of main article)</w:t>
      </w:r>
      <w:r w:rsidR="00B02565" w:rsidRPr="00D62614">
        <w:rPr>
          <w:rFonts w:ascii="Times New Roman" w:hAnsi="Times New Roman" w:cs="Times New Roman"/>
          <w:sz w:val="24"/>
          <w:szCs w:val="24"/>
        </w:rPr>
        <w:t xml:space="preserve">. </w:t>
      </w:r>
      <w:r w:rsidR="00A03607" w:rsidRPr="00D62614">
        <w:rPr>
          <w:rFonts w:ascii="Times New Roman" w:hAnsi="Times New Roman" w:cs="Times New Roman"/>
          <w:sz w:val="24"/>
          <w:szCs w:val="24"/>
        </w:rPr>
        <w:t>The</w:t>
      </w:r>
      <w:r w:rsidR="00B02565" w:rsidRPr="00D62614">
        <w:rPr>
          <w:rFonts w:ascii="Times New Roman" w:hAnsi="Times New Roman" w:cs="Times New Roman"/>
          <w:sz w:val="24"/>
          <w:szCs w:val="24"/>
        </w:rPr>
        <w:t xml:space="preserve"> </w:t>
      </w:r>
      <w:r w:rsidR="00030948">
        <w:rPr>
          <w:rFonts w:ascii="Times New Roman" w:hAnsi="Times New Roman" w:cs="Times New Roman"/>
          <w:sz w:val="24"/>
          <w:szCs w:val="24"/>
        </w:rPr>
        <w:t>scaffold</w:t>
      </w:r>
      <w:r w:rsidR="00A03607" w:rsidRPr="00D62614">
        <w:rPr>
          <w:rFonts w:ascii="Times New Roman" w:hAnsi="Times New Roman" w:cs="Times New Roman"/>
          <w:sz w:val="24"/>
          <w:szCs w:val="24"/>
        </w:rPr>
        <w:t>s were analyzed histologically at 1</w:t>
      </w:r>
      <w:r w:rsidR="00A03607" w:rsidRPr="00D62614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A03607" w:rsidRPr="00D62614">
        <w:rPr>
          <w:rFonts w:ascii="Times New Roman" w:hAnsi="Times New Roman" w:cs="Times New Roman"/>
          <w:sz w:val="24"/>
          <w:szCs w:val="24"/>
        </w:rPr>
        <w:t>, 2</w:t>
      </w:r>
      <w:r w:rsidR="00A03607" w:rsidRPr="00D62614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A03607" w:rsidRPr="00D62614">
        <w:rPr>
          <w:rFonts w:ascii="Times New Roman" w:hAnsi="Times New Roman" w:cs="Times New Roman"/>
          <w:sz w:val="24"/>
          <w:szCs w:val="24"/>
        </w:rPr>
        <w:t>, 3</w:t>
      </w:r>
      <w:r w:rsidR="00A03607" w:rsidRPr="00D62614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="00A03607" w:rsidRPr="00D62614">
        <w:rPr>
          <w:rFonts w:ascii="Times New Roman" w:hAnsi="Times New Roman" w:cs="Times New Roman"/>
          <w:sz w:val="24"/>
          <w:szCs w:val="24"/>
        </w:rPr>
        <w:t>, and 4</w:t>
      </w:r>
      <w:r w:rsidR="00A03607" w:rsidRPr="00D62614">
        <w:rPr>
          <w:rFonts w:ascii="Times New Roman" w:hAnsi="Times New Roman" w:cs="Times New Roman"/>
          <w:sz w:val="24"/>
          <w:szCs w:val="24"/>
          <w:vertAlign w:val="superscript"/>
        </w:rPr>
        <w:t xml:space="preserve">th </w:t>
      </w:r>
      <w:r w:rsidR="00A03607" w:rsidRPr="00D62614">
        <w:rPr>
          <w:rFonts w:ascii="Times New Roman" w:hAnsi="Times New Roman" w:cs="Times New Roman"/>
          <w:sz w:val="24"/>
          <w:szCs w:val="24"/>
        </w:rPr>
        <w:t xml:space="preserve">weeks. Sections were viewed and scored by a blinded pathologist using a 4-point scoring system (0 </w:t>
      </w:r>
      <w:r w:rsidR="00B02565" w:rsidRPr="00D62614">
        <w:rPr>
          <w:rFonts w:ascii="Times New Roman" w:hAnsi="Times New Roman" w:cs="Times New Roman"/>
          <w:sz w:val="24"/>
          <w:szCs w:val="24"/>
        </w:rPr>
        <w:t>absent, +</w:t>
      </w:r>
      <w:r w:rsidR="00A03607" w:rsidRPr="00D62614">
        <w:rPr>
          <w:rFonts w:ascii="Times New Roman" w:hAnsi="Times New Roman" w:cs="Times New Roman"/>
          <w:sz w:val="24"/>
          <w:szCs w:val="24"/>
        </w:rPr>
        <w:t xml:space="preserve"> mild, ++ moderate, and +++ severe) to determine the tissue reaction</w:t>
      </w:r>
      <w:r w:rsidR="00B02565" w:rsidRPr="00D62614">
        <w:rPr>
          <w:rFonts w:ascii="Times New Roman" w:hAnsi="Times New Roman" w:cs="Times New Roman"/>
          <w:sz w:val="24"/>
          <w:szCs w:val="24"/>
        </w:rPr>
        <w:t xml:space="preserve"> and </w:t>
      </w:r>
      <w:r w:rsidR="00030948">
        <w:rPr>
          <w:rFonts w:ascii="Times New Roman" w:hAnsi="Times New Roman" w:cs="Times New Roman"/>
          <w:sz w:val="24"/>
          <w:szCs w:val="24"/>
        </w:rPr>
        <w:t>scaffold</w:t>
      </w:r>
      <w:r w:rsidR="00B02565" w:rsidRPr="00D62614">
        <w:rPr>
          <w:rFonts w:ascii="Times New Roman" w:hAnsi="Times New Roman" w:cs="Times New Roman"/>
          <w:sz w:val="24"/>
          <w:szCs w:val="24"/>
        </w:rPr>
        <w:t xml:space="preserve"> degradation</w:t>
      </w:r>
      <w:r w:rsidR="00A03607" w:rsidRPr="00D62614">
        <w:rPr>
          <w:rFonts w:ascii="Times New Roman" w:hAnsi="Times New Roman" w:cs="Times New Roman"/>
          <w:sz w:val="24"/>
          <w:szCs w:val="24"/>
        </w:rPr>
        <w:t>.</w:t>
      </w:r>
      <w:r w:rsidR="00B61A86" w:rsidRPr="00D62614">
        <w:rPr>
          <w:rFonts w:ascii="Times New Roman" w:hAnsi="Times New Roman" w:cs="Times New Roman"/>
          <w:sz w:val="24"/>
          <w:szCs w:val="24"/>
        </w:rPr>
        <w:t xml:space="preserve"> </w:t>
      </w:r>
      <w:r w:rsidR="00A03607" w:rsidRPr="00D62614">
        <w:rPr>
          <w:rFonts w:ascii="Times New Roman" w:hAnsi="Times New Roman" w:cs="Times New Roman"/>
          <w:sz w:val="24"/>
          <w:szCs w:val="24"/>
        </w:rPr>
        <w:t>There was no significant difference</w:t>
      </w:r>
      <w:r w:rsidR="00B02565" w:rsidRPr="00D62614">
        <w:rPr>
          <w:rFonts w:ascii="Times New Roman" w:hAnsi="Times New Roman" w:cs="Times New Roman"/>
          <w:sz w:val="24"/>
          <w:szCs w:val="24"/>
        </w:rPr>
        <w:t xml:space="preserve"> </w:t>
      </w:r>
      <w:r w:rsidR="00A03607" w:rsidRPr="00D62614">
        <w:rPr>
          <w:rFonts w:ascii="Times New Roman" w:hAnsi="Times New Roman" w:cs="Times New Roman"/>
          <w:sz w:val="24"/>
          <w:szCs w:val="24"/>
        </w:rPr>
        <w:t xml:space="preserve">in histological scores among </w:t>
      </w:r>
      <w:r w:rsidR="00B02565" w:rsidRPr="00D62614">
        <w:rPr>
          <w:rFonts w:ascii="Times New Roman" w:hAnsi="Times New Roman" w:cs="Times New Roman"/>
          <w:sz w:val="24"/>
          <w:szCs w:val="24"/>
        </w:rPr>
        <w:t xml:space="preserve">PCL </w:t>
      </w:r>
      <w:r w:rsidR="00030948">
        <w:rPr>
          <w:rFonts w:ascii="Times New Roman" w:hAnsi="Times New Roman" w:cs="Times New Roman"/>
          <w:sz w:val="24"/>
          <w:szCs w:val="24"/>
        </w:rPr>
        <w:t>scaffold</w:t>
      </w:r>
      <w:r w:rsidR="00B02565" w:rsidRPr="00D62614">
        <w:rPr>
          <w:rFonts w:ascii="Times New Roman" w:hAnsi="Times New Roman" w:cs="Times New Roman"/>
          <w:sz w:val="24"/>
          <w:szCs w:val="24"/>
        </w:rPr>
        <w:t xml:space="preserve">s, with various concentrations of </w:t>
      </w:r>
      <w:r w:rsidR="00030948">
        <w:rPr>
          <w:rFonts w:ascii="Times New Roman" w:hAnsi="Times New Roman" w:cs="Times New Roman"/>
          <w:sz w:val="24"/>
          <w:szCs w:val="24"/>
        </w:rPr>
        <w:t>DNS</w:t>
      </w:r>
      <w:r w:rsidR="00A03607" w:rsidRPr="00D62614">
        <w:rPr>
          <w:rFonts w:ascii="Times New Roman" w:hAnsi="Times New Roman" w:cs="Times New Roman"/>
          <w:sz w:val="24"/>
          <w:szCs w:val="24"/>
        </w:rPr>
        <w:t xml:space="preserve"> at different time points</w:t>
      </w:r>
      <w:r w:rsidR="00B02565" w:rsidRPr="00D62614">
        <w:rPr>
          <w:rFonts w:ascii="Times New Roman" w:hAnsi="Times New Roman" w:cs="Times New Roman"/>
          <w:sz w:val="24"/>
          <w:szCs w:val="24"/>
        </w:rPr>
        <w:t xml:space="preserve"> but high inflammation response and low fibroblast and angiogenesis scores were observed in PCL alone. </w:t>
      </w:r>
    </w:p>
    <w:p w14:paraId="26530FAB" w14:textId="77777777" w:rsidR="00B02565" w:rsidRPr="002C2415" w:rsidRDefault="00B02565" w:rsidP="00D6261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2415">
        <w:rPr>
          <w:rFonts w:ascii="Times New Roman" w:hAnsi="Times New Roman" w:cs="Times New Roman"/>
          <w:b/>
          <w:bCs/>
          <w:sz w:val="24"/>
          <w:szCs w:val="24"/>
        </w:rPr>
        <w:t>Experimental design</w:t>
      </w:r>
    </w:p>
    <w:p w14:paraId="4CCF37DF" w14:textId="09989B41" w:rsidR="00B02565" w:rsidRPr="00D62614" w:rsidRDefault="00B02565" w:rsidP="004603FF">
      <w:pPr>
        <w:jc w:val="both"/>
        <w:rPr>
          <w:rFonts w:ascii="Times New Roman" w:hAnsi="Times New Roman" w:cs="Times New Roman"/>
          <w:sz w:val="24"/>
          <w:szCs w:val="24"/>
        </w:rPr>
      </w:pPr>
      <w:r w:rsidRPr="00D62614">
        <w:rPr>
          <w:rFonts w:ascii="Times New Roman" w:hAnsi="Times New Roman" w:cs="Times New Roman"/>
          <w:sz w:val="24"/>
          <w:szCs w:val="24"/>
        </w:rPr>
        <w:t xml:space="preserve">Before implantation, the PCL </w:t>
      </w:r>
      <w:r w:rsidR="00030948">
        <w:rPr>
          <w:rFonts w:ascii="Times New Roman" w:hAnsi="Times New Roman" w:cs="Times New Roman"/>
          <w:sz w:val="24"/>
          <w:szCs w:val="24"/>
        </w:rPr>
        <w:t>scaffold</w:t>
      </w:r>
      <w:r w:rsidRPr="00D62614">
        <w:rPr>
          <w:rFonts w:ascii="Times New Roman" w:hAnsi="Times New Roman" w:cs="Times New Roman"/>
          <w:sz w:val="24"/>
          <w:szCs w:val="24"/>
        </w:rPr>
        <w:t>s were cut into 1×1</w:t>
      </w:r>
      <w:r w:rsidR="00D25E7B">
        <w:rPr>
          <w:rFonts w:ascii="Times New Roman" w:hAnsi="Times New Roman" w:cs="Times New Roman"/>
          <w:sz w:val="24"/>
          <w:szCs w:val="24"/>
        </w:rPr>
        <w:t xml:space="preserve"> </w:t>
      </w:r>
      <w:r w:rsidRPr="00D62614">
        <w:rPr>
          <w:rFonts w:ascii="Times New Roman" w:hAnsi="Times New Roman" w:cs="Times New Roman"/>
          <w:sz w:val="24"/>
          <w:szCs w:val="24"/>
        </w:rPr>
        <w:t>cm and sterilized</w:t>
      </w:r>
      <w:r w:rsidR="000318F8">
        <w:rPr>
          <w:rFonts w:ascii="Times New Roman" w:hAnsi="Times New Roman" w:cs="Times New Roman"/>
          <w:sz w:val="24"/>
          <w:szCs w:val="24"/>
        </w:rPr>
        <w:t xml:space="preserve"> (See the experimental section of main article). </w:t>
      </w:r>
      <w:r w:rsidRPr="00D62614">
        <w:rPr>
          <w:rFonts w:ascii="Times New Roman" w:hAnsi="Times New Roman" w:cs="Times New Roman"/>
          <w:sz w:val="24"/>
          <w:szCs w:val="24"/>
        </w:rPr>
        <w:t>On the day of surgery, rats were anesthetized by intramuscular injection of 5% Xylazine (10mg/kg of the body weight) and 10% ketamine hydrochloride (80</w:t>
      </w:r>
      <w:r w:rsidR="002A6F58">
        <w:rPr>
          <w:rFonts w:ascii="Times New Roman" w:hAnsi="Times New Roman" w:cs="Times New Roman"/>
          <w:sz w:val="24"/>
          <w:szCs w:val="24"/>
        </w:rPr>
        <w:t xml:space="preserve"> </w:t>
      </w:r>
      <w:r w:rsidRPr="00D62614">
        <w:rPr>
          <w:rFonts w:ascii="Times New Roman" w:hAnsi="Times New Roman" w:cs="Times New Roman"/>
          <w:sz w:val="24"/>
          <w:szCs w:val="24"/>
        </w:rPr>
        <w:t xml:space="preserve">mg/kg of the body weight). Hairs at the dorsum of the rats were shaved with Philips electric pet care trimmer and skin was cleaned using 2% povidone-iodine solution. A linear incision of 8mm length was made on the dorsum of the rat using carbon steel surgical blade no 15 and the full-thickness flap was elevated. All six sterile </w:t>
      </w:r>
      <w:r w:rsidR="004745B4" w:rsidRPr="00D62614">
        <w:rPr>
          <w:rFonts w:ascii="Times New Roman" w:hAnsi="Times New Roman" w:cs="Times New Roman"/>
          <w:sz w:val="24"/>
          <w:szCs w:val="24"/>
        </w:rPr>
        <w:t>scaffolds</w:t>
      </w:r>
      <w:r w:rsidRPr="00D62614">
        <w:rPr>
          <w:rFonts w:ascii="Times New Roman" w:hAnsi="Times New Roman" w:cs="Times New Roman"/>
          <w:sz w:val="24"/>
          <w:szCs w:val="24"/>
        </w:rPr>
        <w:t xml:space="preserve"> were implanted </w:t>
      </w:r>
      <w:r w:rsidR="004745B4" w:rsidRPr="00D62614">
        <w:rPr>
          <w:rFonts w:ascii="Times New Roman" w:hAnsi="Times New Roman" w:cs="Times New Roman"/>
          <w:sz w:val="24"/>
          <w:szCs w:val="24"/>
        </w:rPr>
        <w:t xml:space="preserve">and fixed </w:t>
      </w:r>
      <w:r w:rsidRPr="00D62614">
        <w:rPr>
          <w:rFonts w:ascii="Times New Roman" w:hAnsi="Times New Roman" w:cs="Times New Roman"/>
          <w:sz w:val="24"/>
          <w:szCs w:val="24"/>
        </w:rPr>
        <w:t xml:space="preserve">using </w:t>
      </w:r>
      <w:r w:rsidR="004745B4" w:rsidRPr="00D62614">
        <w:rPr>
          <w:rFonts w:ascii="Times New Roman" w:hAnsi="Times New Roman" w:cs="Times New Roman"/>
          <w:sz w:val="24"/>
          <w:szCs w:val="24"/>
        </w:rPr>
        <w:t xml:space="preserve">absorbable 3-0 catgut suture </w:t>
      </w:r>
      <w:r w:rsidRPr="00D62614">
        <w:rPr>
          <w:rFonts w:ascii="Times New Roman" w:hAnsi="Times New Roman" w:cs="Times New Roman"/>
          <w:sz w:val="24"/>
          <w:szCs w:val="24"/>
        </w:rPr>
        <w:t>and were closed by giving interrupted sutures with number 3-0 black braided silk. In post-operative care, for three days, ceftriaxone (20</w:t>
      </w:r>
      <w:r w:rsidR="002A6F58">
        <w:rPr>
          <w:rFonts w:ascii="Times New Roman" w:hAnsi="Times New Roman" w:cs="Times New Roman"/>
          <w:sz w:val="24"/>
          <w:szCs w:val="24"/>
        </w:rPr>
        <w:t xml:space="preserve"> </w:t>
      </w:r>
      <w:r w:rsidRPr="00D62614">
        <w:rPr>
          <w:rFonts w:ascii="Times New Roman" w:hAnsi="Times New Roman" w:cs="Times New Roman"/>
          <w:sz w:val="24"/>
          <w:szCs w:val="24"/>
        </w:rPr>
        <w:t>mg/kg) and meloxicam (0.5</w:t>
      </w:r>
      <w:r w:rsidR="002A6F58">
        <w:rPr>
          <w:rFonts w:ascii="Times New Roman" w:hAnsi="Times New Roman" w:cs="Times New Roman"/>
          <w:sz w:val="24"/>
          <w:szCs w:val="24"/>
        </w:rPr>
        <w:t xml:space="preserve"> </w:t>
      </w:r>
      <w:r w:rsidRPr="00D62614">
        <w:rPr>
          <w:rFonts w:ascii="Times New Roman" w:hAnsi="Times New Roman" w:cs="Times New Roman"/>
          <w:sz w:val="24"/>
          <w:szCs w:val="24"/>
        </w:rPr>
        <w:t xml:space="preserve">mg/kg) were administered IM as an antibiotic and analgesic respectively. The implanted scaffold samples were harvested by euthanizing </w:t>
      </w:r>
      <w:r w:rsidR="004745B4" w:rsidRPr="00D62614">
        <w:rPr>
          <w:rFonts w:ascii="Times New Roman" w:hAnsi="Times New Roman" w:cs="Times New Roman"/>
          <w:sz w:val="24"/>
          <w:szCs w:val="24"/>
        </w:rPr>
        <w:t>4</w:t>
      </w:r>
      <w:r w:rsidRPr="00D62614">
        <w:rPr>
          <w:rFonts w:ascii="Times New Roman" w:hAnsi="Times New Roman" w:cs="Times New Roman"/>
          <w:sz w:val="24"/>
          <w:szCs w:val="24"/>
        </w:rPr>
        <w:t xml:space="preserve"> rats from each group in a CO</w:t>
      </w:r>
      <w:r w:rsidRPr="002A6F5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62614">
        <w:rPr>
          <w:rFonts w:ascii="Times New Roman" w:hAnsi="Times New Roman" w:cs="Times New Roman"/>
          <w:sz w:val="24"/>
          <w:szCs w:val="24"/>
        </w:rPr>
        <w:t xml:space="preserve"> chamber at the </w:t>
      </w:r>
      <w:r w:rsidR="004745B4" w:rsidRPr="00D62614">
        <w:rPr>
          <w:rFonts w:ascii="Times New Roman" w:hAnsi="Times New Roman" w:cs="Times New Roman"/>
          <w:sz w:val="24"/>
          <w:szCs w:val="24"/>
        </w:rPr>
        <w:t>1</w:t>
      </w:r>
      <w:r w:rsidR="004745B4" w:rsidRPr="00D62614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D62614">
        <w:rPr>
          <w:rFonts w:ascii="Times New Roman" w:hAnsi="Times New Roman" w:cs="Times New Roman"/>
          <w:sz w:val="24"/>
          <w:szCs w:val="24"/>
        </w:rPr>
        <w:t>,</w:t>
      </w:r>
      <w:r w:rsidR="004745B4" w:rsidRPr="00D62614">
        <w:rPr>
          <w:rFonts w:ascii="Times New Roman" w:hAnsi="Times New Roman" w:cs="Times New Roman"/>
          <w:sz w:val="24"/>
          <w:szCs w:val="24"/>
        </w:rPr>
        <w:t xml:space="preserve"> 2</w:t>
      </w:r>
      <w:r w:rsidR="004745B4" w:rsidRPr="00D62614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4745B4" w:rsidRPr="00D62614">
        <w:rPr>
          <w:rFonts w:ascii="Times New Roman" w:hAnsi="Times New Roman" w:cs="Times New Roman"/>
          <w:sz w:val="24"/>
          <w:szCs w:val="24"/>
        </w:rPr>
        <w:t>, 3</w:t>
      </w:r>
      <w:r w:rsidR="004745B4" w:rsidRPr="00D62614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Pr="00D62614">
        <w:rPr>
          <w:rFonts w:ascii="Times New Roman" w:hAnsi="Times New Roman" w:cs="Times New Roman"/>
          <w:sz w:val="24"/>
          <w:szCs w:val="24"/>
        </w:rPr>
        <w:t xml:space="preserve">, and </w:t>
      </w:r>
      <w:r w:rsidR="004745B4" w:rsidRPr="00D62614">
        <w:rPr>
          <w:rFonts w:ascii="Times New Roman" w:hAnsi="Times New Roman" w:cs="Times New Roman"/>
          <w:sz w:val="24"/>
          <w:szCs w:val="24"/>
        </w:rPr>
        <w:t>4</w:t>
      </w:r>
      <w:r w:rsidR="004745B4" w:rsidRPr="00D6261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D62614">
        <w:rPr>
          <w:rFonts w:ascii="Times New Roman" w:hAnsi="Times New Roman" w:cs="Times New Roman"/>
          <w:sz w:val="24"/>
          <w:szCs w:val="24"/>
        </w:rPr>
        <w:t xml:space="preserve"> weeks. The connective tissue surrounding scaffolds was fixed in 10% formalin for histological evaluation. All sections were stained with Harris’s hematoxylin and eosin (H&amp;E) stain for histological analysis. After H&amp;E staining, sections were investigated histologically by observing under a polarized optical microscope (Leica DM 4500 P LED) and the images were captured.</w:t>
      </w:r>
      <w:r w:rsidR="004745B4" w:rsidRPr="00D62614">
        <w:rPr>
          <w:rFonts w:ascii="Times New Roman" w:hAnsi="Times New Roman" w:cs="Times New Roman"/>
          <w:sz w:val="24"/>
          <w:szCs w:val="24"/>
        </w:rPr>
        <w:t xml:space="preserve"> Sections were viewed </w:t>
      </w:r>
      <w:r w:rsidR="004745B4" w:rsidRPr="00D62614">
        <w:rPr>
          <w:rFonts w:ascii="Times New Roman" w:hAnsi="Times New Roman" w:cs="Times New Roman"/>
          <w:sz w:val="24"/>
          <w:szCs w:val="24"/>
        </w:rPr>
        <w:lastRenderedPageBreak/>
        <w:t xml:space="preserve">and scored by a blinded pathologist using a 4-point scoring system (0 absent, + mild, ++ moderate, and +++ severe) to determine the tissue reaction and </w:t>
      </w:r>
      <w:r w:rsidR="00030948">
        <w:rPr>
          <w:rFonts w:ascii="Times New Roman" w:hAnsi="Times New Roman" w:cs="Times New Roman"/>
          <w:sz w:val="24"/>
          <w:szCs w:val="24"/>
        </w:rPr>
        <w:t>scaffold</w:t>
      </w:r>
      <w:r w:rsidR="004745B4" w:rsidRPr="00D62614">
        <w:rPr>
          <w:rFonts w:ascii="Times New Roman" w:hAnsi="Times New Roman" w:cs="Times New Roman"/>
          <w:sz w:val="24"/>
          <w:szCs w:val="24"/>
        </w:rPr>
        <w:t xml:space="preserve"> degradation.</w:t>
      </w:r>
    </w:p>
    <w:p w14:paraId="639B204A" w14:textId="77777777" w:rsidR="00B02565" w:rsidRPr="00D62614" w:rsidRDefault="00B02565" w:rsidP="00D6261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93C494" w14:textId="0A6519CA" w:rsidR="00A03607" w:rsidRPr="00D62614" w:rsidRDefault="00A03607" w:rsidP="00D6261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2614">
        <w:rPr>
          <w:rFonts w:ascii="Times New Roman" w:hAnsi="Times New Roman" w:cs="Times New Roman"/>
          <w:b/>
          <w:bCs/>
          <w:sz w:val="24"/>
          <w:szCs w:val="24"/>
        </w:rPr>
        <w:t xml:space="preserve">Result </w:t>
      </w:r>
    </w:p>
    <w:p w14:paraId="1EF46414" w14:textId="77C9CE2F" w:rsidR="00A03607" w:rsidRPr="00D62614" w:rsidRDefault="00A03607" w:rsidP="00D62614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 w:bidi="ml-IN"/>
        </w:rPr>
      </w:pPr>
      <w:r w:rsidRPr="00D62614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en-IN" w:bidi="ml-IN"/>
        </w:rPr>
        <w:t>Table</w:t>
      </w:r>
      <w:r w:rsidR="000B303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en-IN" w:bidi="ml-IN"/>
        </w:rPr>
        <w:t xml:space="preserve"> </w:t>
      </w:r>
      <w:r w:rsidR="00CF0A4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en-IN" w:bidi="ml-IN"/>
        </w:rPr>
        <w:t>S1</w:t>
      </w:r>
      <w:r w:rsidRPr="00D62614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en-IN" w:bidi="ml-IN"/>
        </w:rPr>
        <w:t xml:space="preserve">: </w:t>
      </w:r>
      <w:r w:rsidRPr="00D626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 w:bidi="ml-IN"/>
        </w:rPr>
        <w:t>Cell response scaffolds after 1</w:t>
      </w:r>
      <w:r w:rsidRPr="00D62614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en-IN" w:bidi="ml-IN"/>
        </w:rPr>
        <w:t>st</w:t>
      </w:r>
      <w:r w:rsidRPr="00D626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 w:bidi="ml-IN"/>
        </w:rPr>
        <w:t xml:space="preserve"> weeks of subcutaneous implantation in rats (</w:t>
      </w:r>
      <w:r w:rsidRPr="00D62614">
        <w:rPr>
          <w:rFonts w:ascii="Times New Roman" w:hAnsi="Times New Roman" w:cs="Times New Roman"/>
          <w:sz w:val="24"/>
          <w:szCs w:val="24"/>
        </w:rPr>
        <w:t xml:space="preserve">scored by a blinded pathologist using a 4-point scoring system (- </w:t>
      </w:r>
      <w:r w:rsidR="00B61A86" w:rsidRPr="00D62614">
        <w:rPr>
          <w:rFonts w:ascii="Times New Roman" w:hAnsi="Times New Roman" w:cs="Times New Roman"/>
          <w:sz w:val="24"/>
          <w:szCs w:val="24"/>
        </w:rPr>
        <w:t>absent, +</w:t>
      </w:r>
      <w:r w:rsidRPr="00D62614">
        <w:rPr>
          <w:rFonts w:ascii="Times New Roman" w:hAnsi="Times New Roman" w:cs="Times New Roman"/>
          <w:sz w:val="24"/>
          <w:szCs w:val="24"/>
        </w:rPr>
        <w:t xml:space="preserve"> mild, ++ moderate, and +++ severe)</w:t>
      </w:r>
      <w:r w:rsidRPr="00D626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 w:bidi="ml-IN"/>
        </w:rPr>
        <w:t xml:space="preserve">. </w:t>
      </w:r>
    </w:p>
    <w:tbl>
      <w:tblPr>
        <w:tblStyle w:val="TableGrid"/>
        <w:tblW w:w="8749" w:type="dxa"/>
        <w:tblLayout w:type="fixed"/>
        <w:tblLook w:val="04A0" w:firstRow="1" w:lastRow="0" w:firstColumn="1" w:lastColumn="0" w:noHBand="0" w:noVBand="1"/>
      </w:tblPr>
      <w:tblGrid>
        <w:gridCol w:w="911"/>
        <w:gridCol w:w="2288"/>
        <w:gridCol w:w="1150"/>
        <w:gridCol w:w="1100"/>
        <w:gridCol w:w="1100"/>
        <w:gridCol w:w="1100"/>
        <w:gridCol w:w="1100"/>
      </w:tblGrid>
      <w:tr w:rsidR="00030948" w:rsidRPr="00D62614" w14:paraId="4CB47AA6" w14:textId="7664048C" w:rsidTr="00030948">
        <w:trPr>
          <w:trHeight w:val="138"/>
        </w:trPr>
        <w:tc>
          <w:tcPr>
            <w:tcW w:w="911" w:type="dxa"/>
            <w:vAlign w:val="center"/>
          </w:tcPr>
          <w:p w14:paraId="32C5087E" w14:textId="0B97A8AC" w:rsidR="00030948" w:rsidRPr="00D62614" w:rsidRDefault="00030948" w:rsidP="0003094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Sr. No.</w:t>
            </w:r>
          </w:p>
        </w:tc>
        <w:tc>
          <w:tcPr>
            <w:tcW w:w="2288" w:type="dxa"/>
            <w:vAlign w:val="center"/>
          </w:tcPr>
          <w:p w14:paraId="20B005B2" w14:textId="71942741" w:rsidR="00030948" w:rsidRPr="00D62614" w:rsidRDefault="00030948" w:rsidP="0003094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Observations</w:t>
            </w:r>
          </w:p>
        </w:tc>
        <w:tc>
          <w:tcPr>
            <w:tcW w:w="1150" w:type="dxa"/>
            <w:vAlign w:val="center"/>
          </w:tcPr>
          <w:p w14:paraId="1BD73A82" w14:textId="539F45B9" w:rsidR="00030948" w:rsidRPr="00D62614" w:rsidRDefault="00030948" w:rsidP="0003094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 xml:space="preserve">PCL </w:t>
            </w:r>
          </w:p>
        </w:tc>
        <w:tc>
          <w:tcPr>
            <w:tcW w:w="1100" w:type="dxa"/>
            <w:vAlign w:val="center"/>
          </w:tcPr>
          <w:p w14:paraId="474F6A79" w14:textId="3B36E885" w:rsidR="00030948" w:rsidRPr="00D62614" w:rsidRDefault="00030948" w:rsidP="0003094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PCL-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DNS-</w:t>
            </w: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0.5</w:t>
            </w:r>
          </w:p>
        </w:tc>
        <w:tc>
          <w:tcPr>
            <w:tcW w:w="1100" w:type="dxa"/>
            <w:vAlign w:val="center"/>
          </w:tcPr>
          <w:p w14:paraId="1EE34393" w14:textId="703860EB" w:rsidR="00030948" w:rsidRPr="00D62614" w:rsidRDefault="00030948" w:rsidP="0003094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PCL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-DNS-</w:t>
            </w: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1</w:t>
            </w:r>
          </w:p>
        </w:tc>
        <w:tc>
          <w:tcPr>
            <w:tcW w:w="1100" w:type="dxa"/>
            <w:vAlign w:val="center"/>
          </w:tcPr>
          <w:p w14:paraId="0FA4218B" w14:textId="7FE88914" w:rsidR="00030948" w:rsidRPr="00D62614" w:rsidRDefault="00030948" w:rsidP="0003094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PCL-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DNS-2</w:t>
            </w:r>
          </w:p>
        </w:tc>
        <w:tc>
          <w:tcPr>
            <w:tcW w:w="1100" w:type="dxa"/>
            <w:vAlign w:val="center"/>
          </w:tcPr>
          <w:p w14:paraId="760F76ED" w14:textId="20AF2ADC" w:rsidR="00030948" w:rsidRPr="00D62614" w:rsidRDefault="00030948" w:rsidP="0003094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PCL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-DNS-4</w:t>
            </w:r>
          </w:p>
        </w:tc>
      </w:tr>
      <w:tr w:rsidR="00030948" w:rsidRPr="00D62614" w14:paraId="58B740CB" w14:textId="4A525CE8" w:rsidTr="00030948">
        <w:trPr>
          <w:trHeight w:val="206"/>
        </w:trPr>
        <w:tc>
          <w:tcPr>
            <w:tcW w:w="911" w:type="dxa"/>
            <w:vAlign w:val="center"/>
          </w:tcPr>
          <w:p w14:paraId="72FADE64" w14:textId="5BB2C9B8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1</w:t>
            </w:r>
          </w:p>
        </w:tc>
        <w:tc>
          <w:tcPr>
            <w:tcW w:w="2288" w:type="dxa"/>
            <w:vAlign w:val="center"/>
            <w:hideMark/>
          </w:tcPr>
          <w:p w14:paraId="42D21237" w14:textId="4BE38890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Fibroblasts</w:t>
            </w:r>
          </w:p>
        </w:tc>
        <w:tc>
          <w:tcPr>
            <w:tcW w:w="1150" w:type="dxa"/>
            <w:vAlign w:val="center"/>
          </w:tcPr>
          <w:p w14:paraId="10118EA4" w14:textId="5C83D5D8" w:rsidR="00030948" w:rsidRPr="00D62614" w:rsidRDefault="009B302A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  <w:tc>
          <w:tcPr>
            <w:tcW w:w="1100" w:type="dxa"/>
            <w:vAlign w:val="center"/>
          </w:tcPr>
          <w:p w14:paraId="0768C0C0" w14:textId="28EBF8F5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  <w:tc>
          <w:tcPr>
            <w:tcW w:w="1100" w:type="dxa"/>
            <w:vAlign w:val="center"/>
          </w:tcPr>
          <w:p w14:paraId="05A79EFC" w14:textId="13E6D9E2" w:rsidR="00030948" w:rsidRPr="00D62614" w:rsidRDefault="009B302A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  <w:tc>
          <w:tcPr>
            <w:tcW w:w="1100" w:type="dxa"/>
            <w:vAlign w:val="center"/>
          </w:tcPr>
          <w:p w14:paraId="0A8AD3CF" w14:textId="0AB5F829" w:rsidR="00030948" w:rsidRPr="00D62614" w:rsidRDefault="009B302A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+_</w:t>
            </w:r>
          </w:p>
        </w:tc>
        <w:tc>
          <w:tcPr>
            <w:tcW w:w="1100" w:type="dxa"/>
            <w:vAlign w:val="center"/>
          </w:tcPr>
          <w:p w14:paraId="54C2FF08" w14:textId="3490934D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</w:tr>
      <w:tr w:rsidR="00030948" w:rsidRPr="00D62614" w14:paraId="4F80AE9E" w14:textId="57BEAC13" w:rsidTr="00030948">
        <w:trPr>
          <w:trHeight w:val="206"/>
        </w:trPr>
        <w:tc>
          <w:tcPr>
            <w:tcW w:w="911" w:type="dxa"/>
            <w:vAlign w:val="center"/>
          </w:tcPr>
          <w:p w14:paraId="393BFC78" w14:textId="74F18144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2</w:t>
            </w:r>
          </w:p>
        </w:tc>
        <w:tc>
          <w:tcPr>
            <w:tcW w:w="2288" w:type="dxa"/>
            <w:vAlign w:val="center"/>
          </w:tcPr>
          <w:p w14:paraId="4E67380F" w14:textId="1D32999E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Angiogenesis</w:t>
            </w:r>
          </w:p>
        </w:tc>
        <w:tc>
          <w:tcPr>
            <w:tcW w:w="1150" w:type="dxa"/>
            <w:vAlign w:val="center"/>
          </w:tcPr>
          <w:p w14:paraId="68DE75EE" w14:textId="49DFEBAA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1362C733" w14:textId="3E297D3D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  <w:tc>
          <w:tcPr>
            <w:tcW w:w="1100" w:type="dxa"/>
            <w:vAlign w:val="center"/>
          </w:tcPr>
          <w:p w14:paraId="2BAEA409" w14:textId="5F7ED545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  <w:tc>
          <w:tcPr>
            <w:tcW w:w="1100" w:type="dxa"/>
            <w:vAlign w:val="center"/>
          </w:tcPr>
          <w:p w14:paraId="65D7B3C6" w14:textId="717D4A4E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  <w:tc>
          <w:tcPr>
            <w:tcW w:w="1100" w:type="dxa"/>
            <w:vAlign w:val="center"/>
          </w:tcPr>
          <w:p w14:paraId="48DC2A65" w14:textId="76212BA4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</w:tr>
      <w:tr w:rsidR="00030948" w:rsidRPr="00D62614" w14:paraId="3BC26A50" w14:textId="41534832" w:rsidTr="00030948">
        <w:trPr>
          <w:trHeight w:val="206"/>
        </w:trPr>
        <w:tc>
          <w:tcPr>
            <w:tcW w:w="911" w:type="dxa"/>
            <w:vAlign w:val="center"/>
          </w:tcPr>
          <w:p w14:paraId="44C36021" w14:textId="6FF8FD58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3</w:t>
            </w:r>
          </w:p>
        </w:tc>
        <w:tc>
          <w:tcPr>
            <w:tcW w:w="2288" w:type="dxa"/>
            <w:vAlign w:val="center"/>
          </w:tcPr>
          <w:p w14:paraId="2186AF86" w14:textId="4D5158AA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Necrosis</w:t>
            </w:r>
          </w:p>
        </w:tc>
        <w:tc>
          <w:tcPr>
            <w:tcW w:w="1150" w:type="dxa"/>
            <w:vAlign w:val="center"/>
          </w:tcPr>
          <w:p w14:paraId="4708698B" w14:textId="3BA7B941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4658124A" w14:textId="4AC80F2B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112CD612" w14:textId="77FACCD8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001D2AD6" w14:textId="6B916DB5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33058865" w14:textId="452AA0AE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</w:tr>
      <w:tr w:rsidR="00030948" w:rsidRPr="00D62614" w14:paraId="3CC6ED40" w14:textId="764E698C" w:rsidTr="00030948">
        <w:trPr>
          <w:trHeight w:val="296"/>
        </w:trPr>
        <w:tc>
          <w:tcPr>
            <w:tcW w:w="911" w:type="dxa"/>
            <w:vAlign w:val="center"/>
          </w:tcPr>
          <w:p w14:paraId="6D7F330B" w14:textId="3E1C0BAF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4</w:t>
            </w:r>
          </w:p>
        </w:tc>
        <w:tc>
          <w:tcPr>
            <w:tcW w:w="2288" w:type="dxa"/>
            <w:vAlign w:val="center"/>
          </w:tcPr>
          <w:p w14:paraId="093D8AAF" w14:textId="164B9AD2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Lymphocytes</w:t>
            </w:r>
          </w:p>
        </w:tc>
        <w:tc>
          <w:tcPr>
            <w:tcW w:w="1150" w:type="dxa"/>
            <w:vAlign w:val="center"/>
          </w:tcPr>
          <w:p w14:paraId="18FE145F" w14:textId="2E60C82D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+++</w:t>
            </w:r>
          </w:p>
        </w:tc>
        <w:tc>
          <w:tcPr>
            <w:tcW w:w="1100" w:type="dxa"/>
          </w:tcPr>
          <w:p w14:paraId="17A55552" w14:textId="203C60A1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+++</w:t>
            </w:r>
          </w:p>
        </w:tc>
        <w:tc>
          <w:tcPr>
            <w:tcW w:w="1100" w:type="dxa"/>
          </w:tcPr>
          <w:p w14:paraId="16506C12" w14:textId="5774690F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+++</w:t>
            </w:r>
          </w:p>
        </w:tc>
        <w:tc>
          <w:tcPr>
            <w:tcW w:w="1100" w:type="dxa"/>
          </w:tcPr>
          <w:p w14:paraId="264EA085" w14:textId="632C777A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+++</w:t>
            </w:r>
          </w:p>
        </w:tc>
        <w:tc>
          <w:tcPr>
            <w:tcW w:w="1100" w:type="dxa"/>
          </w:tcPr>
          <w:p w14:paraId="39341E6A" w14:textId="3DA5551E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</w:t>
            </w:r>
          </w:p>
        </w:tc>
      </w:tr>
      <w:tr w:rsidR="00030948" w:rsidRPr="00D62614" w14:paraId="12CDEF40" w14:textId="1F7F9A68" w:rsidTr="00030948">
        <w:trPr>
          <w:trHeight w:val="170"/>
        </w:trPr>
        <w:tc>
          <w:tcPr>
            <w:tcW w:w="911" w:type="dxa"/>
            <w:vAlign w:val="center"/>
          </w:tcPr>
          <w:p w14:paraId="06F618DE" w14:textId="54F91602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5</w:t>
            </w:r>
          </w:p>
        </w:tc>
        <w:tc>
          <w:tcPr>
            <w:tcW w:w="2288" w:type="dxa"/>
            <w:vAlign w:val="center"/>
            <w:hideMark/>
          </w:tcPr>
          <w:p w14:paraId="36888E83" w14:textId="43D61526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PMNs</w:t>
            </w:r>
          </w:p>
        </w:tc>
        <w:tc>
          <w:tcPr>
            <w:tcW w:w="1150" w:type="dxa"/>
            <w:vAlign w:val="center"/>
          </w:tcPr>
          <w:p w14:paraId="2FCFFE66" w14:textId="3C6E716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</w:t>
            </w:r>
          </w:p>
        </w:tc>
        <w:tc>
          <w:tcPr>
            <w:tcW w:w="1100" w:type="dxa"/>
          </w:tcPr>
          <w:p w14:paraId="3A456203" w14:textId="7408DB6C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+++</w:t>
            </w:r>
          </w:p>
        </w:tc>
        <w:tc>
          <w:tcPr>
            <w:tcW w:w="1100" w:type="dxa"/>
          </w:tcPr>
          <w:p w14:paraId="4EAA7033" w14:textId="20A58983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+++</w:t>
            </w:r>
          </w:p>
        </w:tc>
        <w:tc>
          <w:tcPr>
            <w:tcW w:w="1100" w:type="dxa"/>
          </w:tcPr>
          <w:p w14:paraId="7B9F419F" w14:textId="1015D55A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+++</w:t>
            </w:r>
          </w:p>
        </w:tc>
        <w:tc>
          <w:tcPr>
            <w:tcW w:w="1100" w:type="dxa"/>
          </w:tcPr>
          <w:p w14:paraId="7D534FB6" w14:textId="0ABF267C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+++</w:t>
            </w:r>
          </w:p>
        </w:tc>
      </w:tr>
      <w:tr w:rsidR="00030948" w:rsidRPr="00D62614" w14:paraId="4564563E" w14:textId="0025E159" w:rsidTr="00030948">
        <w:trPr>
          <w:trHeight w:val="197"/>
        </w:trPr>
        <w:tc>
          <w:tcPr>
            <w:tcW w:w="911" w:type="dxa"/>
            <w:vAlign w:val="center"/>
          </w:tcPr>
          <w:p w14:paraId="5B91384A" w14:textId="72CE37F8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6</w:t>
            </w:r>
          </w:p>
        </w:tc>
        <w:tc>
          <w:tcPr>
            <w:tcW w:w="2288" w:type="dxa"/>
            <w:vAlign w:val="center"/>
            <w:hideMark/>
          </w:tcPr>
          <w:p w14:paraId="01601BC8" w14:textId="2A24A9C2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Giant cells</w:t>
            </w:r>
          </w:p>
        </w:tc>
        <w:tc>
          <w:tcPr>
            <w:tcW w:w="1150" w:type="dxa"/>
            <w:vAlign w:val="center"/>
          </w:tcPr>
          <w:p w14:paraId="5F167D9A" w14:textId="75860A3B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+++</w:t>
            </w:r>
          </w:p>
        </w:tc>
        <w:tc>
          <w:tcPr>
            <w:tcW w:w="1100" w:type="dxa"/>
          </w:tcPr>
          <w:p w14:paraId="56D5066D" w14:textId="22C55416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</w:t>
            </w:r>
          </w:p>
        </w:tc>
        <w:tc>
          <w:tcPr>
            <w:tcW w:w="1100" w:type="dxa"/>
          </w:tcPr>
          <w:p w14:paraId="0DDDA8A8" w14:textId="56217AF4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+++</w:t>
            </w:r>
          </w:p>
        </w:tc>
        <w:tc>
          <w:tcPr>
            <w:tcW w:w="1100" w:type="dxa"/>
          </w:tcPr>
          <w:p w14:paraId="0B9BF76C" w14:textId="62341A91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</w:t>
            </w:r>
          </w:p>
        </w:tc>
        <w:tc>
          <w:tcPr>
            <w:tcW w:w="1100" w:type="dxa"/>
          </w:tcPr>
          <w:p w14:paraId="4842B9EC" w14:textId="5AE97031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</w:t>
            </w:r>
          </w:p>
        </w:tc>
      </w:tr>
      <w:tr w:rsidR="00030948" w:rsidRPr="00D62614" w14:paraId="1BAB9EAD" w14:textId="42E35B1E" w:rsidTr="00030948">
        <w:trPr>
          <w:trHeight w:val="237"/>
        </w:trPr>
        <w:tc>
          <w:tcPr>
            <w:tcW w:w="911" w:type="dxa"/>
            <w:vAlign w:val="center"/>
          </w:tcPr>
          <w:p w14:paraId="64870AFD" w14:textId="6C461EDA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7</w:t>
            </w:r>
          </w:p>
        </w:tc>
        <w:tc>
          <w:tcPr>
            <w:tcW w:w="2288" w:type="dxa"/>
            <w:vAlign w:val="center"/>
            <w:hideMark/>
          </w:tcPr>
          <w:p w14:paraId="354D6FC7" w14:textId="6D294D4A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Plasma cells</w:t>
            </w:r>
          </w:p>
        </w:tc>
        <w:tc>
          <w:tcPr>
            <w:tcW w:w="1150" w:type="dxa"/>
            <w:vAlign w:val="center"/>
          </w:tcPr>
          <w:p w14:paraId="76C5E44E" w14:textId="232F9EC2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+++</w:t>
            </w:r>
          </w:p>
        </w:tc>
        <w:tc>
          <w:tcPr>
            <w:tcW w:w="1100" w:type="dxa"/>
          </w:tcPr>
          <w:p w14:paraId="128BE3B7" w14:textId="142F802F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</w:t>
            </w:r>
          </w:p>
        </w:tc>
        <w:tc>
          <w:tcPr>
            <w:tcW w:w="1100" w:type="dxa"/>
          </w:tcPr>
          <w:p w14:paraId="49A06530" w14:textId="2F7728DD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+++</w:t>
            </w:r>
          </w:p>
        </w:tc>
        <w:tc>
          <w:tcPr>
            <w:tcW w:w="1100" w:type="dxa"/>
          </w:tcPr>
          <w:p w14:paraId="2956AE7E" w14:textId="71B8F591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+++</w:t>
            </w:r>
          </w:p>
        </w:tc>
        <w:tc>
          <w:tcPr>
            <w:tcW w:w="1100" w:type="dxa"/>
          </w:tcPr>
          <w:p w14:paraId="272B6198" w14:textId="480AA1AE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</w:t>
            </w:r>
          </w:p>
        </w:tc>
      </w:tr>
      <w:tr w:rsidR="00030948" w:rsidRPr="00D62614" w14:paraId="6EBD8D2F" w14:textId="464BD9F0" w:rsidTr="00030948">
        <w:trPr>
          <w:trHeight w:val="159"/>
        </w:trPr>
        <w:tc>
          <w:tcPr>
            <w:tcW w:w="911" w:type="dxa"/>
            <w:vAlign w:val="center"/>
          </w:tcPr>
          <w:p w14:paraId="1E792B75" w14:textId="591A717A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8</w:t>
            </w:r>
          </w:p>
        </w:tc>
        <w:tc>
          <w:tcPr>
            <w:tcW w:w="2288" w:type="dxa"/>
            <w:vAlign w:val="center"/>
          </w:tcPr>
          <w:p w14:paraId="21F3195B" w14:textId="06488FC0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proofErr w:type="gramStart"/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Overall</w:t>
            </w:r>
            <w:proofErr w:type="gramEnd"/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 xml:space="preserve"> Tissue inflammation response</w:t>
            </w:r>
          </w:p>
        </w:tc>
        <w:tc>
          <w:tcPr>
            <w:tcW w:w="1150" w:type="dxa"/>
            <w:vAlign w:val="center"/>
          </w:tcPr>
          <w:p w14:paraId="06208EFB" w14:textId="5D65CD7D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Moderate</w:t>
            </w:r>
          </w:p>
        </w:tc>
        <w:tc>
          <w:tcPr>
            <w:tcW w:w="1100" w:type="dxa"/>
          </w:tcPr>
          <w:p w14:paraId="3CFDC6B9" w14:textId="444FD366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Moderate</w:t>
            </w:r>
          </w:p>
        </w:tc>
        <w:tc>
          <w:tcPr>
            <w:tcW w:w="1100" w:type="dxa"/>
          </w:tcPr>
          <w:p w14:paraId="6D4BAFBC" w14:textId="213778BC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Moderate</w:t>
            </w:r>
          </w:p>
        </w:tc>
        <w:tc>
          <w:tcPr>
            <w:tcW w:w="1100" w:type="dxa"/>
          </w:tcPr>
          <w:p w14:paraId="0BA1BBC2" w14:textId="1CACBCCD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Moderate</w:t>
            </w:r>
          </w:p>
        </w:tc>
        <w:tc>
          <w:tcPr>
            <w:tcW w:w="1100" w:type="dxa"/>
          </w:tcPr>
          <w:p w14:paraId="66F49E3B" w14:textId="39A69E10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Moderate</w:t>
            </w:r>
          </w:p>
        </w:tc>
      </w:tr>
    </w:tbl>
    <w:p w14:paraId="78DE2614" w14:textId="1EA8EE96" w:rsidR="00A03607" w:rsidRPr="00D62614" w:rsidRDefault="00A03607" w:rsidP="00D6261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44D8A5" w14:textId="7BE3B577" w:rsidR="00A03607" w:rsidRPr="00D62614" w:rsidRDefault="00A03607" w:rsidP="00D62614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 w:bidi="ml-IN"/>
        </w:rPr>
      </w:pPr>
      <w:r w:rsidRPr="00D62614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en-IN" w:bidi="ml-IN"/>
        </w:rPr>
        <w:t>Table</w:t>
      </w:r>
      <w:r w:rsidR="00CF0A4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en-IN" w:bidi="ml-IN"/>
        </w:rPr>
        <w:t xml:space="preserve"> S2</w:t>
      </w:r>
      <w:r w:rsidRPr="00D62614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en-IN" w:bidi="ml-IN"/>
        </w:rPr>
        <w:t xml:space="preserve">: </w:t>
      </w:r>
      <w:r w:rsidRPr="00D626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 w:bidi="ml-IN"/>
        </w:rPr>
        <w:t>Cell response scaffolds after 2</w:t>
      </w:r>
      <w:r w:rsidRPr="00D62614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en-IN" w:bidi="ml-IN"/>
        </w:rPr>
        <w:t>nd</w:t>
      </w:r>
      <w:r w:rsidRPr="00D626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 w:bidi="ml-IN"/>
        </w:rPr>
        <w:t xml:space="preserve"> weeks of subcutaneous implantation in rats (</w:t>
      </w:r>
      <w:r w:rsidRPr="00D62614">
        <w:rPr>
          <w:rFonts w:ascii="Times New Roman" w:hAnsi="Times New Roman" w:cs="Times New Roman"/>
          <w:sz w:val="24"/>
          <w:szCs w:val="24"/>
        </w:rPr>
        <w:t xml:space="preserve">scored by a blinded pathologist using a 4-point scoring system (- </w:t>
      </w:r>
      <w:r w:rsidR="00B61A86" w:rsidRPr="00D62614">
        <w:rPr>
          <w:rFonts w:ascii="Times New Roman" w:hAnsi="Times New Roman" w:cs="Times New Roman"/>
          <w:sz w:val="24"/>
          <w:szCs w:val="24"/>
        </w:rPr>
        <w:t>absent, +</w:t>
      </w:r>
      <w:r w:rsidRPr="00D62614">
        <w:rPr>
          <w:rFonts w:ascii="Times New Roman" w:hAnsi="Times New Roman" w:cs="Times New Roman"/>
          <w:sz w:val="24"/>
          <w:szCs w:val="24"/>
        </w:rPr>
        <w:t xml:space="preserve"> mild, ++ moderate, and +++ severe)</w:t>
      </w:r>
      <w:r w:rsidRPr="00D626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 w:bidi="ml-IN"/>
        </w:rPr>
        <w:t xml:space="preserve">. </w:t>
      </w:r>
    </w:p>
    <w:tbl>
      <w:tblPr>
        <w:tblStyle w:val="TableGrid"/>
        <w:tblW w:w="8749" w:type="dxa"/>
        <w:tblLayout w:type="fixed"/>
        <w:tblLook w:val="04A0" w:firstRow="1" w:lastRow="0" w:firstColumn="1" w:lastColumn="0" w:noHBand="0" w:noVBand="1"/>
      </w:tblPr>
      <w:tblGrid>
        <w:gridCol w:w="911"/>
        <w:gridCol w:w="2288"/>
        <w:gridCol w:w="1150"/>
        <w:gridCol w:w="1100"/>
        <w:gridCol w:w="1100"/>
        <w:gridCol w:w="1100"/>
        <w:gridCol w:w="1100"/>
      </w:tblGrid>
      <w:tr w:rsidR="00030948" w:rsidRPr="00D62614" w14:paraId="1DFC1670" w14:textId="77777777" w:rsidTr="00030948">
        <w:trPr>
          <w:trHeight w:val="138"/>
        </w:trPr>
        <w:tc>
          <w:tcPr>
            <w:tcW w:w="911" w:type="dxa"/>
            <w:vAlign w:val="center"/>
          </w:tcPr>
          <w:p w14:paraId="74582F80" w14:textId="77777777" w:rsidR="00030948" w:rsidRPr="00D62614" w:rsidRDefault="00030948" w:rsidP="0003094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Sr. No.</w:t>
            </w:r>
          </w:p>
        </w:tc>
        <w:tc>
          <w:tcPr>
            <w:tcW w:w="2288" w:type="dxa"/>
            <w:vAlign w:val="center"/>
          </w:tcPr>
          <w:p w14:paraId="76234931" w14:textId="77777777" w:rsidR="00030948" w:rsidRPr="00D62614" w:rsidRDefault="00030948" w:rsidP="0003094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Observations</w:t>
            </w:r>
          </w:p>
        </w:tc>
        <w:tc>
          <w:tcPr>
            <w:tcW w:w="1150" w:type="dxa"/>
            <w:vAlign w:val="center"/>
          </w:tcPr>
          <w:p w14:paraId="42BBDB34" w14:textId="24F328D8" w:rsidR="00030948" w:rsidRPr="00D62614" w:rsidRDefault="00030948" w:rsidP="0003094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 xml:space="preserve">PCL </w:t>
            </w:r>
          </w:p>
        </w:tc>
        <w:tc>
          <w:tcPr>
            <w:tcW w:w="1100" w:type="dxa"/>
            <w:vAlign w:val="center"/>
          </w:tcPr>
          <w:p w14:paraId="7FA6C226" w14:textId="0B0FC483" w:rsidR="00030948" w:rsidRPr="00D62614" w:rsidRDefault="00030948" w:rsidP="0003094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PCL-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DNS-</w:t>
            </w: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0.5</w:t>
            </w:r>
          </w:p>
        </w:tc>
        <w:tc>
          <w:tcPr>
            <w:tcW w:w="1100" w:type="dxa"/>
            <w:vAlign w:val="center"/>
          </w:tcPr>
          <w:p w14:paraId="3B7339A5" w14:textId="512806DB" w:rsidR="00030948" w:rsidRPr="00D62614" w:rsidRDefault="00030948" w:rsidP="0003094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PCL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-DNS-</w:t>
            </w: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1</w:t>
            </w:r>
          </w:p>
        </w:tc>
        <w:tc>
          <w:tcPr>
            <w:tcW w:w="1100" w:type="dxa"/>
            <w:vAlign w:val="center"/>
          </w:tcPr>
          <w:p w14:paraId="4E7742EF" w14:textId="02C75A85" w:rsidR="00030948" w:rsidRPr="00D62614" w:rsidRDefault="00030948" w:rsidP="0003094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PCL-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DNS-2</w:t>
            </w:r>
          </w:p>
        </w:tc>
        <w:tc>
          <w:tcPr>
            <w:tcW w:w="1100" w:type="dxa"/>
            <w:vAlign w:val="center"/>
          </w:tcPr>
          <w:p w14:paraId="504FBC6A" w14:textId="52058BD9" w:rsidR="00030948" w:rsidRPr="00D62614" w:rsidRDefault="00030948" w:rsidP="0003094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PCL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-DNS-4</w:t>
            </w:r>
          </w:p>
        </w:tc>
      </w:tr>
      <w:tr w:rsidR="00030948" w:rsidRPr="00D62614" w14:paraId="3A8179DE" w14:textId="77777777" w:rsidTr="00030948">
        <w:trPr>
          <w:trHeight w:val="206"/>
        </w:trPr>
        <w:tc>
          <w:tcPr>
            <w:tcW w:w="911" w:type="dxa"/>
            <w:vAlign w:val="center"/>
          </w:tcPr>
          <w:p w14:paraId="6AF577B0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1</w:t>
            </w:r>
          </w:p>
        </w:tc>
        <w:tc>
          <w:tcPr>
            <w:tcW w:w="2288" w:type="dxa"/>
            <w:vAlign w:val="center"/>
            <w:hideMark/>
          </w:tcPr>
          <w:p w14:paraId="65FD9332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Fibroblasts</w:t>
            </w:r>
          </w:p>
        </w:tc>
        <w:tc>
          <w:tcPr>
            <w:tcW w:w="1150" w:type="dxa"/>
            <w:vAlign w:val="center"/>
          </w:tcPr>
          <w:p w14:paraId="4C04D388" w14:textId="261C885D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  <w:tc>
          <w:tcPr>
            <w:tcW w:w="1100" w:type="dxa"/>
            <w:vAlign w:val="center"/>
          </w:tcPr>
          <w:p w14:paraId="14AE97B4" w14:textId="5CE75975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</w:t>
            </w:r>
          </w:p>
        </w:tc>
        <w:tc>
          <w:tcPr>
            <w:tcW w:w="1100" w:type="dxa"/>
            <w:vAlign w:val="center"/>
          </w:tcPr>
          <w:p w14:paraId="08FE9642" w14:textId="325FD22B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</w:t>
            </w:r>
          </w:p>
        </w:tc>
        <w:tc>
          <w:tcPr>
            <w:tcW w:w="1100" w:type="dxa"/>
            <w:vAlign w:val="center"/>
          </w:tcPr>
          <w:p w14:paraId="29D7087E" w14:textId="210E8E58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</w:t>
            </w:r>
          </w:p>
        </w:tc>
        <w:tc>
          <w:tcPr>
            <w:tcW w:w="1100" w:type="dxa"/>
            <w:vAlign w:val="center"/>
          </w:tcPr>
          <w:p w14:paraId="396D8B30" w14:textId="46778DD3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</w:t>
            </w:r>
          </w:p>
        </w:tc>
      </w:tr>
      <w:tr w:rsidR="00030948" w:rsidRPr="00D62614" w14:paraId="750A6581" w14:textId="77777777" w:rsidTr="00030948">
        <w:trPr>
          <w:trHeight w:val="206"/>
        </w:trPr>
        <w:tc>
          <w:tcPr>
            <w:tcW w:w="911" w:type="dxa"/>
            <w:vAlign w:val="center"/>
          </w:tcPr>
          <w:p w14:paraId="142D13CA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2</w:t>
            </w:r>
          </w:p>
        </w:tc>
        <w:tc>
          <w:tcPr>
            <w:tcW w:w="2288" w:type="dxa"/>
            <w:vAlign w:val="center"/>
          </w:tcPr>
          <w:p w14:paraId="205CF391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Angiogenesis</w:t>
            </w:r>
          </w:p>
        </w:tc>
        <w:tc>
          <w:tcPr>
            <w:tcW w:w="1150" w:type="dxa"/>
            <w:vAlign w:val="center"/>
          </w:tcPr>
          <w:p w14:paraId="28F8CA95" w14:textId="54B8E20C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  <w:tc>
          <w:tcPr>
            <w:tcW w:w="1100" w:type="dxa"/>
            <w:vAlign w:val="center"/>
          </w:tcPr>
          <w:p w14:paraId="3C9BE03A" w14:textId="5ED886B0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</w:t>
            </w:r>
          </w:p>
        </w:tc>
        <w:tc>
          <w:tcPr>
            <w:tcW w:w="1100" w:type="dxa"/>
            <w:vAlign w:val="center"/>
          </w:tcPr>
          <w:p w14:paraId="42F5D76E" w14:textId="33B400CE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</w:t>
            </w:r>
          </w:p>
        </w:tc>
        <w:tc>
          <w:tcPr>
            <w:tcW w:w="1100" w:type="dxa"/>
            <w:vAlign w:val="center"/>
          </w:tcPr>
          <w:p w14:paraId="6C565FF0" w14:textId="1B8FA3C6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</w:t>
            </w:r>
          </w:p>
        </w:tc>
        <w:tc>
          <w:tcPr>
            <w:tcW w:w="1100" w:type="dxa"/>
            <w:vAlign w:val="center"/>
          </w:tcPr>
          <w:p w14:paraId="48AB773E" w14:textId="708A9A99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</w:t>
            </w:r>
          </w:p>
        </w:tc>
      </w:tr>
      <w:tr w:rsidR="00030948" w:rsidRPr="00D62614" w14:paraId="3B3B05F6" w14:textId="77777777" w:rsidTr="00030948">
        <w:trPr>
          <w:trHeight w:val="206"/>
        </w:trPr>
        <w:tc>
          <w:tcPr>
            <w:tcW w:w="911" w:type="dxa"/>
            <w:vAlign w:val="center"/>
          </w:tcPr>
          <w:p w14:paraId="2AE4F9DB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3</w:t>
            </w:r>
          </w:p>
        </w:tc>
        <w:tc>
          <w:tcPr>
            <w:tcW w:w="2288" w:type="dxa"/>
            <w:vAlign w:val="center"/>
          </w:tcPr>
          <w:p w14:paraId="2D5200EE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Necrosis</w:t>
            </w:r>
          </w:p>
        </w:tc>
        <w:tc>
          <w:tcPr>
            <w:tcW w:w="1150" w:type="dxa"/>
            <w:vAlign w:val="center"/>
          </w:tcPr>
          <w:p w14:paraId="3DFA710B" w14:textId="34E3ABCD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74F5F86D" w14:textId="488CF14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1B4874FF" w14:textId="42DD3A02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45BD16CE" w14:textId="79884192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0220B136" w14:textId="28A6D0AF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</w:tr>
      <w:tr w:rsidR="00030948" w:rsidRPr="00D62614" w14:paraId="41546CBD" w14:textId="77777777" w:rsidTr="00030948">
        <w:trPr>
          <w:trHeight w:val="296"/>
        </w:trPr>
        <w:tc>
          <w:tcPr>
            <w:tcW w:w="911" w:type="dxa"/>
            <w:vAlign w:val="center"/>
          </w:tcPr>
          <w:p w14:paraId="626081B0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4</w:t>
            </w:r>
          </w:p>
        </w:tc>
        <w:tc>
          <w:tcPr>
            <w:tcW w:w="2288" w:type="dxa"/>
            <w:vAlign w:val="center"/>
          </w:tcPr>
          <w:p w14:paraId="2B5C2D2F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Lymphocytes</w:t>
            </w:r>
          </w:p>
        </w:tc>
        <w:tc>
          <w:tcPr>
            <w:tcW w:w="1150" w:type="dxa"/>
            <w:vAlign w:val="center"/>
          </w:tcPr>
          <w:p w14:paraId="0A3E1B4D" w14:textId="149AC494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</w:t>
            </w:r>
          </w:p>
        </w:tc>
        <w:tc>
          <w:tcPr>
            <w:tcW w:w="1100" w:type="dxa"/>
          </w:tcPr>
          <w:p w14:paraId="14EBD21E" w14:textId="31F2F572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</w:t>
            </w:r>
          </w:p>
        </w:tc>
        <w:tc>
          <w:tcPr>
            <w:tcW w:w="1100" w:type="dxa"/>
          </w:tcPr>
          <w:p w14:paraId="35E8837E" w14:textId="50BEE0D1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</w:t>
            </w:r>
          </w:p>
        </w:tc>
        <w:tc>
          <w:tcPr>
            <w:tcW w:w="1100" w:type="dxa"/>
          </w:tcPr>
          <w:p w14:paraId="34095443" w14:textId="7BF4F76E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  <w:tc>
          <w:tcPr>
            <w:tcW w:w="1100" w:type="dxa"/>
          </w:tcPr>
          <w:p w14:paraId="64F25FDC" w14:textId="37247D1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</w:t>
            </w:r>
          </w:p>
        </w:tc>
      </w:tr>
      <w:tr w:rsidR="00030948" w:rsidRPr="00D62614" w14:paraId="2198B86E" w14:textId="77777777" w:rsidTr="00030948">
        <w:trPr>
          <w:trHeight w:val="170"/>
        </w:trPr>
        <w:tc>
          <w:tcPr>
            <w:tcW w:w="911" w:type="dxa"/>
            <w:vAlign w:val="center"/>
          </w:tcPr>
          <w:p w14:paraId="5EDC6520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5</w:t>
            </w:r>
          </w:p>
        </w:tc>
        <w:tc>
          <w:tcPr>
            <w:tcW w:w="2288" w:type="dxa"/>
            <w:vAlign w:val="center"/>
            <w:hideMark/>
          </w:tcPr>
          <w:p w14:paraId="48206DFE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PMNs</w:t>
            </w:r>
          </w:p>
        </w:tc>
        <w:tc>
          <w:tcPr>
            <w:tcW w:w="1150" w:type="dxa"/>
            <w:vAlign w:val="center"/>
          </w:tcPr>
          <w:p w14:paraId="1F287C4C" w14:textId="53C4D674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+++</w:t>
            </w:r>
          </w:p>
        </w:tc>
        <w:tc>
          <w:tcPr>
            <w:tcW w:w="1100" w:type="dxa"/>
          </w:tcPr>
          <w:p w14:paraId="660B4397" w14:textId="7D7FD5DF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</w:t>
            </w:r>
          </w:p>
        </w:tc>
        <w:tc>
          <w:tcPr>
            <w:tcW w:w="1100" w:type="dxa"/>
          </w:tcPr>
          <w:p w14:paraId="592CF0DD" w14:textId="214F626E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</w:t>
            </w:r>
          </w:p>
        </w:tc>
        <w:tc>
          <w:tcPr>
            <w:tcW w:w="1100" w:type="dxa"/>
          </w:tcPr>
          <w:p w14:paraId="2C21358A" w14:textId="617A0645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</w:t>
            </w:r>
          </w:p>
        </w:tc>
        <w:tc>
          <w:tcPr>
            <w:tcW w:w="1100" w:type="dxa"/>
          </w:tcPr>
          <w:p w14:paraId="110FAE27" w14:textId="4A134CE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</w:t>
            </w:r>
          </w:p>
        </w:tc>
      </w:tr>
      <w:tr w:rsidR="00030948" w:rsidRPr="00D62614" w14:paraId="4F141C3A" w14:textId="77777777" w:rsidTr="00030948">
        <w:trPr>
          <w:trHeight w:val="197"/>
        </w:trPr>
        <w:tc>
          <w:tcPr>
            <w:tcW w:w="911" w:type="dxa"/>
            <w:vAlign w:val="center"/>
          </w:tcPr>
          <w:p w14:paraId="7AE81884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6</w:t>
            </w:r>
          </w:p>
        </w:tc>
        <w:tc>
          <w:tcPr>
            <w:tcW w:w="2288" w:type="dxa"/>
            <w:vAlign w:val="center"/>
            <w:hideMark/>
          </w:tcPr>
          <w:p w14:paraId="350187E0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Giant cells</w:t>
            </w:r>
          </w:p>
        </w:tc>
        <w:tc>
          <w:tcPr>
            <w:tcW w:w="1150" w:type="dxa"/>
            <w:vAlign w:val="center"/>
          </w:tcPr>
          <w:p w14:paraId="16C66309" w14:textId="417A8706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</w:t>
            </w:r>
          </w:p>
        </w:tc>
        <w:tc>
          <w:tcPr>
            <w:tcW w:w="1100" w:type="dxa"/>
          </w:tcPr>
          <w:p w14:paraId="3C8D150C" w14:textId="74013EE0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  <w:r w:rsidR="00243F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  <w:tc>
          <w:tcPr>
            <w:tcW w:w="1100" w:type="dxa"/>
          </w:tcPr>
          <w:p w14:paraId="0B6D4EC5" w14:textId="6ED61BFF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  <w:r w:rsidR="00243F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  <w:tc>
          <w:tcPr>
            <w:tcW w:w="1100" w:type="dxa"/>
          </w:tcPr>
          <w:p w14:paraId="7B739422" w14:textId="26FCF2F5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  <w:r w:rsidR="00243F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  <w:tc>
          <w:tcPr>
            <w:tcW w:w="1100" w:type="dxa"/>
          </w:tcPr>
          <w:p w14:paraId="1C06E1E0" w14:textId="51017B71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  <w:r w:rsidR="00243F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</w:tr>
      <w:tr w:rsidR="00030948" w:rsidRPr="00D62614" w14:paraId="70F2DDC2" w14:textId="77777777" w:rsidTr="00030948">
        <w:trPr>
          <w:trHeight w:val="237"/>
        </w:trPr>
        <w:tc>
          <w:tcPr>
            <w:tcW w:w="911" w:type="dxa"/>
            <w:vAlign w:val="center"/>
          </w:tcPr>
          <w:p w14:paraId="518BAC58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7</w:t>
            </w:r>
          </w:p>
        </w:tc>
        <w:tc>
          <w:tcPr>
            <w:tcW w:w="2288" w:type="dxa"/>
            <w:vAlign w:val="center"/>
            <w:hideMark/>
          </w:tcPr>
          <w:p w14:paraId="765F8C8C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Plasma cells</w:t>
            </w:r>
          </w:p>
        </w:tc>
        <w:tc>
          <w:tcPr>
            <w:tcW w:w="1150" w:type="dxa"/>
            <w:vAlign w:val="center"/>
          </w:tcPr>
          <w:p w14:paraId="4A9FDC3B" w14:textId="10741B9D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</w:t>
            </w:r>
          </w:p>
        </w:tc>
        <w:tc>
          <w:tcPr>
            <w:tcW w:w="1100" w:type="dxa"/>
          </w:tcPr>
          <w:p w14:paraId="6D05C2E4" w14:textId="214B2943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  <w:tc>
          <w:tcPr>
            <w:tcW w:w="1100" w:type="dxa"/>
          </w:tcPr>
          <w:p w14:paraId="11128D0E" w14:textId="0DCD1AAF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  <w:tc>
          <w:tcPr>
            <w:tcW w:w="1100" w:type="dxa"/>
          </w:tcPr>
          <w:p w14:paraId="0FBA1F0A" w14:textId="6785486D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  <w:tc>
          <w:tcPr>
            <w:tcW w:w="1100" w:type="dxa"/>
          </w:tcPr>
          <w:p w14:paraId="72458B03" w14:textId="7F3877F4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</w:tr>
      <w:tr w:rsidR="00030948" w:rsidRPr="00D62614" w14:paraId="71E0BB1F" w14:textId="77777777" w:rsidTr="00030948">
        <w:trPr>
          <w:trHeight w:val="159"/>
        </w:trPr>
        <w:tc>
          <w:tcPr>
            <w:tcW w:w="911" w:type="dxa"/>
            <w:vAlign w:val="center"/>
          </w:tcPr>
          <w:p w14:paraId="30325C6E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8</w:t>
            </w:r>
          </w:p>
        </w:tc>
        <w:tc>
          <w:tcPr>
            <w:tcW w:w="2288" w:type="dxa"/>
            <w:vAlign w:val="center"/>
          </w:tcPr>
          <w:p w14:paraId="1710B2AB" w14:textId="08858B95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proofErr w:type="gramStart"/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Overall</w:t>
            </w:r>
            <w:proofErr w:type="gramEnd"/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 xml:space="preserve"> Tissue inflammation response</w:t>
            </w:r>
          </w:p>
        </w:tc>
        <w:tc>
          <w:tcPr>
            <w:tcW w:w="1150" w:type="dxa"/>
            <w:vAlign w:val="center"/>
          </w:tcPr>
          <w:p w14:paraId="76A30144" w14:textId="51A1D4F6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Low-Moderate</w:t>
            </w:r>
          </w:p>
        </w:tc>
        <w:tc>
          <w:tcPr>
            <w:tcW w:w="1100" w:type="dxa"/>
          </w:tcPr>
          <w:p w14:paraId="1EA8E3B9" w14:textId="5C50A9FD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Low</w:t>
            </w:r>
          </w:p>
        </w:tc>
        <w:tc>
          <w:tcPr>
            <w:tcW w:w="1100" w:type="dxa"/>
          </w:tcPr>
          <w:p w14:paraId="5034F165" w14:textId="2866343B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Low</w:t>
            </w:r>
          </w:p>
        </w:tc>
        <w:tc>
          <w:tcPr>
            <w:tcW w:w="1100" w:type="dxa"/>
          </w:tcPr>
          <w:p w14:paraId="1A1D8A95" w14:textId="1DC2AB14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Low</w:t>
            </w:r>
          </w:p>
        </w:tc>
        <w:tc>
          <w:tcPr>
            <w:tcW w:w="1100" w:type="dxa"/>
          </w:tcPr>
          <w:p w14:paraId="7A5A3644" w14:textId="15443443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Moderate</w:t>
            </w:r>
          </w:p>
        </w:tc>
      </w:tr>
    </w:tbl>
    <w:p w14:paraId="1BB470CD" w14:textId="1C4E6B13" w:rsidR="00A03607" w:rsidRPr="00D62614" w:rsidRDefault="00A03607" w:rsidP="00D6261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5E88C4" w14:textId="2A0FD5AA" w:rsidR="00A03607" w:rsidRPr="00D62614" w:rsidRDefault="00A03607" w:rsidP="00D62614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 w:bidi="ml-IN"/>
        </w:rPr>
      </w:pPr>
      <w:r w:rsidRPr="00D62614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en-IN" w:bidi="ml-IN"/>
        </w:rPr>
        <w:t>Table</w:t>
      </w:r>
      <w:r w:rsidR="00CF0A4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en-IN" w:bidi="ml-IN"/>
        </w:rPr>
        <w:t xml:space="preserve"> S3</w:t>
      </w:r>
      <w:r w:rsidRPr="00D62614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en-IN" w:bidi="ml-IN"/>
        </w:rPr>
        <w:t xml:space="preserve">: </w:t>
      </w:r>
      <w:r w:rsidRPr="00D626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 w:bidi="ml-IN"/>
        </w:rPr>
        <w:t>Cell response scaffolds after 3</w:t>
      </w:r>
      <w:r w:rsidRPr="00D62614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en-IN" w:bidi="ml-IN"/>
        </w:rPr>
        <w:t>rd</w:t>
      </w:r>
      <w:r w:rsidRPr="00D626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 w:bidi="ml-IN"/>
        </w:rPr>
        <w:t xml:space="preserve"> weeks of subcutaneous implantation in rats (</w:t>
      </w:r>
      <w:r w:rsidRPr="00D62614">
        <w:rPr>
          <w:rFonts w:ascii="Times New Roman" w:hAnsi="Times New Roman" w:cs="Times New Roman"/>
          <w:sz w:val="24"/>
          <w:szCs w:val="24"/>
        </w:rPr>
        <w:t xml:space="preserve">scored by a blinded pathologist using a 4-point scoring system (- </w:t>
      </w:r>
      <w:r w:rsidR="00B61A86" w:rsidRPr="00D62614">
        <w:rPr>
          <w:rFonts w:ascii="Times New Roman" w:hAnsi="Times New Roman" w:cs="Times New Roman"/>
          <w:sz w:val="24"/>
          <w:szCs w:val="24"/>
        </w:rPr>
        <w:t>absent, +</w:t>
      </w:r>
      <w:r w:rsidRPr="00D62614">
        <w:rPr>
          <w:rFonts w:ascii="Times New Roman" w:hAnsi="Times New Roman" w:cs="Times New Roman"/>
          <w:sz w:val="24"/>
          <w:szCs w:val="24"/>
        </w:rPr>
        <w:t xml:space="preserve"> mild, ++ moderate, and +++ severe)</w:t>
      </w:r>
      <w:r w:rsidRPr="00D626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 w:bidi="ml-IN"/>
        </w:rPr>
        <w:t xml:space="preserve">. </w:t>
      </w:r>
    </w:p>
    <w:tbl>
      <w:tblPr>
        <w:tblStyle w:val="TableGrid"/>
        <w:tblW w:w="8749" w:type="dxa"/>
        <w:tblLayout w:type="fixed"/>
        <w:tblLook w:val="04A0" w:firstRow="1" w:lastRow="0" w:firstColumn="1" w:lastColumn="0" w:noHBand="0" w:noVBand="1"/>
      </w:tblPr>
      <w:tblGrid>
        <w:gridCol w:w="911"/>
        <w:gridCol w:w="2288"/>
        <w:gridCol w:w="1150"/>
        <w:gridCol w:w="1100"/>
        <w:gridCol w:w="1100"/>
        <w:gridCol w:w="1100"/>
        <w:gridCol w:w="1100"/>
      </w:tblGrid>
      <w:tr w:rsidR="00030948" w:rsidRPr="00D62614" w14:paraId="6B46BC9A" w14:textId="77777777" w:rsidTr="00A86FF5">
        <w:trPr>
          <w:trHeight w:val="138"/>
        </w:trPr>
        <w:tc>
          <w:tcPr>
            <w:tcW w:w="911" w:type="dxa"/>
            <w:vAlign w:val="center"/>
          </w:tcPr>
          <w:p w14:paraId="22051A5D" w14:textId="77777777" w:rsidR="00030948" w:rsidRPr="00D62614" w:rsidRDefault="00030948" w:rsidP="0003094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lastRenderedPageBreak/>
              <w:t>Sr. No.</w:t>
            </w:r>
          </w:p>
        </w:tc>
        <w:tc>
          <w:tcPr>
            <w:tcW w:w="2288" w:type="dxa"/>
            <w:vAlign w:val="center"/>
          </w:tcPr>
          <w:p w14:paraId="38D132C9" w14:textId="77777777" w:rsidR="00030948" w:rsidRPr="00D62614" w:rsidRDefault="00030948" w:rsidP="0003094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Observations</w:t>
            </w:r>
          </w:p>
        </w:tc>
        <w:tc>
          <w:tcPr>
            <w:tcW w:w="1150" w:type="dxa"/>
            <w:vAlign w:val="center"/>
          </w:tcPr>
          <w:p w14:paraId="4C960A0F" w14:textId="25147FD8" w:rsidR="00030948" w:rsidRPr="00D62614" w:rsidRDefault="00030948" w:rsidP="0003094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 xml:space="preserve">PCL </w:t>
            </w:r>
          </w:p>
        </w:tc>
        <w:tc>
          <w:tcPr>
            <w:tcW w:w="1100" w:type="dxa"/>
            <w:vAlign w:val="center"/>
          </w:tcPr>
          <w:p w14:paraId="088B6DCD" w14:textId="2BC5B004" w:rsidR="00030948" w:rsidRPr="00D62614" w:rsidRDefault="00030948" w:rsidP="0003094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PCL-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DNS-</w:t>
            </w: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0.5</w:t>
            </w:r>
          </w:p>
        </w:tc>
        <w:tc>
          <w:tcPr>
            <w:tcW w:w="1100" w:type="dxa"/>
            <w:vAlign w:val="center"/>
          </w:tcPr>
          <w:p w14:paraId="680016C7" w14:textId="0F6D8356" w:rsidR="00030948" w:rsidRPr="00D62614" w:rsidRDefault="00030948" w:rsidP="0003094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PCL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-DNS-</w:t>
            </w: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1</w:t>
            </w:r>
          </w:p>
        </w:tc>
        <w:tc>
          <w:tcPr>
            <w:tcW w:w="1100" w:type="dxa"/>
            <w:vAlign w:val="center"/>
          </w:tcPr>
          <w:p w14:paraId="6676D12B" w14:textId="727F081E" w:rsidR="00030948" w:rsidRPr="00D62614" w:rsidRDefault="00030948" w:rsidP="0003094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PCL-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DNS-2</w:t>
            </w:r>
          </w:p>
        </w:tc>
        <w:tc>
          <w:tcPr>
            <w:tcW w:w="1100" w:type="dxa"/>
            <w:vAlign w:val="center"/>
          </w:tcPr>
          <w:p w14:paraId="774348A4" w14:textId="2EC02FA5" w:rsidR="00030948" w:rsidRPr="00D62614" w:rsidRDefault="00030948" w:rsidP="0003094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PCL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-DNS-4</w:t>
            </w:r>
          </w:p>
        </w:tc>
      </w:tr>
      <w:tr w:rsidR="00A86FF5" w:rsidRPr="00D62614" w14:paraId="04FFC6D3" w14:textId="77777777" w:rsidTr="00A86FF5">
        <w:trPr>
          <w:trHeight w:val="206"/>
        </w:trPr>
        <w:tc>
          <w:tcPr>
            <w:tcW w:w="911" w:type="dxa"/>
            <w:vAlign w:val="center"/>
          </w:tcPr>
          <w:p w14:paraId="13BE580F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1</w:t>
            </w:r>
          </w:p>
        </w:tc>
        <w:tc>
          <w:tcPr>
            <w:tcW w:w="2288" w:type="dxa"/>
            <w:vAlign w:val="center"/>
            <w:hideMark/>
          </w:tcPr>
          <w:p w14:paraId="0844F186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Fibroblasts</w:t>
            </w:r>
          </w:p>
        </w:tc>
        <w:tc>
          <w:tcPr>
            <w:tcW w:w="1150" w:type="dxa"/>
            <w:vAlign w:val="center"/>
          </w:tcPr>
          <w:p w14:paraId="57F24C63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  <w:tc>
          <w:tcPr>
            <w:tcW w:w="1100" w:type="dxa"/>
            <w:vAlign w:val="center"/>
          </w:tcPr>
          <w:p w14:paraId="36A18C13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+++</w:t>
            </w:r>
          </w:p>
        </w:tc>
        <w:tc>
          <w:tcPr>
            <w:tcW w:w="1100" w:type="dxa"/>
            <w:vAlign w:val="center"/>
          </w:tcPr>
          <w:p w14:paraId="6E877DA8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++++</w:t>
            </w:r>
          </w:p>
        </w:tc>
        <w:tc>
          <w:tcPr>
            <w:tcW w:w="1100" w:type="dxa"/>
            <w:vAlign w:val="center"/>
          </w:tcPr>
          <w:p w14:paraId="5EEC7E2E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+++</w:t>
            </w:r>
          </w:p>
        </w:tc>
        <w:tc>
          <w:tcPr>
            <w:tcW w:w="1100" w:type="dxa"/>
            <w:vAlign w:val="center"/>
          </w:tcPr>
          <w:p w14:paraId="31B19722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+++</w:t>
            </w:r>
          </w:p>
        </w:tc>
      </w:tr>
      <w:tr w:rsidR="00A86FF5" w:rsidRPr="00D62614" w14:paraId="37BAB931" w14:textId="77777777" w:rsidTr="00A86FF5">
        <w:trPr>
          <w:trHeight w:val="206"/>
        </w:trPr>
        <w:tc>
          <w:tcPr>
            <w:tcW w:w="911" w:type="dxa"/>
            <w:vAlign w:val="center"/>
          </w:tcPr>
          <w:p w14:paraId="637B4D77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2</w:t>
            </w:r>
          </w:p>
        </w:tc>
        <w:tc>
          <w:tcPr>
            <w:tcW w:w="2288" w:type="dxa"/>
            <w:vAlign w:val="center"/>
          </w:tcPr>
          <w:p w14:paraId="0C57ACA5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Angiogenesis</w:t>
            </w:r>
          </w:p>
        </w:tc>
        <w:tc>
          <w:tcPr>
            <w:tcW w:w="1150" w:type="dxa"/>
            <w:vAlign w:val="center"/>
          </w:tcPr>
          <w:p w14:paraId="1A86E453" w14:textId="5F2A93A4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  <w:tc>
          <w:tcPr>
            <w:tcW w:w="1100" w:type="dxa"/>
            <w:vAlign w:val="center"/>
          </w:tcPr>
          <w:p w14:paraId="3736B052" w14:textId="7F6EE20D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+++</w:t>
            </w:r>
          </w:p>
        </w:tc>
        <w:tc>
          <w:tcPr>
            <w:tcW w:w="1100" w:type="dxa"/>
            <w:vAlign w:val="center"/>
          </w:tcPr>
          <w:p w14:paraId="481714E7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+++</w:t>
            </w:r>
          </w:p>
        </w:tc>
        <w:tc>
          <w:tcPr>
            <w:tcW w:w="1100" w:type="dxa"/>
            <w:vAlign w:val="center"/>
          </w:tcPr>
          <w:p w14:paraId="3889B6F6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+++</w:t>
            </w:r>
          </w:p>
        </w:tc>
        <w:tc>
          <w:tcPr>
            <w:tcW w:w="1100" w:type="dxa"/>
            <w:vAlign w:val="center"/>
          </w:tcPr>
          <w:p w14:paraId="163CDB6E" w14:textId="5BE30701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+++</w:t>
            </w:r>
          </w:p>
        </w:tc>
      </w:tr>
      <w:tr w:rsidR="00A86FF5" w:rsidRPr="00D62614" w14:paraId="6A15E815" w14:textId="77777777" w:rsidTr="00A86FF5">
        <w:trPr>
          <w:trHeight w:val="206"/>
        </w:trPr>
        <w:tc>
          <w:tcPr>
            <w:tcW w:w="911" w:type="dxa"/>
            <w:vAlign w:val="center"/>
          </w:tcPr>
          <w:p w14:paraId="115F696A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3</w:t>
            </w:r>
          </w:p>
        </w:tc>
        <w:tc>
          <w:tcPr>
            <w:tcW w:w="2288" w:type="dxa"/>
            <w:vAlign w:val="center"/>
          </w:tcPr>
          <w:p w14:paraId="145BCE78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Necrosis</w:t>
            </w:r>
          </w:p>
        </w:tc>
        <w:tc>
          <w:tcPr>
            <w:tcW w:w="1150" w:type="dxa"/>
            <w:vAlign w:val="center"/>
          </w:tcPr>
          <w:p w14:paraId="210C8599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2D42373E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604E165F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2EBD13FA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26B43304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</w:tr>
      <w:tr w:rsidR="00A86FF5" w:rsidRPr="00D62614" w14:paraId="2A4BFBC6" w14:textId="77777777" w:rsidTr="00A86FF5">
        <w:trPr>
          <w:trHeight w:val="296"/>
        </w:trPr>
        <w:tc>
          <w:tcPr>
            <w:tcW w:w="911" w:type="dxa"/>
            <w:vAlign w:val="center"/>
          </w:tcPr>
          <w:p w14:paraId="65756058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4</w:t>
            </w:r>
          </w:p>
        </w:tc>
        <w:tc>
          <w:tcPr>
            <w:tcW w:w="2288" w:type="dxa"/>
            <w:vAlign w:val="center"/>
          </w:tcPr>
          <w:p w14:paraId="62FDED54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Lymphocytes</w:t>
            </w:r>
          </w:p>
        </w:tc>
        <w:tc>
          <w:tcPr>
            <w:tcW w:w="1150" w:type="dxa"/>
            <w:vAlign w:val="center"/>
          </w:tcPr>
          <w:p w14:paraId="428695CB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</w:t>
            </w:r>
          </w:p>
        </w:tc>
        <w:tc>
          <w:tcPr>
            <w:tcW w:w="1100" w:type="dxa"/>
            <w:vAlign w:val="center"/>
          </w:tcPr>
          <w:p w14:paraId="286C3E2D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5B9A0409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  <w:tc>
          <w:tcPr>
            <w:tcW w:w="1100" w:type="dxa"/>
            <w:vAlign w:val="center"/>
          </w:tcPr>
          <w:p w14:paraId="3E99B63F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29F154B9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</w:tr>
      <w:tr w:rsidR="00A86FF5" w:rsidRPr="00D62614" w14:paraId="7F92CFDA" w14:textId="77777777" w:rsidTr="00A86FF5">
        <w:trPr>
          <w:trHeight w:val="170"/>
        </w:trPr>
        <w:tc>
          <w:tcPr>
            <w:tcW w:w="911" w:type="dxa"/>
            <w:vAlign w:val="center"/>
          </w:tcPr>
          <w:p w14:paraId="4006A81B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5</w:t>
            </w:r>
          </w:p>
        </w:tc>
        <w:tc>
          <w:tcPr>
            <w:tcW w:w="2288" w:type="dxa"/>
            <w:vAlign w:val="center"/>
            <w:hideMark/>
          </w:tcPr>
          <w:p w14:paraId="5A6BF118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PMNs</w:t>
            </w:r>
          </w:p>
        </w:tc>
        <w:tc>
          <w:tcPr>
            <w:tcW w:w="1150" w:type="dxa"/>
            <w:vAlign w:val="center"/>
          </w:tcPr>
          <w:p w14:paraId="7A0D0506" w14:textId="40E9811B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</w:t>
            </w:r>
          </w:p>
        </w:tc>
        <w:tc>
          <w:tcPr>
            <w:tcW w:w="1100" w:type="dxa"/>
            <w:vAlign w:val="center"/>
          </w:tcPr>
          <w:p w14:paraId="2B7AF93F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27B8B011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73474F45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  <w:tc>
          <w:tcPr>
            <w:tcW w:w="1100" w:type="dxa"/>
            <w:vAlign w:val="center"/>
          </w:tcPr>
          <w:p w14:paraId="11B8F4C4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</w:tr>
      <w:tr w:rsidR="00A86FF5" w:rsidRPr="00D62614" w14:paraId="4F1077E5" w14:textId="77777777" w:rsidTr="00A86FF5">
        <w:trPr>
          <w:trHeight w:val="197"/>
        </w:trPr>
        <w:tc>
          <w:tcPr>
            <w:tcW w:w="911" w:type="dxa"/>
            <w:vAlign w:val="center"/>
          </w:tcPr>
          <w:p w14:paraId="3E3CD76E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6</w:t>
            </w:r>
          </w:p>
        </w:tc>
        <w:tc>
          <w:tcPr>
            <w:tcW w:w="2288" w:type="dxa"/>
            <w:vAlign w:val="center"/>
            <w:hideMark/>
          </w:tcPr>
          <w:p w14:paraId="3F216CE7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Giant cells</w:t>
            </w:r>
          </w:p>
        </w:tc>
        <w:tc>
          <w:tcPr>
            <w:tcW w:w="1150" w:type="dxa"/>
            <w:vAlign w:val="center"/>
          </w:tcPr>
          <w:p w14:paraId="005BC0E0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  <w:tc>
          <w:tcPr>
            <w:tcW w:w="1100" w:type="dxa"/>
            <w:vAlign w:val="center"/>
          </w:tcPr>
          <w:p w14:paraId="1B6B4D10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7E783042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63E03ED3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2CD6FF64" w14:textId="510260BC" w:rsidR="00A86FF5" w:rsidRPr="00D62614" w:rsidRDefault="00080886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</w:tr>
      <w:tr w:rsidR="00A86FF5" w:rsidRPr="00D62614" w14:paraId="2001B593" w14:textId="77777777" w:rsidTr="00A86FF5">
        <w:trPr>
          <w:trHeight w:val="237"/>
        </w:trPr>
        <w:tc>
          <w:tcPr>
            <w:tcW w:w="911" w:type="dxa"/>
            <w:vAlign w:val="center"/>
          </w:tcPr>
          <w:p w14:paraId="45D45A7E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7</w:t>
            </w:r>
          </w:p>
        </w:tc>
        <w:tc>
          <w:tcPr>
            <w:tcW w:w="2288" w:type="dxa"/>
            <w:vAlign w:val="center"/>
            <w:hideMark/>
          </w:tcPr>
          <w:p w14:paraId="7EA0667E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Plasma cells</w:t>
            </w:r>
          </w:p>
        </w:tc>
        <w:tc>
          <w:tcPr>
            <w:tcW w:w="1150" w:type="dxa"/>
            <w:vAlign w:val="center"/>
          </w:tcPr>
          <w:p w14:paraId="6A88DDFE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  <w:tc>
          <w:tcPr>
            <w:tcW w:w="1100" w:type="dxa"/>
            <w:vAlign w:val="center"/>
          </w:tcPr>
          <w:p w14:paraId="200A2447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401E74B6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6B703771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4B0BD546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</w:tr>
      <w:tr w:rsidR="00A86FF5" w:rsidRPr="00D62614" w14:paraId="40414568" w14:textId="77777777" w:rsidTr="00A86FF5">
        <w:trPr>
          <w:trHeight w:val="159"/>
        </w:trPr>
        <w:tc>
          <w:tcPr>
            <w:tcW w:w="911" w:type="dxa"/>
            <w:vAlign w:val="center"/>
          </w:tcPr>
          <w:p w14:paraId="7C9F8564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8</w:t>
            </w:r>
          </w:p>
        </w:tc>
        <w:tc>
          <w:tcPr>
            <w:tcW w:w="2288" w:type="dxa"/>
            <w:vAlign w:val="center"/>
          </w:tcPr>
          <w:p w14:paraId="0ECD47FD" w14:textId="2EE7AA85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proofErr w:type="gramStart"/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Overall</w:t>
            </w:r>
            <w:proofErr w:type="gramEnd"/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 xml:space="preserve"> Tissue inflammation response</w:t>
            </w:r>
          </w:p>
        </w:tc>
        <w:tc>
          <w:tcPr>
            <w:tcW w:w="1150" w:type="dxa"/>
            <w:vAlign w:val="center"/>
          </w:tcPr>
          <w:p w14:paraId="744F75B8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Moderate</w:t>
            </w:r>
          </w:p>
        </w:tc>
        <w:tc>
          <w:tcPr>
            <w:tcW w:w="1100" w:type="dxa"/>
            <w:vAlign w:val="center"/>
          </w:tcPr>
          <w:p w14:paraId="46113A24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Low</w:t>
            </w:r>
          </w:p>
        </w:tc>
        <w:tc>
          <w:tcPr>
            <w:tcW w:w="1100" w:type="dxa"/>
            <w:vAlign w:val="center"/>
          </w:tcPr>
          <w:p w14:paraId="1DF061A1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Low</w:t>
            </w:r>
          </w:p>
        </w:tc>
        <w:tc>
          <w:tcPr>
            <w:tcW w:w="1100" w:type="dxa"/>
            <w:vAlign w:val="center"/>
          </w:tcPr>
          <w:p w14:paraId="29DE1C34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Low</w:t>
            </w:r>
          </w:p>
        </w:tc>
        <w:tc>
          <w:tcPr>
            <w:tcW w:w="1100" w:type="dxa"/>
            <w:vAlign w:val="center"/>
          </w:tcPr>
          <w:p w14:paraId="48ECD201" w14:textId="77777777" w:rsidR="00A86FF5" w:rsidRPr="00D62614" w:rsidRDefault="00A86FF5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Low</w:t>
            </w:r>
          </w:p>
        </w:tc>
      </w:tr>
    </w:tbl>
    <w:p w14:paraId="6695F5D7" w14:textId="01AA86F6" w:rsidR="00A03607" w:rsidRPr="00D62614" w:rsidRDefault="00A03607" w:rsidP="00D6261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96282E" w14:textId="68C579BD" w:rsidR="00A03607" w:rsidRPr="00D62614" w:rsidRDefault="00A03607" w:rsidP="00D62614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 w:bidi="ml-IN"/>
        </w:rPr>
      </w:pPr>
      <w:r w:rsidRPr="00D62614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en-IN" w:bidi="ml-IN"/>
        </w:rPr>
        <w:t>Table</w:t>
      </w:r>
      <w:r w:rsidR="00CF0A4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en-IN" w:bidi="ml-IN"/>
        </w:rPr>
        <w:t xml:space="preserve"> S4</w:t>
      </w:r>
      <w:r w:rsidRPr="00D62614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en-IN" w:bidi="ml-IN"/>
        </w:rPr>
        <w:t xml:space="preserve">: </w:t>
      </w:r>
      <w:r w:rsidRPr="00D626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 w:bidi="ml-IN"/>
        </w:rPr>
        <w:t>Cell response scaffolds after 4</w:t>
      </w:r>
      <w:r w:rsidRPr="00D62614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en-IN" w:bidi="ml-IN"/>
        </w:rPr>
        <w:t>th</w:t>
      </w:r>
      <w:r w:rsidRPr="00D626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 w:bidi="ml-IN"/>
        </w:rPr>
        <w:t xml:space="preserve"> weeks of subcutaneous implantation in rats (</w:t>
      </w:r>
      <w:r w:rsidRPr="00D62614">
        <w:rPr>
          <w:rFonts w:ascii="Times New Roman" w:hAnsi="Times New Roman" w:cs="Times New Roman"/>
          <w:sz w:val="24"/>
          <w:szCs w:val="24"/>
        </w:rPr>
        <w:t xml:space="preserve">scored by a blinded pathologist using a 4-point scoring system (- </w:t>
      </w:r>
      <w:r w:rsidR="00B61A86" w:rsidRPr="00D62614">
        <w:rPr>
          <w:rFonts w:ascii="Times New Roman" w:hAnsi="Times New Roman" w:cs="Times New Roman"/>
          <w:sz w:val="24"/>
          <w:szCs w:val="24"/>
        </w:rPr>
        <w:t>absent, +</w:t>
      </w:r>
      <w:r w:rsidRPr="00D62614">
        <w:rPr>
          <w:rFonts w:ascii="Times New Roman" w:hAnsi="Times New Roman" w:cs="Times New Roman"/>
          <w:sz w:val="24"/>
          <w:szCs w:val="24"/>
        </w:rPr>
        <w:t xml:space="preserve"> mild, ++ moderate, and +++ severe)</w:t>
      </w:r>
      <w:r w:rsidRPr="00D626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 w:bidi="ml-IN"/>
        </w:rPr>
        <w:t xml:space="preserve">. </w:t>
      </w:r>
    </w:p>
    <w:tbl>
      <w:tblPr>
        <w:tblStyle w:val="TableGrid"/>
        <w:tblW w:w="8749" w:type="dxa"/>
        <w:tblLayout w:type="fixed"/>
        <w:tblLook w:val="04A0" w:firstRow="1" w:lastRow="0" w:firstColumn="1" w:lastColumn="0" w:noHBand="0" w:noVBand="1"/>
      </w:tblPr>
      <w:tblGrid>
        <w:gridCol w:w="911"/>
        <w:gridCol w:w="2288"/>
        <w:gridCol w:w="1150"/>
        <w:gridCol w:w="1100"/>
        <w:gridCol w:w="1100"/>
        <w:gridCol w:w="1100"/>
        <w:gridCol w:w="1100"/>
      </w:tblGrid>
      <w:tr w:rsidR="00030948" w:rsidRPr="00D62614" w14:paraId="249FC444" w14:textId="77777777" w:rsidTr="00030948">
        <w:trPr>
          <w:trHeight w:val="138"/>
        </w:trPr>
        <w:tc>
          <w:tcPr>
            <w:tcW w:w="911" w:type="dxa"/>
            <w:vAlign w:val="center"/>
          </w:tcPr>
          <w:p w14:paraId="5F3441A3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Sr. No.</w:t>
            </w:r>
          </w:p>
        </w:tc>
        <w:tc>
          <w:tcPr>
            <w:tcW w:w="2288" w:type="dxa"/>
            <w:vAlign w:val="center"/>
          </w:tcPr>
          <w:p w14:paraId="72C6F788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Observations</w:t>
            </w:r>
          </w:p>
        </w:tc>
        <w:tc>
          <w:tcPr>
            <w:tcW w:w="1150" w:type="dxa"/>
            <w:vAlign w:val="center"/>
          </w:tcPr>
          <w:p w14:paraId="56131D22" w14:textId="13646535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PCL</w:t>
            </w:r>
          </w:p>
        </w:tc>
        <w:tc>
          <w:tcPr>
            <w:tcW w:w="1100" w:type="dxa"/>
            <w:vAlign w:val="center"/>
          </w:tcPr>
          <w:p w14:paraId="6F4BD455" w14:textId="50B6DC96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PCL-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DNS</w:t>
            </w:r>
            <w:r w:rsidR="002A6F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-</w:t>
            </w: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0.5</w:t>
            </w:r>
          </w:p>
        </w:tc>
        <w:tc>
          <w:tcPr>
            <w:tcW w:w="1100" w:type="dxa"/>
            <w:vAlign w:val="center"/>
          </w:tcPr>
          <w:p w14:paraId="4B1DAFD9" w14:textId="293F3006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PCL-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DNS</w:t>
            </w:r>
            <w:r w:rsidR="002A6F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-</w:t>
            </w: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1</w:t>
            </w:r>
          </w:p>
        </w:tc>
        <w:tc>
          <w:tcPr>
            <w:tcW w:w="1100" w:type="dxa"/>
            <w:vAlign w:val="center"/>
          </w:tcPr>
          <w:p w14:paraId="4CEFF21F" w14:textId="09D5780B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PCL-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DNS</w:t>
            </w:r>
            <w:r w:rsidR="002A6F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-</w:t>
            </w: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2</w:t>
            </w:r>
          </w:p>
        </w:tc>
        <w:tc>
          <w:tcPr>
            <w:tcW w:w="1100" w:type="dxa"/>
            <w:vAlign w:val="center"/>
          </w:tcPr>
          <w:p w14:paraId="2C286462" w14:textId="1E0AB61E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PCL-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DNS</w:t>
            </w:r>
            <w:r w:rsidR="002A6F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-</w:t>
            </w:r>
            <w:r w:rsidRPr="00D626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IN" w:bidi="ml-IN"/>
              </w:rPr>
              <w:t>4</w:t>
            </w:r>
          </w:p>
        </w:tc>
      </w:tr>
      <w:tr w:rsidR="00030948" w:rsidRPr="00D62614" w14:paraId="3368047C" w14:textId="77777777" w:rsidTr="00030948">
        <w:trPr>
          <w:trHeight w:val="206"/>
        </w:trPr>
        <w:tc>
          <w:tcPr>
            <w:tcW w:w="911" w:type="dxa"/>
            <w:vAlign w:val="center"/>
          </w:tcPr>
          <w:p w14:paraId="2039352E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1</w:t>
            </w:r>
          </w:p>
        </w:tc>
        <w:tc>
          <w:tcPr>
            <w:tcW w:w="2288" w:type="dxa"/>
            <w:vAlign w:val="center"/>
            <w:hideMark/>
          </w:tcPr>
          <w:p w14:paraId="4DB9DC55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Fibroblasts</w:t>
            </w:r>
          </w:p>
        </w:tc>
        <w:tc>
          <w:tcPr>
            <w:tcW w:w="1150" w:type="dxa"/>
            <w:vAlign w:val="center"/>
          </w:tcPr>
          <w:p w14:paraId="6E4692AD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  <w:tc>
          <w:tcPr>
            <w:tcW w:w="1100" w:type="dxa"/>
            <w:vAlign w:val="center"/>
          </w:tcPr>
          <w:p w14:paraId="59912221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+++</w:t>
            </w:r>
          </w:p>
        </w:tc>
        <w:tc>
          <w:tcPr>
            <w:tcW w:w="1100" w:type="dxa"/>
            <w:vAlign w:val="center"/>
          </w:tcPr>
          <w:p w14:paraId="2FD72441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++++</w:t>
            </w:r>
          </w:p>
        </w:tc>
        <w:tc>
          <w:tcPr>
            <w:tcW w:w="1100" w:type="dxa"/>
            <w:vAlign w:val="center"/>
          </w:tcPr>
          <w:p w14:paraId="6B96AA67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+++</w:t>
            </w:r>
          </w:p>
        </w:tc>
        <w:tc>
          <w:tcPr>
            <w:tcW w:w="1100" w:type="dxa"/>
            <w:vAlign w:val="center"/>
          </w:tcPr>
          <w:p w14:paraId="0E1414A0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+++</w:t>
            </w:r>
          </w:p>
        </w:tc>
      </w:tr>
      <w:tr w:rsidR="00030948" w:rsidRPr="00D62614" w14:paraId="2ACE04C0" w14:textId="77777777" w:rsidTr="00030948">
        <w:trPr>
          <w:trHeight w:val="206"/>
        </w:trPr>
        <w:tc>
          <w:tcPr>
            <w:tcW w:w="911" w:type="dxa"/>
            <w:vAlign w:val="center"/>
          </w:tcPr>
          <w:p w14:paraId="3880D207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2</w:t>
            </w:r>
          </w:p>
        </w:tc>
        <w:tc>
          <w:tcPr>
            <w:tcW w:w="2288" w:type="dxa"/>
            <w:vAlign w:val="center"/>
          </w:tcPr>
          <w:p w14:paraId="41062D3C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Angiogenesis</w:t>
            </w:r>
          </w:p>
        </w:tc>
        <w:tc>
          <w:tcPr>
            <w:tcW w:w="1150" w:type="dxa"/>
            <w:vAlign w:val="center"/>
          </w:tcPr>
          <w:p w14:paraId="250236B5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</w:t>
            </w:r>
          </w:p>
        </w:tc>
        <w:tc>
          <w:tcPr>
            <w:tcW w:w="1100" w:type="dxa"/>
            <w:vAlign w:val="center"/>
          </w:tcPr>
          <w:p w14:paraId="5F5994FF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++++</w:t>
            </w:r>
          </w:p>
        </w:tc>
        <w:tc>
          <w:tcPr>
            <w:tcW w:w="1100" w:type="dxa"/>
            <w:vAlign w:val="center"/>
          </w:tcPr>
          <w:p w14:paraId="0AB5E736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+++</w:t>
            </w:r>
          </w:p>
        </w:tc>
        <w:tc>
          <w:tcPr>
            <w:tcW w:w="1100" w:type="dxa"/>
            <w:vAlign w:val="center"/>
          </w:tcPr>
          <w:p w14:paraId="7F73BDA8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+++</w:t>
            </w:r>
          </w:p>
        </w:tc>
        <w:tc>
          <w:tcPr>
            <w:tcW w:w="1100" w:type="dxa"/>
            <w:vAlign w:val="center"/>
          </w:tcPr>
          <w:p w14:paraId="163FDB55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++++</w:t>
            </w:r>
          </w:p>
        </w:tc>
      </w:tr>
      <w:tr w:rsidR="00030948" w:rsidRPr="00D62614" w14:paraId="40E52EBF" w14:textId="77777777" w:rsidTr="00030948">
        <w:trPr>
          <w:trHeight w:val="206"/>
        </w:trPr>
        <w:tc>
          <w:tcPr>
            <w:tcW w:w="911" w:type="dxa"/>
            <w:vAlign w:val="center"/>
          </w:tcPr>
          <w:p w14:paraId="3C990E6B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3</w:t>
            </w:r>
          </w:p>
        </w:tc>
        <w:tc>
          <w:tcPr>
            <w:tcW w:w="2288" w:type="dxa"/>
            <w:vAlign w:val="center"/>
          </w:tcPr>
          <w:p w14:paraId="56CB0273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Necrosis</w:t>
            </w:r>
          </w:p>
        </w:tc>
        <w:tc>
          <w:tcPr>
            <w:tcW w:w="1150" w:type="dxa"/>
            <w:vAlign w:val="center"/>
          </w:tcPr>
          <w:p w14:paraId="4529DEFA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4D350184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0587F368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4B919713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2B5D99E2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</w:tr>
      <w:tr w:rsidR="00030948" w:rsidRPr="00D62614" w14:paraId="3CDC1AC3" w14:textId="77777777" w:rsidTr="00030948">
        <w:trPr>
          <w:trHeight w:val="296"/>
        </w:trPr>
        <w:tc>
          <w:tcPr>
            <w:tcW w:w="911" w:type="dxa"/>
            <w:vAlign w:val="center"/>
          </w:tcPr>
          <w:p w14:paraId="333F1F58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4</w:t>
            </w:r>
          </w:p>
        </w:tc>
        <w:tc>
          <w:tcPr>
            <w:tcW w:w="2288" w:type="dxa"/>
            <w:vAlign w:val="center"/>
          </w:tcPr>
          <w:p w14:paraId="17A23129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Lymphocytes</w:t>
            </w:r>
          </w:p>
        </w:tc>
        <w:tc>
          <w:tcPr>
            <w:tcW w:w="1150" w:type="dxa"/>
            <w:vAlign w:val="center"/>
          </w:tcPr>
          <w:p w14:paraId="4444C298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++</w:t>
            </w:r>
          </w:p>
        </w:tc>
        <w:tc>
          <w:tcPr>
            <w:tcW w:w="1100" w:type="dxa"/>
            <w:vAlign w:val="center"/>
          </w:tcPr>
          <w:p w14:paraId="59F7D8D2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1445DD8A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  <w:tc>
          <w:tcPr>
            <w:tcW w:w="1100" w:type="dxa"/>
            <w:vAlign w:val="center"/>
          </w:tcPr>
          <w:p w14:paraId="5750A42A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4BB6BF77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</w:tr>
      <w:tr w:rsidR="00030948" w:rsidRPr="00D62614" w14:paraId="1475C860" w14:textId="77777777" w:rsidTr="00030948">
        <w:trPr>
          <w:trHeight w:val="170"/>
        </w:trPr>
        <w:tc>
          <w:tcPr>
            <w:tcW w:w="911" w:type="dxa"/>
            <w:vAlign w:val="center"/>
          </w:tcPr>
          <w:p w14:paraId="62FB7F35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5</w:t>
            </w:r>
          </w:p>
        </w:tc>
        <w:tc>
          <w:tcPr>
            <w:tcW w:w="2288" w:type="dxa"/>
            <w:vAlign w:val="center"/>
            <w:hideMark/>
          </w:tcPr>
          <w:p w14:paraId="654C0252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PMNs</w:t>
            </w:r>
          </w:p>
        </w:tc>
        <w:tc>
          <w:tcPr>
            <w:tcW w:w="1150" w:type="dxa"/>
            <w:vAlign w:val="center"/>
          </w:tcPr>
          <w:p w14:paraId="3001FD79" w14:textId="4873CED6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  <w:tc>
          <w:tcPr>
            <w:tcW w:w="1100" w:type="dxa"/>
            <w:vAlign w:val="center"/>
          </w:tcPr>
          <w:p w14:paraId="7AF038D0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6CC07DEB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2FAB920A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  <w:tc>
          <w:tcPr>
            <w:tcW w:w="1100" w:type="dxa"/>
            <w:vAlign w:val="center"/>
          </w:tcPr>
          <w:p w14:paraId="640E523D" w14:textId="0D97E372" w:rsidR="00030948" w:rsidRPr="00D62614" w:rsidRDefault="00243FAC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</w:tr>
      <w:tr w:rsidR="00030948" w:rsidRPr="00D62614" w14:paraId="65ABFB0D" w14:textId="77777777" w:rsidTr="00030948">
        <w:trPr>
          <w:trHeight w:val="197"/>
        </w:trPr>
        <w:tc>
          <w:tcPr>
            <w:tcW w:w="911" w:type="dxa"/>
            <w:vAlign w:val="center"/>
          </w:tcPr>
          <w:p w14:paraId="0594D907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6</w:t>
            </w:r>
          </w:p>
        </w:tc>
        <w:tc>
          <w:tcPr>
            <w:tcW w:w="2288" w:type="dxa"/>
            <w:vAlign w:val="center"/>
            <w:hideMark/>
          </w:tcPr>
          <w:p w14:paraId="3A56A654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Giant cells</w:t>
            </w:r>
          </w:p>
        </w:tc>
        <w:tc>
          <w:tcPr>
            <w:tcW w:w="1150" w:type="dxa"/>
            <w:vAlign w:val="center"/>
          </w:tcPr>
          <w:p w14:paraId="2937B49E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  <w:tc>
          <w:tcPr>
            <w:tcW w:w="1100" w:type="dxa"/>
            <w:vAlign w:val="center"/>
          </w:tcPr>
          <w:p w14:paraId="27456B8A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2D3B5105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579FF605" w14:textId="1E7A2103" w:rsidR="00030948" w:rsidRPr="00D62614" w:rsidRDefault="00080886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  <w:tc>
          <w:tcPr>
            <w:tcW w:w="1100" w:type="dxa"/>
            <w:vAlign w:val="center"/>
          </w:tcPr>
          <w:p w14:paraId="2EAE096A" w14:textId="6345E0E4" w:rsidR="00030948" w:rsidRPr="00D62614" w:rsidRDefault="00243FAC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</w:tr>
      <w:tr w:rsidR="00030948" w:rsidRPr="00D62614" w14:paraId="125BBD34" w14:textId="77777777" w:rsidTr="00030948">
        <w:trPr>
          <w:trHeight w:val="237"/>
        </w:trPr>
        <w:tc>
          <w:tcPr>
            <w:tcW w:w="911" w:type="dxa"/>
            <w:vAlign w:val="center"/>
          </w:tcPr>
          <w:p w14:paraId="11CB0FDF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7</w:t>
            </w:r>
          </w:p>
        </w:tc>
        <w:tc>
          <w:tcPr>
            <w:tcW w:w="2288" w:type="dxa"/>
            <w:vAlign w:val="center"/>
            <w:hideMark/>
          </w:tcPr>
          <w:p w14:paraId="362C91F0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Plasma cells</w:t>
            </w:r>
          </w:p>
        </w:tc>
        <w:tc>
          <w:tcPr>
            <w:tcW w:w="1150" w:type="dxa"/>
            <w:vAlign w:val="center"/>
          </w:tcPr>
          <w:p w14:paraId="66E7794E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+</w:t>
            </w:r>
          </w:p>
        </w:tc>
        <w:tc>
          <w:tcPr>
            <w:tcW w:w="1100" w:type="dxa"/>
            <w:vAlign w:val="center"/>
          </w:tcPr>
          <w:p w14:paraId="10869C43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17256CF7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11D2032B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  <w:tc>
          <w:tcPr>
            <w:tcW w:w="1100" w:type="dxa"/>
            <w:vAlign w:val="center"/>
          </w:tcPr>
          <w:p w14:paraId="40D04E61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-</w:t>
            </w:r>
          </w:p>
        </w:tc>
      </w:tr>
      <w:tr w:rsidR="00030948" w:rsidRPr="00D62614" w14:paraId="092CD1CC" w14:textId="77777777" w:rsidTr="00030948">
        <w:trPr>
          <w:trHeight w:val="159"/>
        </w:trPr>
        <w:tc>
          <w:tcPr>
            <w:tcW w:w="911" w:type="dxa"/>
            <w:vAlign w:val="center"/>
          </w:tcPr>
          <w:p w14:paraId="64761ED3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8</w:t>
            </w:r>
          </w:p>
        </w:tc>
        <w:tc>
          <w:tcPr>
            <w:tcW w:w="2288" w:type="dxa"/>
            <w:vAlign w:val="center"/>
          </w:tcPr>
          <w:p w14:paraId="22896191" w14:textId="66E02D5D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proofErr w:type="gramStart"/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Overall</w:t>
            </w:r>
            <w:proofErr w:type="gramEnd"/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 xml:space="preserve"> Tissue inflammation response</w:t>
            </w:r>
          </w:p>
        </w:tc>
        <w:tc>
          <w:tcPr>
            <w:tcW w:w="1150" w:type="dxa"/>
            <w:vAlign w:val="center"/>
          </w:tcPr>
          <w:p w14:paraId="0B70B425" w14:textId="18DEE2A6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Low</w:t>
            </w:r>
          </w:p>
        </w:tc>
        <w:tc>
          <w:tcPr>
            <w:tcW w:w="1100" w:type="dxa"/>
            <w:vAlign w:val="center"/>
          </w:tcPr>
          <w:p w14:paraId="25C15C60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Low</w:t>
            </w:r>
          </w:p>
        </w:tc>
        <w:tc>
          <w:tcPr>
            <w:tcW w:w="1100" w:type="dxa"/>
            <w:vAlign w:val="center"/>
          </w:tcPr>
          <w:p w14:paraId="0601A3C6" w14:textId="77777777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Low</w:t>
            </w:r>
          </w:p>
        </w:tc>
        <w:tc>
          <w:tcPr>
            <w:tcW w:w="1100" w:type="dxa"/>
            <w:vAlign w:val="center"/>
          </w:tcPr>
          <w:p w14:paraId="07F48EB1" w14:textId="1F6536C3" w:rsidR="00030948" w:rsidRPr="00D62614" w:rsidRDefault="00030948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 w:rsidRPr="00D62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Low-Moderate</w:t>
            </w:r>
          </w:p>
        </w:tc>
        <w:tc>
          <w:tcPr>
            <w:tcW w:w="1100" w:type="dxa"/>
            <w:vAlign w:val="center"/>
          </w:tcPr>
          <w:p w14:paraId="4C12D2C6" w14:textId="0799EF24" w:rsidR="00030948" w:rsidRPr="00D62614" w:rsidRDefault="00243FAC" w:rsidP="00D626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 w:bidi="ml-IN"/>
              </w:rPr>
              <w:t>Low-Moderate</w:t>
            </w:r>
          </w:p>
        </w:tc>
      </w:tr>
    </w:tbl>
    <w:p w14:paraId="4C11BAB3" w14:textId="77777777" w:rsidR="00A03607" w:rsidRPr="00D62614" w:rsidRDefault="00A03607" w:rsidP="00D6261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B1C5AC" w14:textId="2B48F818" w:rsidR="00F2177C" w:rsidRPr="00D62614" w:rsidRDefault="00F2177C" w:rsidP="00D62614">
      <w:pPr>
        <w:shd w:val="clear" w:color="auto" w:fill="FFFFFF"/>
        <w:spacing w:after="270" w:line="270" w:lineRule="atLeast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</w:p>
    <w:sectPr w:rsidR="00F2177C" w:rsidRPr="00D626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07067"/>
    <w:multiLevelType w:val="hybridMultilevel"/>
    <w:tmpl w:val="D38882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B2820"/>
    <w:multiLevelType w:val="multilevel"/>
    <w:tmpl w:val="249CB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C4793E"/>
    <w:multiLevelType w:val="hybridMultilevel"/>
    <w:tmpl w:val="1E5E52AA"/>
    <w:lvl w:ilvl="0" w:tplc="A2DA1DF6">
      <w:start w:val="1"/>
      <w:numFmt w:val="decimal"/>
      <w:pStyle w:val="RSCR02References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AE6EBC"/>
    <w:multiLevelType w:val="hybridMultilevel"/>
    <w:tmpl w:val="DD907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341550">
    <w:abstractNumId w:val="2"/>
  </w:num>
  <w:num w:numId="2" w16cid:durableId="1690906808">
    <w:abstractNumId w:val="3"/>
  </w:num>
  <w:num w:numId="3" w16cid:durableId="1945843150">
    <w:abstractNumId w:val="0"/>
  </w:num>
  <w:num w:numId="4" w16cid:durableId="1997029141">
    <w:abstractNumId w:val="1"/>
  </w:num>
  <w:num w:numId="5" w16cid:durableId="1622097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WxsDSxMDS1NDAwMzdW0lEKTi0uzszPAykwrAUAFmTGGiwAAAA="/>
  </w:docVars>
  <w:rsids>
    <w:rsidRoot w:val="00A03607"/>
    <w:rsid w:val="00030948"/>
    <w:rsid w:val="000318F8"/>
    <w:rsid w:val="00080886"/>
    <w:rsid w:val="000971EC"/>
    <w:rsid w:val="000B3033"/>
    <w:rsid w:val="00243FAC"/>
    <w:rsid w:val="0028388D"/>
    <w:rsid w:val="002A454D"/>
    <w:rsid w:val="002A6F58"/>
    <w:rsid w:val="002C2415"/>
    <w:rsid w:val="002C5B27"/>
    <w:rsid w:val="004603FF"/>
    <w:rsid w:val="004745B4"/>
    <w:rsid w:val="0064366C"/>
    <w:rsid w:val="006E640B"/>
    <w:rsid w:val="00840246"/>
    <w:rsid w:val="00876FA0"/>
    <w:rsid w:val="008E390F"/>
    <w:rsid w:val="009B302A"/>
    <w:rsid w:val="00A0111A"/>
    <w:rsid w:val="00A03607"/>
    <w:rsid w:val="00A10E81"/>
    <w:rsid w:val="00A86FF5"/>
    <w:rsid w:val="00B02565"/>
    <w:rsid w:val="00B61A86"/>
    <w:rsid w:val="00BF04CC"/>
    <w:rsid w:val="00CF0A41"/>
    <w:rsid w:val="00D25E7B"/>
    <w:rsid w:val="00D62614"/>
    <w:rsid w:val="00F2177C"/>
    <w:rsid w:val="00F9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03F1B"/>
  <w15:chartTrackingRefBased/>
  <w15:docId w15:val="{3222F6DF-7744-4B04-AC91-A58BE7E38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US" w:eastAsia="en-US" w:bidi="m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3607"/>
    <w:pPr>
      <w:spacing w:after="0" w:line="240" w:lineRule="auto"/>
    </w:pPr>
    <w:rPr>
      <w:szCs w:val="22"/>
      <w:lang w:val="en-IN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SCR02References">
    <w:name w:val="RSC R02 References"/>
    <w:basedOn w:val="Normal"/>
    <w:link w:val="RSCR02ReferencesChar"/>
    <w:qFormat/>
    <w:rsid w:val="00B02565"/>
    <w:pPr>
      <w:numPr>
        <w:numId w:val="1"/>
      </w:numPr>
      <w:spacing w:after="0" w:line="200" w:lineRule="exact"/>
      <w:ind w:left="284" w:hanging="284"/>
      <w:jc w:val="both"/>
    </w:pPr>
    <w:rPr>
      <w:rFonts w:cs="Times New Roman"/>
      <w:w w:val="105"/>
      <w:sz w:val="18"/>
      <w:szCs w:val="18"/>
      <w:lang w:val="en-GB" w:bidi="ar-SA"/>
    </w:rPr>
  </w:style>
  <w:style w:type="character" w:customStyle="1" w:styleId="RSCR02ReferencesChar">
    <w:name w:val="RSC R02 References Char"/>
    <w:basedOn w:val="DefaultParagraphFont"/>
    <w:link w:val="RSCR02References"/>
    <w:rsid w:val="00B02565"/>
    <w:rPr>
      <w:rFonts w:cs="Times New Roman"/>
      <w:w w:val="105"/>
      <w:sz w:val="18"/>
      <w:szCs w:val="18"/>
      <w:lang w:val="en-GB" w:bidi="ar-SA"/>
    </w:rPr>
  </w:style>
  <w:style w:type="character" w:customStyle="1" w:styleId="order">
    <w:name w:val="order"/>
    <w:basedOn w:val="DefaultParagraphFont"/>
    <w:rsid w:val="00F2177C"/>
  </w:style>
  <w:style w:type="character" w:styleId="Hyperlink">
    <w:name w:val="Hyperlink"/>
    <w:basedOn w:val="DefaultParagraphFont"/>
    <w:uiPriority w:val="99"/>
    <w:semiHidden/>
    <w:unhideWhenUsed/>
    <w:rsid w:val="00F2177C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217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177C"/>
    <w:pPr>
      <w:spacing w:line="240" w:lineRule="auto"/>
    </w:pPr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177C"/>
    <w:rPr>
      <w:rFonts w:cs="Mangal"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17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177C"/>
    <w:rPr>
      <w:rFonts w:cs="Mangal"/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8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E3932-AB7F-49D6-BDF5-4AC6FF694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Yogesh Dalvi</dc:creator>
  <cp:keywords/>
  <dc:description/>
  <cp:lastModifiedBy>Augustine, Robin</cp:lastModifiedBy>
  <cp:revision>23</cp:revision>
  <dcterms:created xsi:type="dcterms:W3CDTF">2022-01-01T08:43:00Z</dcterms:created>
  <dcterms:modified xsi:type="dcterms:W3CDTF">2022-06-13T00:20:00Z</dcterms:modified>
</cp:coreProperties>
</file>