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22954B" w14:textId="34FED38B" w:rsidR="00EB4703" w:rsidRDefault="00EB4703" w:rsidP="00DF2F66">
      <w:pPr>
        <w:pStyle w:val="Heading1"/>
        <w:numPr>
          <w:ilvl w:val="0"/>
          <w:numId w:val="0"/>
        </w:numPr>
        <w:ind w:left="432" w:hanging="432"/>
        <w:jc w:val="center"/>
      </w:pPr>
      <w:r w:rsidRPr="00B02C4F">
        <w:rPr>
          <w:highlight w:val="yellow"/>
        </w:rPr>
        <w:t>Appendix A</w:t>
      </w:r>
      <w:r w:rsidR="009F697D" w:rsidRPr="00B02C4F">
        <w:rPr>
          <w:highlight w:val="yellow"/>
        </w:rPr>
        <w:t xml:space="preserve"> </w:t>
      </w:r>
      <w:proofErr w:type="gramStart"/>
      <w:r w:rsidR="009F697D" w:rsidRPr="00B02C4F">
        <w:rPr>
          <w:highlight w:val="yellow"/>
        </w:rPr>
        <w:t>-  Grid</w:t>
      </w:r>
      <w:proofErr w:type="gramEnd"/>
      <w:r w:rsidR="009F697D" w:rsidRPr="00B02C4F">
        <w:rPr>
          <w:highlight w:val="yellow"/>
        </w:rPr>
        <w:t xml:space="preserve"> Study</w:t>
      </w:r>
    </w:p>
    <w:p w14:paraId="52178956" w14:textId="77777777" w:rsidR="00DF2F66" w:rsidRPr="00DF2F66" w:rsidRDefault="00DF2F66" w:rsidP="00DF2F66"/>
    <w:p w14:paraId="78C65F45" w14:textId="1AFA0F89" w:rsidR="00EB4703" w:rsidRDefault="004F7A10" w:rsidP="00647CF9">
      <w:pPr>
        <w:tabs>
          <w:tab w:val="left" w:pos="747"/>
        </w:tabs>
        <w:spacing w:line="480" w:lineRule="auto"/>
        <w:jc w:val="both"/>
        <w:rPr>
          <w:rFonts w:asciiTheme="majorBidi" w:hAnsiTheme="majorBidi" w:cstheme="majorBidi"/>
          <w:lang w:val="en-AU"/>
        </w:rPr>
      </w:pPr>
      <w:r>
        <w:rPr>
          <w:rFonts w:asciiTheme="majorBidi" w:hAnsiTheme="majorBidi" w:cstheme="majorBidi"/>
          <w:lang w:val="en-AU"/>
        </w:rPr>
        <w:t xml:space="preserve">A grid independent study </w:t>
      </w:r>
      <w:r w:rsidR="00DF2F66">
        <w:rPr>
          <w:rFonts w:asciiTheme="majorBidi" w:hAnsiTheme="majorBidi" w:cstheme="majorBidi"/>
          <w:lang w:val="en-AU"/>
        </w:rPr>
        <w:t>was</w:t>
      </w:r>
      <w:r>
        <w:rPr>
          <w:rFonts w:asciiTheme="majorBidi" w:hAnsiTheme="majorBidi" w:cstheme="majorBidi"/>
          <w:lang w:val="en-AU"/>
        </w:rPr>
        <w:t xml:space="preserve"> performed to determine an adequate mesh size </w:t>
      </w:r>
      <w:r w:rsidR="00C51875">
        <w:rPr>
          <w:rFonts w:asciiTheme="majorBidi" w:hAnsiTheme="majorBidi" w:cstheme="majorBidi"/>
          <w:lang w:val="en-AU"/>
        </w:rPr>
        <w:t>for</w:t>
      </w:r>
      <w:r>
        <w:rPr>
          <w:rFonts w:asciiTheme="majorBidi" w:hAnsiTheme="majorBidi" w:cstheme="majorBidi"/>
          <w:lang w:val="en-AU"/>
        </w:rPr>
        <w:t xml:space="preserve"> validation of the </w:t>
      </w:r>
      <w:r w:rsidR="00C51875">
        <w:rPr>
          <w:rFonts w:asciiTheme="majorBidi" w:hAnsiTheme="majorBidi" w:cstheme="majorBidi"/>
          <w:lang w:val="en-AU"/>
        </w:rPr>
        <w:t xml:space="preserve">numerical </w:t>
      </w:r>
      <w:r>
        <w:rPr>
          <w:rFonts w:asciiTheme="majorBidi" w:hAnsiTheme="majorBidi" w:cstheme="majorBidi"/>
          <w:lang w:val="en-AU"/>
        </w:rPr>
        <w:t xml:space="preserve">results </w:t>
      </w:r>
      <w:r w:rsidR="00C51875">
        <w:rPr>
          <w:rFonts w:asciiTheme="majorBidi" w:hAnsiTheme="majorBidi" w:cstheme="majorBidi"/>
          <w:lang w:val="en-AU"/>
        </w:rPr>
        <w:t>with the</w:t>
      </w:r>
      <w:r>
        <w:rPr>
          <w:rFonts w:asciiTheme="majorBidi" w:hAnsiTheme="majorBidi" w:cstheme="majorBidi"/>
          <w:lang w:val="en-AU"/>
        </w:rPr>
        <w:t xml:space="preserve"> lowest computational cost. As described in Section 4, the </w:t>
      </w:r>
      <w:r w:rsidR="00C51875">
        <w:rPr>
          <w:rFonts w:asciiTheme="majorBidi" w:hAnsiTheme="majorBidi" w:cstheme="majorBidi"/>
          <w:lang w:val="en-AU"/>
        </w:rPr>
        <w:t xml:space="preserve">prime </w:t>
      </w:r>
      <w:r>
        <w:rPr>
          <w:rFonts w:asciiTheme="majorBidi" w:hAnsiTheme="majorBidi" w:cstheme="majorBidi"/>
          <w:lang w:val="en-AU"/>
        </w:rPr>
        <w:t xml:space="preserve">numerical </w:t>
      </w:r>
      <w:r w:rsidR="004A777D">
        <w:rPr>
          <w:rFonts w:asciiTheme="majorBidi" w:hAnsiTheme="majorBidi" w:cstheme="majorBidi"/>
          <w:lang w:val="en-AU"/>
        </w:rPr>
        <w:t>output from the model</w:t>
      </w:r>
      <w:r>
        <w:rPr>
          <w:rFonts w:asciiTheme="majorBidi" w:hAnsiTheme="majorBidi" w:cstheme="majorBidi"/>
          <w:lang w:val="en-AU"/>
        </w:rPr>
        <w:t xml:space="preserve"> </w:t>
      </w:r>
      <w:r w:rsidR="00C51875">
        <w:rPr>
          <w:rFonts w:asciiTheme="majorBidi" w:hAnsiTheme="majorBidi" w:cstheme="majorBidi"/>
          <w:lang w:val="en-AU"/>
        </w:rPr>
        <w:t>was</w:t>
      </w:r>
      <w:r w:rsidR="004A777D">
        <w:rPr>
          <w:rFonts w:asciiTheme="majorBidi" w:hAnsiTheme="majorBidi" w:cstheme="majorBidi"/>
          <w:lang w:val="en-AU"/>
        </w:rPr>
        <w:t xml:space="preserve"> the volume fraction at different locations in the ground domain between the </w:t>
      </w:r>
      <w:r w:rsidR="00C51875">
        <w:rPr>
          <w:rFonts w:asciiTheme="majorBidi" w:hAnsiTheme="majorBidi" w:cstheme="majorBidi"/>
          <w:lang w:val="en-AU"/>
        </w:rPr>
        <w:t xml:space="preserve">pipeline </w:t>
      </w:r>
      <w:r w:rsidR="004A777D">
        <w:rPr>
          <w:rFonts w:asciiTheme="majorBidi" w:hAnsiTheme="majorBidi" w:cstheme="majorBidi"/>
          <w:lang w:val="en-AU"/>
        </w:rPr>
        <w:t>hole and the atmosphere</w:t>
      </w:r>
      <w:r w:rsidR="00C51875">
        <w:rPr>
          <w:rFonts w:asciiTheme="majorBidi" w:hAnsiTheme="majorBidi" w:cstheme="majorBidi"/>
          <w:lang w:val="en-AU"/>
        </w:rPr>
        <w:t xml:space="preserve"> interphase</w:t>
      </w:r>
      <w:r w:rsidR="004A777D">
        <w:rPr>
          <w:rFonts w:asciiTheme="majorBidi" w:hAnsiTheme="majorBidi" w:cstheme="majorBidi"/>
          <w:lang w:val="en-AU"/>
        </w:rPr>
        <w:t xml:space="preserve">. Hence, the grid independent analysis was performed by refining the mesh until the variations in the volume fraction at </w:t>
      </w:r>
      <w:r w:rsidR="00C51875">
        <w:rPr>
          <w:rFonts w:asciiTheme="majorBidi" w:hAnsiTheme="majorBidi" w:cstheme="majorBidi"/>
          <w:lang w:val="en-AU"/>
        </w:rPr>
        <w:t>five</w:t>
      </w:r>
      <w:r w:rsidR="004A777D">
        <w:rPr>
          <w:rFonts w:asciiTheme="majorBidi" w:hAnsiTheme="majorBidi" w:cstheme="majorBidi"/>
          <w:lang w:val="en-AU"/>
        </w:rPr>
        <w:t xml:space="preserve"> points in the ground domain </w:t>
      </w:r>
      <w:r w:rsidR="00C51875">
        <w:rPr>
          <w:rFonts w:asciiTheme="majorBidi" w:hAnsiTheme="majorBidi" w:cstheme="majorBidi"/>
          <w:lang w:val="en-AU"/>
        </w:rPr>
        <w:t>were</w:t>
      </w:r>
      <w:r w:rsidR="004A777D">
        <w:rPr>
          <w:rFonts w:asciiTheme="majorBidi" w:hAnsiTheme="majorBidi" w:cstheme="majorBidi"/>
          <w:lang w:val="en-AU"/>
        </w:rPr>
        <w:t xml:space="preserve"> negligible</w:t>
      </w:r>
      <w:r w:rsidR="00C51875">
        <w:rPr>
          <w:rFonts w:asciiTheme="majorBidi" w:hAnsiTheme="majorBidi" w:cstheme="majorBidi"/>
          <w:lang w:val="en-AU"/>
        </w:rPr>
        <w:t xml:space="preserve"> </w:t>
      </w:r>
      <w:r w:rsidR="00EB4703">
        <w:rPr>
          <w:rFonts w:asciiTheme="majorBidi" w:hAnsiTheme="majorBidi" w:cstheme="majorBidi"/>
          <w:lang w:val="en-AU"/>
        </w:rPr>
        <w:t>(Fig</w:t>
      </w:r>
      <w:r w:rsidR="003F435B">
        <w:rPr>
          <w:rFonts w:asciiTheme="majorBidi" w:hAnsiTheme="majorBidi" w:cstheme="majorBidi"/>
          <w:lang w:val="en-AU"/>
        </w:rPr>
        <w:t>.</w:t>
      </w:r>
      <w:r w:rsidR="00EB4703">
        <w:rPr>
          <w:rFonts w:asciiTheme="majorBidi" w:hAnsiTheme="majorBidi" w:cstheme="majorBidi"/>
          <w:lang w:val="en-AU"/>
        </w:rPr>
        <w:t xml:space="preserve"> </w:t>
      </w:r>
      <w:r w:rsidR="00DD71B9">
        <w:rPr>
          <w:rFonts w:asciiTheme="majorBidi" w:hAnsiTheme="majorBidi" w:cstheme="majorBidi"/>
          <w:lang w:val="en-AU"/>
        </w:rPr>
        <w:t>A.1</w:t>
      </w:r>
      <w:r w:rsidR="00EB4703">
        <w:rPr>
          <w:rFonts w:asciiTheme="majorBidi" w:hAnsiTheme="majorBidi" w:cstheme="majorBidi"/>
          <w:lang w:val="en-AU"/>
        </w:rPr>
        <w:t>)</w:t>
      </w:r>
      <w:r w:rsidR="00EB4703" w:rsidRPr="00FB3BE6">
        <w:rPr>
          <w:rFonts w:asciiTheme="majorBidi" w:hAnsiTheme="majorBidi" w:cstheme="majorBidi"/>
          <w:lang w:val="en-AU"/>
        </w:rPr>
        <w:t xml:space="preserve">: in the vicinity of the hole (near hole location), near the atmosphere (surface point), </w:t>
      </w:r>
      <w:r w:rsidR="00EB4703">
        <w:rPr>
          <w:rFonts w:asciiTheme="majorBidi" w:hAnsiTheme="majorBidi" w:cstheme="majorBidi"/>
          <w:lang w:val="en-AU"/>
        </w:rPr>
        <w:t>a point situated in the ground</w:t>
      </w:r>
      <w:r w:rsidR="00EB4703" w:rsidRPr="00FB3BE6">
        <w:rPr>
          <w:rFonts w:asciiTheme="majorBidi" w:hAnsiTheme="majorBidi" w:cstheme="majorBidi"/>
          <w:lang w:val="en-AU"/>
        </w:rPr>
        <w:t xml:space="preserve"> between the </w:t>
      </w:r>
      <w:r w:rsidR="00EB4703">
        <w:rPr>
          <w:rFonts w:asciiTheme="majorBidi" w:hAnsiTheme="majorBidi" w:cstheme="majorBidi"/>
          <w:lang w:val="en-AU"/>
        </w:rPr>
        <w:t>hole</w:t>
      </w:r>
      <w:r w:rsidR="00EB4703" w:rsidRPr="00FB3BE6">
        <w:rPr>
          <w:rFonts w:asciiTheme="majorBidi" w:hAnsiTheme="majorBidi" w:cstheme="majorBidi"/>
          <w:lang w:val="en-AU"/>
        </w:rPr>
        <w:t xml:space="preserve"> and atmosphere (subsurface location), to the left and right corner</w:t>
      </w:r>
      <w:r w:rsidR="00EB4703">
        <w:rPr>
          <w:rFonts w:asciiTheme="majorBidi" w:hAnsiTheme="majorBidi" w:cstheme="majorBidi"/>
          <w:lang w:val="en-AU"/>
        </w:rPr>
        <w:t>s</w:t>
      </w:r>
      <w:r w:rsidR="00EB4703" w:rsidRPr="00FB3BE6">
        <w:rPr>
          <w:rFonts w:asciiTheme="majorBidi" w:hAnsiTheme="majorBidi" w:cstheme="majorBidi"/>
          <w:lang w:val="en-AU"/>
        </w:rPr>
        <w:t xml:space="preserve"> of the soil (left</w:t>
      </w:r>
      <w:r w:rsidR="00EB4703">
        <w:rPr>
          <w:rFonts w:asciiTheme="majorBidi" w:hAnsiTheme="majorBidi" w:cstheme="majorBidi"/>
          <w:lang w:val="en-AU"/>
        </w:rPr>
        <w:t xml:space="preserve"> subsurface location</w:t>
      </w:r>
      <w:r w:rsidR="00EB4703" w:rsidRPr="00FB3BE6">
        <w:rPr>
          <w:rFonts w:asciiTheme="majorBidi" w:hAnsiTheme="majorBidi" w:cstheme="majorBidi"/>
          <w:lang w:val="en-AU"/>
        </w:rPr>
        <w:t xml:space="preserve"> and right subsurface location, respectively).</w:t>
      </w:r>
      <w:r w:rsidR="00EB4703">
        <w:rPr>
          <w:rFonts w:asciiTheme="majorBidi" w:hAnsiTheme="majorBidi" w:cstheme="majorBidi"/>
          <w:lang w:val="en-AU"/>
        </w:rPr>
        <w:t xml:space="preserve"> The mass flow rate was evaluated at the ground level for additional </w:t>
      </w:r>
      <w:r w:rsidR="00647CF9">
        <w:rPr>
          <w:rFonts w:asciiTheme="majorBidi" w:hAnsiTheme="majorBidi" w:cstheme="majorBidi"/>
          <w:lang w:val="en-AU"/>
        </w:rPr>
        <w:t>justification of the selected mesh.</w:t>
      </w:r>
    </w:p>
    <w:p w14:paraId="6D41D22D" w14:textId="77777777" w:rsidR="00EB4703" w:rsidRDefault="00EB4703" w:rsidP="00EB4703">
      <w:pPr>
        <w:keepNext/>
        <w:tabs>
          <w:tab w:val="left" w:pos="747"/>
        </w:tabs>
        <w:jc w:val="center"/>
      </w:pPr>
      <w:r w:rsidRPr="00A86353">
        <w:rPr>
          <w:rFonts w:asciiTheme="majorBidi" w:hAnsiTheme="majorBidi" w:cstheme="majorBidi"/>
          <w:noProof/>
        </w:rPr>
        <w:drawing>
          <wp:inline distT="0" distB="0" distL="0" distR="0" wp14:anchorId="4D5F55B1" wp14:editId="5D674F4D">
            <wp:extent cx="4126369" cy="2508885"/>
            <wp:effectExtent l="0" t="0" r="7620" b="5715"/>
            <wp:docPr id="7" name="Graphic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0510" cy="2511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8E8C9" w14:textId="2259F25F" w:rsidR="00EB4703" w:rsidRDefault="00EB4703" w:rsidP="00EB4703">
      <w:pPr>
        <w:pStyle w:val="Caption"/>
      </w:pPr>
      <w:r>
        <w:t xml:space="preserve">Fig </w:t>
      </w:r>
      <w:r w:rsidR="00DD71B9">
        <w:t>A.1</w:t>
      </w:r>
      <w:r>
        <w:t>. Monitoring locations to evaluate the volume fraction</w:t>
      </w:r>
    </w:p>
    <w:p w14:paraId="697711CD" w14:textId="3E5368B3" w:rsidR="00EB4703" w:rsidRDefault="00EB4703" w:rsidP="003C5B33">
      <w:pPr>
        <w:spacing w:line="480" w:lineRule="auto"/>
        <w:jc w:val="both"/>
      </w:pPr>
      <w:r>
        <w:t>Three meshes are reported in the mesh analysis from the coarsest to the finest entitled refinement #0</w:t>
      </w:r>
      <w:r w:rsidR="007B4CF5">
        <w:t xml:space="preserve"> (</w:t>
      </w:r>
      <w:r w:rsidR="007B4CF5" w:rsidRPr="00FD2E01">
        <w:t>870</w:t>
      </w:r>
      <w:r w:rsidR="007B4CF5">
        <w:t>,</w:t>
      </w:r>
      <w:r w:rsidR="007B4CF5" w:rsidRPr="00FD2E01">
        <w:t>942</w:t>
      </w:r>
      <w:r w:rsidR="007B4CF5">
        <w:t xml:space="preserve"> elements)</w:t>
      </w:r>
      <w:r>
        <w:t>, refinement #1</w:t>
      </w:r>
      <w:r w:rsidR="007B4CF5">
        <w:t xml:space="preserve"> (</w:t>
      </w:r>
      <w:r w:rsidR="007B4CF5" w:rsidRPr="00FD2E01">
        <w:t>1</w:t>
      </w:r>
      <w:r w:rsidR="007B4CF5">
        <w:t>,</w:t>
      </w:r>
      <w:r w:rsidR="007B4CF5" w:rsidRPr="00FD2E01">
        <w:t>402</w:t>
      </w:r>
      <w:r w:rsidR="007B4CF5">
        <w:t>,</w:t>
      </w:r>
      <w:r w:rsidR="007B4CF5" w:rsidRPr="00FD2E01">
        <w:t>326</w:t>
      </w:r>
      <w:r w:rsidR="007B4CF5">
        <w:t xml:space="preserve"> elements)</w:t>
      </w:r>
      <w:r>
        <w:t xml:space="preserve"> and refinement #2</w:t>
      </w:r>
      <w:r w:rsidR="007B4CF5">
        <w:t xml:space="preserve"> (</w:t>
      </w:r>
      <w:r w:rsidR="007B4CF5" w:rsidRPr="00FD2E01">
        <w:t>2</w:t>
      </w:r>
      <w:r w:rsidR="007B4CF5">
        <w:t>,</w:t>
      </w:r>
      <w:r w:rsidR="007B4CF5" w:rsidRPr="00FD2E01">
        <w:t>365</w:t>
      </w:r>
      <w:r w:rsidR="007B4CF5">
        <w:t>,</w:t>
      </w:r>
      <w:r w:rsidR="007B4CF5" w:rsidRPr="00FD2E01">
        <w:t>353</w:t>
      </w:r>
      <w:r w:rsidR="007B4CF5">
        <w:t xml:space="preserve"> elements)</w:t>
      </w:r>
      <w:r>
        <w:t>. The meshes were tested at two pressures of 15 bar (Fig</w:t>
      </w:r>
      <w:r w:rsidR="003F435B">
        <w:t>.</w:t>
      </w:r>
      <w:r>
        <w:t xml:space="preserve"> </w:t>
      </w:r>
      <w:r w:rsidR="003F435B">
        <w:t>A.2</w:t>
      </w:r>
      <w:r>
        <w:t>a) and 40 bar (Fig</w:t>
      </w:r>
      <w:r w:rsidR="003F435B">
        <w:t>. A.2</w:t>
      </w:r>
      <w:r>
        <w:t>b).</w:t>
      </w:r>
      <w:r w:rsidR="002E6718">
        <w:t xml:space="preserve"> </w:t>
      </w:r>
    </w:p>
    <w:p w14:paraId="17F2DAD0" w14:textId="1DC14AC8" w:rsidR="00EB4703" w:rsidRDefault="00EB4703" w:rsidP="00B205F2">
      <w:pPr>
        <w:spacing w:line="480" w:lineRule="auto"/>
        <w:jc w:val="both"/>
      </w:pPr>
      <w:r>
        <w:lastRenderedPageBreak/>
        <w:t xml:space="preserve">As shown </w:t>
      </w:r>
      <w:r w:rsidR="00DD71B9">
        <w:t>in</w:t>
      </w:r>
      <w:r>
        <w:t xml:space="preserve"> Fig</w:t>
      </w:r>
      <w:r w:rsidR="003F435B">
        <w:t>.</w:t>
      </w:r>
      <w:r>
        <w:t xml:space="preserve"> </w:t>
      </w:r>
      <w:r w:rsidR="00DD71B9">
        <w:t>A.2</w:t>
      </w:r>
      <w:r>
        <w:t xml:space="preserve">, </w:t>
      </w:r>
      <w:r w:rsidR="00C51875">
        <w:t xml:space="preserve">while refinements #1 and #2 agree both in trend and values at all locations, </w:t>
      </w:r>
      <w:r>
        <w:t xml:space="preserve">the coarsest mesh </w:t>
      </w:r>
      <w:r w:rsidR="0056567A">
        <w:t xml:space="preserve">yields some discrepancies </w:t>
      </w:r>
      <w:r w:rsidR="00C51875">
        <w:t>in a few locations.</w:t>
      </w:r>
      <w:r>
        <w:t xml:space="preserve"> </w:t>
      </w:r>
      <w:r w:rsidR="00C51875">
        <w:t>T</w:t>
      </w:r>
      <w:r w:rsidR="007B25D0">
        <w:t xml:space="preserve">he average error between the results from refinement </w:t>
      </w:r>
      <w:r w:rsidR="00C51875">
        <w:t>#</w:t>
      </w:r>
      <w:r w:rsidR="007B25D0">
        <w:t xml:space="preserve">1 and refinement </w:t>
      </w:r>
      <w:r w:rsidR="00C51875">
        <w:t>#</w:t>
      </w:r>
      <w:r w:rsidR="007B25D0">
        <w:t xml:space="preserve">2 </w:t>
      </w:r>
      <w:r w:rsidR="006C69E0">
        <w:t>was</w:t>
      </w:r>
      <w:r w:rsidR="007B25D0">
        <w:t xml:space="preserve"> </w:t>
      </w:r>
      <w:r w:rsidR="006C69E0">
        <w:t>acceptable</w:t>
      </w:r>
      <w:r w:rsidR="00B205F2">
        <w:t xml:space="preserve"> </w:t>
      </w:r>
      <w:r w:rsidR="006C69E0">
        <w:t xml:space="preserve">and </w:t>
      </w:r>
      <w:r w:rsidR="00B205F2">
        <w:t xml:space="preserve">within </w:t>
      </w:r>
      <w:r w:rsidR="006C69E0">
        <w:t>the experimental</w:t>
      </w:r>
      <w:r w:rsidR="00B205F2">
        <w:t xml:space="preserve"> error margin</w:t>
      </w:r>
      <w:r w:rsidR="007B25D0">
        <w:t xml:space="preserve">. </w:t>
      </w:r>
      <w:r w:rsidR="00C615C9">
        <w:t>In particular, the average error for the 15 bar was around 11% (</w:t>
      </w:r>
      <w:bookmarkStart w:id="0" w:name="_Hlk110238599"/>
      <w:r w:rsidR="00C615C9">
        <w:t>3% - 7% for the locations above the hole, and ~20% for the left and right edges of the domain</w:t>
      </w:r>
      <w:bookmarkEnd w:id="0"/>
      <w:r w:rsidR="00C615C9">
        <w:t xml:space="preserve">), </w:t>
      </w:r>
      <w:bookmarkStart w:id="1" w:name="_Hlk110238617"/>
      <w:r w:rsidR="00C615C9">
        <w:t>and around 2% for the 40 bar (with no significant variations among the different locations)</w:t>
      </w:r>
      <w:bookmarkEnd w:id="1"/>
      <w:r w:rsidR="00C615C9">
        <w:t xml:space="preserve">. </w:t>
      </w:r>
      <w:r w:rsidR="006C69E0">
        <w:t>Therefore, the mesh of refinement #2 was considered for determining the results reported herein, as the more accurate and computationally affordable with the available resources.</w:t>
      </w:r>
      <w:r w:rsidR="006C69E0" w:rsidRPr="00B205F2">
        <w:t xml:space="preserve"> </w:t>
      </w:r>
      <w:r w:rsidR="006C69E0">
        <w:t xml:space="preserve">Note that simulations with a </w:t>
      </w:r>
      <w:r w:rsidR="00DD71B9">
        <w:t>fourth</w:t>
      </w:r>
      <w:r w:rsidR="006C69E0">
        <w:t xml:space="preserve"> refinement of ~3.950 million elements </w:t>
      </w:r>
      <w:proofErr w:type="gramStart"/>
      <w:r w:rsidR="006C69E0">
        <w:t>was</w:t>
      </w:r>
      <w:proofErr w:type="gramEnd"/>
      <w:r w:rsidR="006C69E0">
        <w:t xml:space="preserve"> tested but required a simulation time of more than a few weeks, hence was discarded from the analysis.</w:t>
      </w:r>
    </w:p>
    <w:p w14:paraId="5AC12245" w14:textId="77777777" w:rsidR="00EB4703" w:rsidRDefault="00EB4703" w:rsidP="00EB4703">
      <w:pPr>
        <w:spacing w:line="480" w:lineRule="auto"/>
        <w:jc w:val="both"/>
      </w:pPr>
      <w:r w:rsidRPr="00DF1AD8">
        <w:rPr>
          <w:noProof/>
        </w:rPr>
        <w:drawing>
          <wp:inline distT="0" distB="0" distL="0" distR="0" wp14:anchorId="5F5A1B4E" wp14:editId="35A148BA">
            <wp:extent cx="5943600" cy="4152265"/>
            <wp:effectExtent l="0" t="0" r="0" b="635"/>
            <wp:docPr id="1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CA08F" w14:textId="77777777" w:rsidR="00EB4703" w:rsidRDefault="00EB4703" w:rsidP="00EB4703">
      <w:pPr>
        <w:spacing w:line="480" w:lineRule="auto"/>
        <w:jc w:val="center"/>
      </w:pPr>
      <w:r>
        <w:t>(a)</w:t>
      </w:r>
    </w:p>
    <w:p w14:paraId="1CB87295" w14:textId="77777777" w:rsidR="00EB4703" w:rsidRDefault="00EB4703" w:rsidP="00EB4703">
      <w:pPr>
        <w:pStyle w:val="Caption"/>
      </w:pPr>
      <w:r>
        <w:rPr>
          <w:noProof/>
        </w:rPr>
        <w:lastRenderedPageBreak/>
        <w:drawing>
          <wp:inline distT="0" distB="0" distL="0" distR="0" wp14:anchorId="2418D7A1" wp14:editId="6814F9D4">
            <wp:extent cx="5943600" cy="4117340"/>
            <wp:effectExtent l="0" t="0" r="0" b="0"/>
            <wp:docPr id="6" name="Graphic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1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06F6E" w14:textId="77777777" w:rsidR="00EB4703" w:rsidRPr="004D7FAB" w:rsidRDefault="00EB4703" w:rsidP="00EB4703">
      <w:pPr>
        <w:jc w:val="center"/>
      </w:pPr>
      <w:r>
        <w:t>(b)</w:t>
      </w:r>
    </w:p>
    <w:p w14:paraId="708FBCBA" w14:textId="44053ED1" w:rsidR="00EB4703" w:rsidRDefault="00EB4703" w:rsidP="00EB4703">
      <w:pPr>
        <w:pStyle w:val="Caption"/>
      </w:pPr>
      <w:r>
        <w:t>Fig</w:t>
      </w:r>
      <w:r w:rsidR="003F435B">
        <w:t>.</w:t>
      </w:r>
      <w:bookmarkStart w:id="2" w:name="_GoBack"/>
      <w:bookmarkEnd w:id="2"/>
      <w:r>
        <w:t xml:space="preserve"> </w:t>
      </w:r>
      <w:r w:rsidR="00DD71B9">
        <w:t>A.2</w:t>
      </w:r>
      <w:r>
        <w:t xml:space="preserve">. </w:t>
      </w:r>
      <w:r w:rsidRPr="0089512D">
        <w:t xml:space="preserve">Time-series of the release rate at the ground and the methane VF at the subsurface, surface, left subsurface, right subsurface and near hole locations for the different mesh refinement at </w:t>
      </w:r>
      <w:r>
        <w:t xml:space="preserve">(a) </w:t>
      </w:r>
      <w:r w:rsidRPr="0089512D">
        <w:t>15 bar</w:t>
      </w:r>
      <w:r>
        <w:t xml:space="preserve"> and (b) 40 bar</w:t>
      </w:r>
      <w:r w:rsidRPr="0089512D">
        <w:t>.</w:t>
      </w:r>
    </w:p>
    <w:p w14:paraId="5F3AE824" w14:textId="2D87EC74" w:rsidR="00B205F2" w:rsidRDefault="00B205F2" w:rsidP="00B205F2">
      <w:pPr>
        <w:spacing w:line="480" w:lineRule="auto"/>
        <w:jc w:val="both"/>
      </w:pPr>
    </w:p>
    <w:p w14:paraId="0B1B73C3" w14:textId="0025712C" w:rsidR="009F697D" w:rsidRDefault="009F697D">
      <w:pPr>
        <w:spacing w:line="259" w:lineRule="auto"/>
      </w:pPr>
      <w:r>
        <w:br w:type="page"/>
      </w:r>
    </w:p>
    <w:p w14:paraId="61403F94" w14:textId="77777777" w:rsidR="009F697D" w:rsidRDefault="009F697D" w:rsidP="009F697D">
      <w:pPr>
        <w:pStyle w:val="Heading1"/>
        <w:numPr>
          <w:ilvl w:val="0"/>
          <w:numId w:val="0"/>
        </w:numPr>
        <w:ind w:left="432" w:hanging="432"/>
        <w:jc w:val="center"/>
      </w:pPr>
      <w:r w:rsidRPr="00D5585E">
        <w:rPr>
          <w:highlight w:val="yellow"/>
        </w:rPr>
        <w:lastRenderedPageBreak/>
        <w:t>Appendix B – Mathematical multiphase model</w:t>
      </w:r>
    </w:p>
    <w:p w14:paraId="78D402CE" w14:textId="77777777" w:rsidR="009F697D" w:rsidRDefault="009F697D" w:rsidP="009F697D">
      <w:pPr>
        <w:rPr>
          <w:rFonts w:eastAsiaTheme="minorEastAsia"/>
          <w:szCs w:val="24"/>
        </w:rPr>
      </w:pPr>
      <w:r>
        <w:rPr>
          <w:rFonts w:eastAsiaTheme="minorEastAsia"/>
          <w:szCs w:val="24"/>
        </w:rPr>
        <w:t xml:space="preserve">The continuity equation for each phase </w:t>
      </w:r>
      <w:r w:rsidRPr="004D1D04">
        <w:rPr>
          <w:rFonts w:eastAsiaTheme="minorEastAsia"/>
          <w:i/>
          <w:iCs/>
          <w:szCs w:val="24"/>
        </w:rPr>
        <w:t>q</w:t>
      </w:r>
      <w:r>
        <w:rPr>
          <w:rFonts w:eastAsiaTheme="minorEastAsia"/>
          <w:szCs w:val="24"/>
        </w:rPr>
        <w:t xml:space="preserve"> (</w:t>
      </w:r>
      <w:r w:rsidRPr="004D1D04">
        <w:rPr>
          <w:rFonts w:eastAsiaTheme="minorEastAsia"/>
          <w:i/>
          <w:iCs/>
          <w:szCs w:val="24"/>
        </w:rPr>
        <w:t>q = gas g, solid s</w:t>
      </w:r>
      <w:r>
        <w:rPr>
          <w:rFonts w:eastAsiaTheme="minorEastAsia"/>
          <w:szCs w:val="24"/>
        </w:rPr>
        <w:t>) is:</w:t>
      </w:r>
    </w:p>
    <w:p w14:paraId="787C8434" w14:textId="77777777" w:rsidR="009F697D" w:rsidRPr="004D1D04" w:rsidRDefault="003F435B" w:rsidP="009F697D">
      <w:pPr>
        <w:ind w:left="2160" w:firstLine="720"/>
        <w:rPr>
          <w:rFonts w:eastAsiaTheme="minorEastAsia"/>
          <w:szCs w:val="24"/>
        </w:rPr>
      </w:pPr>
      <m:oMath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∂</m:t>
            </m:r>
          </m:num>
          <m:den>
            <m:r>
              <w:rPr>
                <w:rFonts w:ascii="Cambria Math" w:hAnsi="Cambria Math"/>
                <w:szCs w:val="24"/>
              </w:rPr>
              <m:t>∂t</m:t>
            </m:r>
          </m:den>
        </m:f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q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q</m:t>
                </m:r>
              </m:sub>
            </m:sSub>
          </m:e>
        </m:d>
        <m:r>
          <w:rPr>
            <w:rFonts w:ascii="Cambria Math" w:hAnsi="Cambria Math"/>
            <w:szCs w:val="24"/>
          </w:rPr>
          <m:t>+</m:t>
        </m:r>
        <m:r>
          <m:rPr>
            <m:sty m:val="p"/>
          </m:rPr>
          <w:rPr>
            <w:rFonts w:ascii="Cambria Math" w:hAnsi="Cambria Math"/>
            <w:szCs w:val="24"/>
          </w:rPr>
          <m:t>∇</m:t>
        </m:r>
        <m:r>
          <w:rPr>
            <w:rFonts w:ascii="Cambria Math" w:hAnsi="Cambria Math"/>
            <w:szCs w:val="24"/>
          </w:rPr>
          <m:t>∙</m:t>
        </m:r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q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q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q</m:t>
                </m:r>
              </m:sub>
            </m:sSub>
          </m:e>
        </m:d>
        <m:r>
          <w:rPr>
            <w:rFonts w:ascii="Cambria Math" w:hAnsi="Cambria Math"/>
            <w:szCs w:val="24"/>
          </w:rPr>
          <m:t>=0</m:t>
        </m:r>
      </m:oMath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  <w:t>(B.1)</w:t>
      </w:r>
    </w:p>
    <w:p w14:paraId="5BE8CA55" w14:textId="77777777" w:rsidR="009F697D" w:rsidRPr="00722B12" w:rsidRDefault="009F697D" w:rsidP="009F697D">
      <w:pPr>
        <w:rPr>
          <w:rFonts w:eastAsiaTheme="minorEastAsia"/>
          <w:szCs w:val="24"/>
        </w:rPr>
      </w:pPr>
      <w:r>
        <w:rPr>
          <w:rFonts w:eastAsiaTheme="minorEastAsia"/>
          <w:szCs w:val="24"/>
        </w:rPr>
        <w:t xml:space="preserve">The momentum balance for the gas phase </w:t>
      </w:r>
      <w:r w:rsidRPr="004D1D04">
        <w:rPr>
          <w:rFonts w:eastAsiaTheme="minorEastAsia"/>
          <w:i/>
          <w:iCs/>
          <w:szCs w:val="24"/>
        </w:rPr>
        <w:t>g</w:t>
      </w:r>
      <w:r>
        <w:rPr>
          <w:rFonts w:eastAsiaTheme="minorEastAsia"/>
          <w:szCs w:val="24"/>
        </w:rPr>
        <w:t xml:space="preserve"> is:</w:t>
      </w:r>
    </w:p>
    <w:p w14:paraId="0CA6FA12" w14:textId="77777777" w:rsidR="009F697D" w:rsidRPr="004D1D04" w:rsidRDefault="003F435B" w:rsidP="009F697D">
      <w:pPr>
        <w:ind w:firstLine="720"/>
        <w:rPr>
          <w:rFonts w:eastAsiaTheme="minorEastAsia"/>
          <w:szCs w:val="24"/>
        </w:rPr>
      </w:pPr>
      <m:oMath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∂</m:t>
            </m:r>
          </m:num>
          <m:den>
            <m:r>
              <w:rPr>
                <w:rFonts w:ascii="Cambria Math" w:hAnsi="Cambria Math"/>
                <w:szCs w:val="24"/>
              </w:rPr>
              <m:t>∂t</m:t>
            </m:r>
          </m:den>
        </m:f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</m:e>
        </m:d>
        <m:r>
          <w:rPr>
            <w:rFonts w:ascii="Cambria Math" w:hAnsi="Cambria Math"/>
            <w:szCs w:val="24"/>
          </w:rPr>
          <m:t>+</m:t>
        </m:r>
        <m:r>
          <m:rPr>
            <m:sty m:val="p"/>
          </m:rPr>
          <w:rPr>
            <w:rFonts w:ascii="Cambria Math" w:hAnsi="Cambria Math"/>
            <w:szCs w:val="24"/>
          </w:rPr>
          <m:t>∇</m:t>
        </m:r>
        <m:r>
          <w:rPr>
            <w:rFonts w:ascii="Cambria Math" w:hAnsi="Cambria Math"/>
            <w:szCs w:val="24"/>
          </w:rPr>
          <m:t>∙</m:t>
        </m:r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</m:e>
        </m:d>
        <m:r>
          <w:rPr>
            <w:rFonts w:ascii="Cambria Math" w:hAnsi="Cambria Math"/>
            <w:szCs w:val="24"/>
          </w:rPr>
          <m:t>=-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>∇</m:t>
        </m:r>
        <m:r>
          <w:rPr>
            <w:rFonts w:ascii="Cambria Math" w:eastAsiaTheme="minorEastAsia" w:hAnsi="Cambria Math" w:cs="Times New Roman"/>
            <w:szCs w:val="24"/>
          </w:rPr>
          <m:t>p</m:t>
        </m:r>
        <m:r>
          <m:rPr>
            <m:sty m:val="p"/>
          </m:rPr>
          <w:rPr>
            <w:rFonts w:ascii="Cambria Math" w:hAnsi="Cambria Math"/>
            <w:szCs w:val="24"/>
          </w:rPr>
          <m:t>+∇</m:t>
        </m:r>
        <m:r>
          <w:rPr>
            <w:rFonts w:ascii="Cambria Math" w:hAnsi="Cambria Math"/>
            <w:szCs w:val="24"/>
          </w:rPr>
          <m:t>∙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τ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ρ</m:t>
            </m:r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acc>
          <m:accPr>
            <m:chr m:val="⃗"/>
            <m:ctrlPr>
              <w:rPr>
                <w:rFonts w:ascii="Cambria Math" w:hAnsi="Cambria Math"/>
                <w:i/>
                <w:szCs w:val="24"/>
              </w:rPr>
            </m:ctrlPr>
          </m:accPr>
          <m:e>
            <m:r>
              <w:rPr>
                <w:rFonts w:ascii="Cambria Math" w:hAnsi="Cambria Math"/>
                <w:szCs w:val="24"/>
              </w:rPr>
              <m:t>g</m:t>
            </m:r>
          </m:e>
        </m:acc>
        <m:r>
          <w:rPr>
            <w:rFonts w:ascii="Cambria Math" w:hAnsi="Cambria Math"/>
            <w:szCs w:val="24"/>
          </w:rPr>
          <m:t>-</m:t>
        </m:r>
        <m:r>
          <w:rPr>
            <w:rFonts w:ascii="Cambria Math" w:hAnsi="Cambria Math"/>
            <w:szCs w:val="24"/>
          </w:rPr>
          <m:t>β</m:t>
        </m:r>
        <m:r>
          <w:rPr>
            <w:rFonts w:ascii="Cambria Math" w:hAnsi="Cambria Math"/>
            <w:szCs w:val="24"/>
          </w:rPr>
          <m:t>(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r>
          <w:rPr>
            <w:rFonts w:ascii="Cambria Math" w:hAnsi="Cambria Math"/>
            <w:szCs w:val="24"/>
          </w:rPr>
          <m:t>-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hAnsi="Cambria Math"/>
            <w:szCs w:val="24"/>
          </w:rPr>
          <m:t>)</m:t>
        </m:r>
      </m:oMath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  <w:t>(B.2)</w:t>
      </w:r>
    </w:p>
    <w:p w14:paraId="7CD43A2F" w14:textId="77777777" w:rsidR="009F697D" w:rsidRPr="00722B12" w:rsidRDefault="009F697D" w:rsidP="009F697D">
      <w:pPr>
        <w:rPr>
          <w:rFonts w:eastAsiaTheme="minorEastAsia"/>
          <w:szCs w:val="24"/>
        </w:rPr>
      </w:pPr>
      <w:r>
        <w:rPr>
          <w:rFonts w:eastAsiaTheme="minorEastAsia"/>
          <w:szCs w:val="24"/>
        </w:rPr>
        <w:t xml:space="preserve">Similarly, the momentum balance for the solid phase </w:t>
      </w:r>
      <w:r w:rsidRPr="004D1D04">
        <w:rPr>
          <w:rFonts w:eastAsiaTheme="minorEastAsia"/>
          <w:i/>
          <w:iCs/>
          <w:szCs w:val="24"/>
        </w:rPr>
        <w:t>s</w:t>
      </w:r>
      <w:r>
        <w:rPr>
          <w:rFonts w:eastAsiaTheme="minorEastAsia"/>
          <w:szCs w:val="24"/>
        </w:rPr>
        <w:t xml:space="preserve"> is:</w:t>
      </w:r>
    </w:p>
    <w:p w14:paraId="74C91F5F" w14:textId="77777777" w:rsidR="009F697D" w:rsidRPr="00722B12" w:rsidRDefault="003F435B" w:rsidP="009F697D">
      <w:pPr>
        <w:ind w:firstLine="720"/>
        <w:rPr>
          <w:rFonts w:eastAsiaTheme="minorEastAsia"/>
          <w:szCs w:val="24"/>
        </w:rPr>
      </w:pPr>
      <m:oMath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∂</m:t>
            </m:r>
          </m:num>
          <m:den>
            <m:r>
              <w:rPr>
                <w:rFonts w:ascii="Cambria Math" w:hAnsi="Cambria Math"/>
                <w:szCs w:val="24"/>
              </w:rPr>
              <m:t>∂t</m:t>
            </m:r>
          </m:den>
        </m:f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w:rPr>
            <w:rFonts w:ascii="Cambria Math" w:hAnsi="Cambria Math"/>
            <w:szCs w:val="24"/>
          </w:rPr>
          <m:t>+</m:t>
        </m:r>
        <m:r>
          <m:rPr>
            <m:sty m:val="p"/>
          </m:rPr>
          <w:rPr>
            <w:rFonts w:ascii="Cambria Math" w:hAnsi="Cambria Math"/>
            <w:szCs w:val="24"/>
          </w:rPr>
          <m:t>∇</m:t>
        </m:r>
        <m:r>
          <w:rPr>
            <w:rFonts w:ascii="Cambria Math" w:hAnsi="Cambria Math"/>
            <w:szCs w:val="24"/>
          </w:rPr>
          <m:t>∙</m:t>
        </m:r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w:rPr>
            <w:rFonts w:ascii="Cambria Math" w:hAnsi="Cambria Math"/>
            <w:szCs w:val="24"/>
          </w:rPr>
          <m:t>=-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>∇</m:t>
        </m:r>
        <m:r>
          <w:rPr>
            <w:rFonts w:ascii="Cambria Math" w:eastAsiaTheme="minorEastAsia" w:hAnsi="Cambria Math" w:cs="Times New Roman"/>
            <w:szCs w:val="24"/>
          </w:rPr>
          <m:t>p</m:t>
        </m:r>
        <m:r>
          <w:rPr>
            <w:rFonts w:ascii="Cambria Math" w:hAnsi="Cambria Math"/>
            <w:szCs w:val="24"/>
          </w:rPr>
          <m:t>-</m:t>
        </m:r>
        <m:r>
          <m:rPr>
            <m:sty m:val="p"/>
          </m:rPr>
          <w:rPr>
            <w:rFonts w:ascii="Cambria Math" w:hAnsi="Cambria Math"/>
            <w:szCs w:val="24"/>
          </w:rPr>
          <m:t>∇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s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>+∇</m:t>
        </m:r>
        <m:r>
          <w:rPr>
            <w:rFonts w:ascii="Cambria Math" w:hAnsi="Cambria Math"/>
            <w:szCs w:val="24"/>
          </w:rPr>
          <m:t>∙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τ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ρ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acc>
          <m:accPr>
            <m:chr m:val="⃗"/>
            <m:ctrlPr>
              <w:rPr>
                <w:rFonts w:ascii="Cambria Math" w:hAnsi="Cambria Math"/>
                <w:i/>
                <w:szCs w:val="24"/>
              </w:rPr>
            </m:ctrlPr>
          </m:accPr>
          <m:e>
            <m:r>
              <w:rPr>
                <w:rFonts w:ascii="Cambria Math" w:hAnsi="Cambria Math"/>
                <w:szCs w:val="24"/>
              </w:rPr>
              <m:t>g</m:t>
            </m:r>
          </m:e>
        </m:acc>
        <w:bookmarkStart w:id="3" w:name="_Hlk108468678"/>
        <m:r>
          <w:rPr>
            <w:rFonts w:ascii="Cambria Math" w:hAnsi="Cambria Math"/>
            <w:szCs w:val="24"/>
          </w:rPr>
          <m:t>+</m:t>
        </m:r>
        <m:r>
          <w:rPr>
            <w:rFonts w:ascii="Cambria Math" w:hAnsi="Cambria Math"/>
            <w:szCs w:val="24"/>
          </w:rPr>
          <m:t>β</m:t>
        </m:r>
        <m:r>
          <w:rPr>
            <w:rFonts w:ascii="Cambria Math" w:hAnsi="Cambria Math"/>
            <w:szCs w:val="24"/>
          </w:rPr>
          <m:t>(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r>
          <w:rPr>
            <w:rFonts w:ascii="Cambria Math" w:hAnsi="Cambria Math"/>
            <w:szCs w:val="24"/>
          </w:rPr>
          <m:t>-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hAnsi="Cambria Math"/>
            <w:szCs w:val="24"/>
          </w:rPr>
          <m:t>)</m:t>
        </m:r>
      </m:oMath>
      <w:bookmarkEnd w:id="3"/>
      <w:r w:rsidR="009F697D">
        <w:rPr>
          <w:rFonts w:eastAsiaTheme="minorEastAsia"/>
          <w:szCs w:val="24"/>
        </w:rPr>
        <w:tab/>
        <w:t>(B.3)</w:t>
      </w:r>
    </w:p>
    <w:p w14:paraId="62C57AEB" w14:textId="77777777" w:rsidR="009F697D" w:rsidRDefault="009F697D" w:rsidP="009F697D">
      <w:pPr>
        <w:rPr>
          <w:rFonts w:eastAsiaTheme="minorEastAsia"/>
          <w:szCs w:val="24"/>
        </w:rPr>
      </w:pPr>
      <w:r>
        <w:rPr>
          <w:rFonts w:eastAsiaTheme="minorEastAsia"/>
          <w:szCs w:val="24"/>
        </w:rPr>
        <w:t>The gas and solid phases stress tensors are represented by the following, respectively:</w:t>
      </w:r>
    </w:p>
    <w:p w14:paraId="4D096981" w14:textId="77777777" w:rsidR="009F697D" w:rsidRPr="00722B12" w:rsidRDefault="003F435B" w:rsidP="009F697D">
      <w:pPr>
        <w:ind w:left="216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τ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r>
          <w:rPr>
            <w:rFonts w:ascii="Cambria Math" w:hAnsi="Cambria Math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μ</m:t>
            </m:r>
          </m:e>
          <m:sub>
            <m:r>
              <w:rPr>
                <w:rFonts w:ascii="Cambria Math" w:hAnsi="Cambria Math"/>
                <w:szCs w:val="24"/>
              </w:rPr>
              <m:t>g</m:t>
            </m:r>
          </m:sub>
        </m:sSub>
        <m:d>
          <m:dPr>
            <m:begChr m:val="["/>
            <m:endChr m:val="]"/>
            <m:ctrlPr>
              <w:rPr>
                <w:rFonts w:ascii="Cambria Math" w:hAnsi="Cambria Math"/>
                <w:i/>
                <w:szCs w:val="24"/>
              </w:rPr>
            </m:ctrlPr>
          </m:dPr>
          <m:e>
            <m:d>
              <m:dPr>
                <m:ctrlPr>
                  <w:rPr>
                    <w:rFonts w:ascii="Cambria Math" w:hAnsi="Cambria Math"/>
                    <w:i/>
                    <w:szCs w:val="24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4"/>
                  </w:rPr>
                  <m:t>∇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Cs w:val="24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g</m:t>
                    </m:r>
                  </m:sub>
                </m:sSub>
                <m:r>
                  <w:rPr>
                    <w:rFonts w:ascii="Cambria Math" w:hAnsi="Cambria Math"/>
                    <w:szCs w:val="24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szCs w:val="24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∇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4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Cs w:val="24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Cs w:val="24"/>
                          </w:rPr>
                          <m:t>g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szCs w:val="24"/>
                      </w:rPr>
                      <m:t>T</m:t>
                    </m:r>
                  </m:sup>
                </m:sSup>
              </m:e>
            </m:d>
            <m:r>
              <w:rPr>
                <w:rFonts w:ascii="Cambria Math" w:hAnsi="Cambria Math"/>
                <w:szCs w:val="24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Cs w:val="24"/>
                  </w:rPr>
                </m:ctrlPr>
              </m:fPr>
              <m:num>
                <m:r>
                  <w:rPr>
                    <w:rFonts w:ascii="Cambria Math" w:hAnsi="Cambria Math"/>
                    <w:szCs w:val="24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Cs w:val="24"/>
                  </w:rPr>
                  <m:t>3</m:t>
                </m:r>
              </m:den>
            </m:f>
            <m:r>
              <m:rPr>
                <m:sty m:val="p"/>
              </m:rPr>
              <w:rPr>
                <w:rFonts w:ascii="Cambria Math" w:eastAsiaTheme="minorEastAsia" w:hAnsi="Cambria Math"/>
              </w:rPr>
              <m:t>∇∙</m:t>
            </m:r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g</m:t>
                </m:r>
              </m:sub>
            </m:sSub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I</m:t>
                </m:r>
              </m:e>
            </m:acc>
          </m:e>
        </m:d>
      </m:oMath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  <w:t>(B.4)</w:t>
      </w:r>
    </w:p>
    <w:p w14:paraId="7D21556C" w14:textId="77777777" w:rsidR="009F697D" w:rsidRPr="00511CD4" w:rsidRDefault="003F435B" w:rsidP="009F697D">
      <w:pPr>
        <w:ind w:left="1440" w:firstLine="720"/>
        <w:rPr>
          <w:rFonts w:eastAsiaTheme="minorEastAsia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τ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hAnsi="Cambria Math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μ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Cs w:val="24"/>
              </w:rPr>
              <m:t>∇</m:t>
            </m:r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v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r>
              <w:rPr>
                <w:rFonts w:ascii="Cambria Math" w:hAnsi="Cambria Math"/>
                <w:szCs w:val="24"/>
              </w:rPr>
              <m:t>+</m:t>
            </m:r>
            <m:sSup>
              <m:sSupPr>
                <m:ctrlPr>
                  <w:rPr>
                    <w:rFonts w:ascii="Cambria Math" w:hAnsi="Cambria Math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Cs w:val="24"/>
                  </w:rPr>
                  <m:t>∇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Cs w:val="24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</m:e>
              <m:sup>
                <m:r>
                  <w:rPr>
                    <w:rFonts w:ascii="Cambria Math" w:hAnsi="Cambria Math"/>
                    <w:szCs w:val="24"/>
                  </w:rPr>
                  <m:t>T</m:t>
                </m:r>
              </m:sup>
            </m:sSup>
          </m:e>
        </m:d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α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d>
          <m:dPr>
            <m:ctrlPr>
              <w:rPr>
                <w:rFonts w:ascii="Cambria Math" w:hAnsi="Cambria Math"/>
                <w:i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λ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  <m:r>
              <w:rPr>
                <w:rFonts w:ascii="Cambria Math" w:hAnsi="Cambria Math"/>
                <w:szCs w:val="24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Cs w:val="24"/>
                  </w:rPr>
                </m:ctrlPr>
              </m:fPr>
              <m:num>
                <m:r>
                  <w:rPr>
                    <w:rFonts w:ascii="Cambria Math" w:hAnsi="Cambria Math"/>
                    <w:szCs w:val="24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Cs w:val="24"/>
                  </w:rPr>
                  <m:t>3</m:t>
                </m:r>
              </m:den>
            </m:f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μ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/>
          </w:rPr>
          <m:t>∇∙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acc>
          <m:accPr>
            <m:chr m:val="̿"/>
            <m:ctrlPr>
              <w:rPr>
                <w:rFonts w:ascii="Cambria Math" w:hAnsi="Cambria Math"/>
                <w:i/>
                <w:szCs w:val="24"/>
              </w:rPr>
            </m:ctrlPr>
          </m:accPr>
          <m:e>
            <m:r>
              <w:rPr>
                <w:rFonts w:ascii="Cambria Math" w:hAnsi="Cambria Math"/>
                <w:szCs w:val="24"/>
              </w:rPr>
              <m:t>I</m:t>
            </m:r>
          </m:e>
        </m:acc>
      </m:oMath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  <w:t>(B.5)</w:t>
      </w:r>
    </w:p>
    <w:p w14:paraId="02D70F18" w14:textId="06DE1ABD" w:rsidR="009F697D" w:rsidRPr="00722B12" w:rsidRDefault="009F697D" w:rsidP="009F697D">
      <w:pPr>
        <w:rPr>
          <w:rFonts w:eastAsiaTheme="minorEastAsia"/>
        </w:rPr>
      </w:pPr>
      <w:r w:rsidRPr="00A72C32">
        <w:t>The</w:t>
      </w:r>
      <w:r w:rsidRPr="00A72C32">
        <w:rPr>
          <w:b/>
          <w:bCs/>
        </w:rPr>
        <w:t xml:space="preserve"> </w:t>
      </w:r>
      <w:r w:rsidRPr="005E2B3B">
        <w:t>bulk viscosity</w:t>
      </w:r>
      <w:r w:rsidRPr="00A72C32">
        <w:rPr>
          <w:color w:val="000000"/>
        </w:rPr>
        <w:t xml:space="preserve"> accounts for the resistance of the granular particles to compression and expansion, </w:t>
      </w:r>
      <w:r w:rsidRPr="00A72C32">
        <w:t>and</w:t>
      </w:r>
      <w:r w:rsidRPr="00A72C32">
        <w:rPr>
          <w:color w:val="000000"/>
        </w:rPr>
        <w:t xml:space="preserve"> it was described by</w:t>
      </w:r>
      <w:r>
        <w:rPr>
          <w:color w:val="000000"/>
        </w:rPr>
        <w:t xml:space="preserve"> </w:t>
      </w:r>
      <w:hyperlink w:anchor="_ENREF_2" w:tooltip="Lun, 1984 #33" w:history="1">
        <w:proofErr w:type="spellStart"/>
        <w:r w:rsidRPr="009F697D">
          <w:rPr>
            <w:rStyle w:val="Hyperlink"/>
          </w:rPr>
          <w:t>Lun</w:t>
        </w:r>
        <w:proofErr w:type="spellEnd"/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 xml:space="preserve"> (1984)</w:t>
        </w:r>
        <w:r w:rsidRPr="009F697D">
          <w:fldChar w:fldCharType="begin"/>
        </w:r>
        <w:r w:rsidRPr="009F697D">
          <w:instrText xml:space="preserve"> ADDIN EN.CITE &lt;EndNote&gt;&lt;Cite AuthorYear="1"&gt;&lt;Author&gt;Lun&lt;/Author&gt;&lt;Year&gt;1984&lt;/Year&gt;&lt;RecNum&gt;33&lt;/RecNum&gt;&lt;DisplayText&gt;Lun&lt;style face="italic"&gt; et al.&lt;/style&gt; (1984)&lt;/DisplayText&gt;&lt;record&gt;&lt;rec-number&gt;33&lt;/rec-number&gt;&lt;foreign-keys&gt;&lt;key app="EN" db-id="erdevzeri0sepeezpvopdr29xrx9tv99wv9a" timestamp="1638066461"&gt;33&lt;/key&gt;&lt;/foreign-keys&gt;&lt;ref-type name="Journal Article"&gt;17&lt;/ref-type&gt;&lt;contributors&gt;&lt;authors&gt;&lt;author&gt;Lun, CKK&lt;/author&gt;&lt;author&gt;Savage, S Br&lt;/author&gt;&lt;author&gt;Jeffrey, DJ&lt;/author&gt;&lt;author&gt;Chepurniy, N&lt;/author&gt;&lt;/authors&gt;&lt;/contributors&gt;&lt;titles&gt;&lt;title&gt;Kinetic theories for granular flow: inelastic particles in Couette flow and slightly inelastic particles in a general flowfield&lt;/title&gt;&lt;secondary-title&gt;Journal of fluid mechanics&lt;/secondary-title&gt;&lt;/titles&gt;&lt;periodical&gt;&lt;full-title&gt;Journal of fluid mechanics&lt;/full-title&gt;&lt;/periodical&gt;&lt;pages&gt;223-256&lt;/pages&gt;&lt;volume&gt;140&lt;/volume&gt;&lt;dates&gt;&lt;year&gt;1984&lt;/year&gt;&lt;/dates&gt;&lt;isbn&gt;1469-7645&lt;/isbn&gt;&lt;urls&gt;&lt;/urls&gt;&lt;/record&gt;&lt;/Cite&gt;&lt;/EndNote&gt;</w:instrText>
        </w:r>
        <w:r w:rsidRPr="009F697D">
          <w:fldChar w:fldCharType="end"/>
        </w:r>
      </w:hyperlink>
      <w:r>
        <w:rPr>
          <w:color w:val="000000"/>
        </w:rPr>
        <w:t>:</w:t>
      </w:r>
    </w:p>
    <w:p w14:paraId="0F6AACC4" w14:textId="77777777" w:rsidR="009F697D" w:rsidRPr="00722B12" w:rsidRDefault="003F435B" w:rsidP="009F697D">
      <w:pPr>
        <w:ind w:left="2160" w:firstLine="720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ρ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1+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e</m:t>
                </m:r>
              </m:e>
              <m:sub>
                <m:r>
                  <w:rPr>
                    <w:rFonts w:ascii="Cambria Math" w:hAnsi="Cambria Math"/>
                  </w:rPr>
                  <m:t>ss</m:t>
                </m:r>
              </m:sub>
            </m:sSub>
          </m:e>
        </m:d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4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4"/>
                          </w:rPr>
                          <m:t>s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π</m:t>
                    </m:r>
                  </m:den>
                </m:f>
              </m:e>
            </m:d>
          </m:e>
          <m:sup>
            <m:f>
              <m:fPr>
                <m:type m:val="lin"/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sup>
        </m:sSup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  <w:t>(B.6)</w:t>
      </w:r>
    </w:p>
    <w:p w14:paraId="0A7292A8" w14:textId="77777777" w:rsidR="009F697D" w:rsidRPr="005E2B3B" w:rsidRDefault="009F697D" w:rsidP="009F697D">
      <w:pPr>
        <w:rPr>
          <w:rFonts w:eastAsiaTheme="minorEastAsia"/>
        </w:rPr>
      </w:pPr>
      <w:r w:rsidRPr="005E2B3B">
        <w:t>The shear viscosity is comprised of the granular (or kinetic) viscosity, collisional viscosity, and frictional viscosity.</w:t>
      </w:r>
    </w:p>
    <w:p w14:paraId="6870EB08" w14:textId="77777777" w:rsidR="009F697D" w:rsidRPr="00722B12" w:rsidRDefault="003F435B" w:rsidP="009F697D">
      <w:pPr>
        <w:ind w:left="216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μ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  <m:r>
                  <w:rPr>
                    <w:rFonts w:ascii="Cambria Math" w:hAnsi="Cambria Math"/>
                  </w:rPr>
                  <m:t>,</m:t>
                </m:r>
                <m:r>
                  <w:rPr>
                    <w:rFonts w:ascii="Cambria Math" w:hAnsi="Cambria Math"/>
                  </w:rPr>
                  <m:t>kin</m:t>
                </m:r>
              </m:sub>
            </m:sSub>
            <m: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col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fr</m:t>
            </m:r>
          </m:sub>
        </m:sSub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  <w:szCs w:val="24"/>
        </w:rPr>
        <w:t>(B.7)</w:t>
      </w:r>
    </w:p>
    <w:p w14:paraId="4EF56DFE" w14:textId="6B423668" w:rsidR="009F697D" w:rsidRPr="00722B12" w:rsidRDefault="009F697D" w:rsidP="009F697D">
      <w:pPr>
        <w:rPr>
          <w:rFonts w:eastAsiaTheme="minorEastAsia"/>
        </w:rPr>
      </w:pPr>
      <w:r w:rsidRPr="00A72C32">
        <w:t xml:space="preserve">The </w:t>
      </w:r>
      <w:r w:rsidRPr="005E2B3B">
        <w:t>granular viscosity</w:t>
      </w:r>
      <w:r w:rsidRPr="00A72C32">
        <w:t xml:space="preserve"> accounts for the kinetic fluctuations and is frequently described by the </w:t>
      </w:r>
      <w:proofErr w:type="spellStart"/>
      <w:r>
        <w:t>Gidaspow</w:t>
      </w:r>
      <w:proofErr w:type="spellEnd"/>
      <w:r>
        <w:t xml:space="preserve"> </w:t>
      </w:r>
      <w:r>
        <w:rPr>
          <w:rFonts w:eastAsiaTheme="minorEastAsia"/>
        </w:rPr>
        <w:fldChar w:fldCharType="begin"/>
      </w:r>
      <w:r>
        <w:rPr>
          <w:rFonts w:eastAsiaTheme="minorEastAsia"/>
        </w:rPr>
        <w:instrText xml:space="preserve"> ADDIN EN.CITE &lt;EndNote&gt;&lt;Cite&gt;&lt;Author&gt;Gidaspow&lt;/Author&gt;&lt;Year&gt;1992&lt;/Year&gt;&lt;RecNum&gt;37&lt;/RecNum&gt;&lt;DisplayText&gt;(Gidaspow&lt;style face="italic"&gt; et al.&lt;/style&gt;, 1992)&lt;/DisplayText&gt;&lt;record&gt;&lt;rec-number&gt;37&lt;/rec-number&gt;&lt;foreign-keys&gt;&lt;key app="EN" db-id="erdevzeri0sepeezpvopdr29xrx9tv99wv9a" timestamp="1638066462"&gt;37&lt;/key&gt;&lt;/foreign-keys&gt;&lt;ref-type name="Conference Paper"&gt;47&lt;/ref-type&gt;&lt;contributors&gt;&lt;authors&gt;&lt;author&gt;Gidaspow, Dimitri&lt;/author&gt;&lt;author&gt;Bezburuah, Rukmini&lt;/author&gt;&lt;author&gt;Ding, J&lt;/author&gt;&lt;/authors&gt;&lt;/contributors&gt;&lt;titles&gt;&lt;title&gt;Hydrodynamics of circulating fluidized beds: kinetic theory approach&lt;/title&gt;&lt;secondary-title&gt;7th Fluid. Conf.&lt;/secondary-title&gt;&lt;/titles&gt;&lt;pages&gt;75–82&lt;/pages&gt;&lt;dates&gt;&lt;year&gt;1992&lt;/year&gt;&lt;/dates&gt;&lt;publisher&gt;Illinois Inst. of Tech., Chicago, IL (United States). Dept. of Chemical Engineering&lt;/publisher&gt;&lt;urls&gt;&lt;/urls&gt;&lt;/record&gt;&lt;/Cite&gt;&lt;/EndNote&gt;</w:instrText>
      </w:r>
      <w:r>
        <w:rPr>
          <w:rFonts w:eastAsiaTheme="minorEastAsia"/>
        </w:rPr>
        <w:fldChar w:fldCharType="separate"/>
      </w:r>
      <w:r>
        <w:rPr>
          <w:rFonts w:eastAsiaTheme="minorEastAsia"/>
          <w:noProof/>
        </w:rPr>
        <w:t>(</w:t>
      </w:r>
      <w:hyperlink w:anchor="_ENREF_1" w:tooltip="Gidaspow, 1992 #37" w:history="1">
        <w:r w:rsidRPr="009F697D">
          <w:rPr>
            <w:rStyle w:val="Hyperlink"/>
          </w:rPr>
          <w:t>Gidaspow</w:t>
        </w:r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>, 1992</w:t>
        </w:r>
      </w:hyperlink>
      <w:r>
        <w:rPr>
          <w:rFonts w:eastAsiaTheme="minorEastAsia"/>
          <w:noProof/>
        </w:rPr>
        <w:t>)</w:t>
      </w:r>
      <w:r>
        <w:rPr>
          <w:rFonts w:eastAsiaTheme="minorEastAsia"/>
        </w:rPr>
        <w:fldChar w:fldCharType="end"/>
      </w:r>
      <w:r>
        <w:rPr>
          <w:rFonts w:eastAsiaTheme="minorEastAsia"/>
        </w:rPr>
        <w:t xml:space="preserve"> </w:t>
      </w:r>
      <w:r w:rsidRPr="00A72C32">
        <w:t>and Syamlal-O’Brien</w:t>
      </w:r>
      <w:r>
        <w:t xml:space="preserve"> </w:t>
      </w:r>
      <w:r>
        <w:rPr>
          <w:rFonts w:eastAsiaTheme="minorEastAsia"/>
        </w:rPr>
        <w:fldChar w:fldCharType="begin"/>
      </w:r>
      <w:r>
        <w:rPr>
          <w:rFonts w:eastAsiaTheme="minorEastAsia"/>
        </w:rPr>
        <w:instrText xml:space="preserve"> ADDIN EN.CITE &lt;EndNote&gt;&lt;Cite&gt;&lt;Author&gt;Syamlal&lt;/Author&gt;&lt;Year&gt;1993&lt;/Year&gt;&lt;RecNum&gt;36&lt;/RecNum&gt;&lt;DisplayText&gt;(Syamlal&lt;style face="italic"&gt; et al.&lt;/style&gt;, 1993)&lt;/DisplayText&gt;&lt;record&gt;&lt;rec-number&gt;36&lt;/rec-number&gt;&lt;foreign-keys&gt;&lt;key app="EN" db-id="erdevzeri0sepeezpvopdr29xrx9tv99wv9a" timestamp="1638066462"&gt;36&lt;/key&gt;&lt;/foreign-keys&gt;&lt;ref-type name="Report"&gt;27&lt;/ref-type&gt;&lt;contributors&gt;&lt;authors&gt;&lt;author&gt;Syamlal, M&lt;/author&gt;&lt;author&gt;Rogers, W&lt;/author&gt;&lt;author&gt;O’Brien, TJ&lt;/author&gt;&lt;/authors&gt;&lt;/contributors&gt;&lt;titles&gt;&lt;title&gt;MFIX Documentation: Volume 1, Theory Guide. National Technical Information Service, Springfield, VA&lt;/title&gt;&lt;/titles&gt;&lt;dates&gt;&lt;year&gt;1993&lt;/year&gt;&lt;/dates&gt;&lt;publisher&gt;DOE/METC-9411004, NTIS/DE9400087&lt;/publisher&gt;&lt;urls&gt;&lt;/urls&gt;&lt;/record&gt;&lt;/Cite&gt;&lt;/EndNote&gt;</w:instrText>
      </w:r>
      <w:r>
        <w:rPr>
          <w:rFonts w:eastAsiaTheme="minorEastAsia"/>
        </w:rPr>
        <w:fldChar w:fldCharType="separate"/>
      </w:r>
      <w:r>
        <w:rPr>
          <w:rFonts w:eastAsiaTheme="minorEastAsia"/>
          <w:noProof/>
        </w:rPr>
        <w:t>(</w:t>
      </w:r>
      <w:hyperlink w:anchor="_ENREF_5" w:tooltip="Syamlal, 1993 #36" w:history="1">
        <w:r w:rsidRPr="009F697D">
          <w:rPr>
            <w:rStyle w:val="Hyperlink"/>
          </w:rPr>
          <w:t>Syamlal</w:t>
        </w:r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>, 1993</w:t>
        </w:r>
      </w:hyperlink>
      <w:r>
        <w:rPr>
          <w:rFonts w:eastAsiaTheme="minorEastAsia"/>
          <w:noProof/>
        </w:rPr>
        <w:t>)</w:t>
      </w:r>
      <w:r>
        <w:rPr>
          <w:rFonts w:eastAsiaTheme="minorEastAsia"/>
        </w:rPr>
        <w:fldChar w:fldCharType="end"/>
      </w:r>
      <w:r>
        <w:rPr>
          <w:rFonts w:eastAsiaTheme="minorEastAsia"/>
        </w:rPr>
        <w:t xml:space="preserve"> </w:t>
      </w:r>
      <w:r w:rsidRPr="00A72C32">
        <w:t>models</w:t>
      </w:r>
      <w:r>
        <w:t>, respectively:</w:t>
      </w:r>
    </w:p>
    <w:p w14:paraId="38898C2E" w14:textId="77777777" w:rsidR="009F697D" w:rsidRPr="00722B12" w:rsidRDefault="003F435B" w:rsidP="009F697D">
      <w:pPr>
        <w:ind w:left="216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kin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10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</w:rPr>
                  <m:t>π</m:t>
                </m:r>
              </m:e>
            </m:rad>
          </m:num>
          <m:den>
            <m:r>
              <w:rPr>
                <w:rFonts w:ascii="Cambria Math" w:hAnsi="Cambria Math"/>
              </w:rPr>
              <m:t>96(1+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e</m:t>
                </m:r>
              </m:e>
              <m:sub>
                <m:r>
                  <w:rPr>
                    <w:rFonts w:ascii="Cambria Math" w:hAnsi="Cambria Math"/>
                  </w:rPr>
                  <m:t>ss</m:t>
                </m:r>
              </m:sub>
            </m:sSub>
            <m:r>
              <w:rPr>
                <w:rFonts w:ascii="Cambria Math" w:hAnsi="Cambria Math"/>
              </w:rPr>
              <m:t>)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</m:den>
        </m:f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1+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5</m:t>
                    </m:r>
                  </m:den>
                </m:f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0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ss</m:t>
                        </m:r>
                      </m:sub>
                    </m:sSub>
                  </m:e>
                </m:d>
              </m:e>
            </m:d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  <w:t>(B.8)</w:t>
      </w:r>
    </w:p>
    <w:p w14:paraId="0FD39190" w14:textId="77777777" w:rsidR="009F697D" w:rsidRPr="003F073D" w:rsidRDefault="003F435B" w:rsidP="009F697D">
      <w:pPr>
        <w:ind w:left="144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kin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α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</w:rPr>
                  <m:t>π</m:t>
                </m:r>
              </m:e>
            </m:rad>
          </m:num>
          <m:den>
            <m:r>
              <w:rPr>
                <w:rFonts w:ascii="Cambria Math" w:hAnsi="Cambria Math"/>
              </w:rPr>
              <m:t>6(3-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e</m:t>
                </m:r>
              </m:e>
              <m:sub>
                <m:r>
                  <w:rPr>
                    <w:rFonts w:ascii="Cambria Math" w:hAnsi="Cambria Math"/>
                  </w:rPr>
                  <m:t>ss</m:t>
                </m:r>
              </m:sub>
            </m:sSub>
            <m:r>
              <w:rPr>
                <w:rFonts w:ascii="Cambria Math" w:hAnsi="Cambria Math"/>
              </w:rPr>
              <m:t>)</m:t>
            </m:r>
          </m:den>
        </m:f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1+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</m:t>
                </m:r>
              </m:num>
              <m:den>
                <m:r>
                  <w:rPr>
                    <w:rFonts w:ascii="Cambria Math" w:hAnsi="Cambria Math"/>
                  </w:rPr>
                  <m:t>5</m:t>
                </m:r>
              </m:den>
            </m:f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ss</m:t>
                    </m:r>
                  </m:sub>
                </m:sSub>
              </m:e>
            </m:d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3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ss</m:t>
                    </m:r>
                  </m:sub>
                </m:sSub>
                <m:r>
                  <w:rPr>
                    <w:rFonts w:ascii="Cambria Math" w:hAnsi="Cambria Math"/>
                  </w:rPr>
                  <m:t>-</m:t>
                </m:r>
                <m:r>
                  <w:rPr>
                    <w:rFonts w:ascii="Cambria Math" w:hAnsi="Cambria Math"/>
                  </w:rPr>
                  <m:t>1</m:t>
                </m:r>
              </m:e>
            </m:d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α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g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</m:e>
        </m:d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  <w:szCs w:val="24"/>
        </w:rPr>
        <w:t>(B.9)</w:t>
      </w:r>
    </w:p>
    <w:p w14:paraId="4283F46A" w14:textId="3DCF7591" w:rsidR="009F697D" w:rsidRDefault="009F697D" w:rsidP="009F697D">
      <w:pPr>
        <w:rPr>
          <w:rFonts w:eastAsiaTheme="minorEastAsia"/>
        </w:rPr>
      </w:pPr>
      <w:r w:rsidRPr="00A72C32">
        <w:t xml:space="preserve">The </w:t>
      </w:r>
      <w:r w:rsidRPr="005E2B3B">
        <w:t>collisional viscosity</w:t>
      </w:r>
      <w:r w:rsidRPr="00A72C32">
        <w:t xml:space="preserve"> accounts for the collisions of the particles, and was described by the expression of</w:t>
      </w:r>
      <w:r>
        <w:t xml:space="preserve"> </w:t>
      </w:r>
      <w:hyperlink w:anchor="_ENREF_1" w:tooltip="Gidaspow, 1992 #37" w:history="1">
        <w:proofErr w:type="spellStart"/>
        <w:r w:rsidRPr="009F697D">
          <w:rPr>
            <w:rStyle w:val="Hyperlink"/>
          </w:rPr>
          <w:t>Gidaspow</w:t>
        </w:r>
        <w:proofErr w:type="spellEnd"/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 xml:space="preserve"> (1992)</w:t>
        </w:r>
        <w:r w:rsidRPr="009F697D">
          <w:fldChar w:fldCharType="begin"/>
        </w:r>
        <w:r w:rsidRPr="009F697D">
          <w:instrText xml:space="preserve"> ADDIN EN.CITE &lt;EndNote&gt;&lt;Cite AuthorYear="1"&gt;&lt;Author&gt;Gidaspow&lt;/Author&gt;&lt;Year&gt;1992&lt;/Year&gt;&lt;RecNum&gt;37&lt;/RecNum&gt;&lt;DisplayText&gt;Gidaspow&lt;style face="italic"&gt; et al.&lt;/style&gt; (1992)&lt;/DisplayText&gt;&lt;record&gt;&lt;rec-number&gt;37&lt;/rec-number&gt;&lt;foreign-keys&gt;&lt;key app="EN" db-id="erdevzeri0sepeezpvopdr29xrx9tv99wv9a" timestamp="1638066462"&gt;37&lt;/key&gt;&lt;/foreign-keys&gt;&lt;ref-type name="Conference Paper"&gt;47&lt;/ref-type&gt;&lt;contributors&gt;&lt;authors&gt;&lt;author&gt;Gidaspow, Dimitri&lt;/author&gt;&lt;author&gt;Bezburuah, Rukmini&lt;/author&gt;&lt;author&gt;Ding, J&lt;/author&gt;&lt;/authors&gt;&lt;/contributors&gt;&lt;titles&gt;&lt;title&gt;Hydrodynamics of circulating fluidized beds: kinetic theory approach&lt;/title&gt;&lt;secondary-title&gt;7th Fluid. Conf.&lt;/secondary-title&gt;&lt;/titles&gt;&lt;pages&gt;75–82&lt;/pages&gt;&lt;dates&gt;&lt;year&gt;1992&lt;/year&gt;&lt;/dates&gt;&lt;publisher&gt;Illinois Inst. of Tech., Chicago, IL (United States). Dept. of Chemical Engineering&lt;/publisher&gt;&lt;urls&gt;&lt;/urls&gt;&lt;/record&gt;&lt;/Cite&gt;&lt;/EndNote&gt;</w:instrText>
        </w:r>
        <w:r w:rsidRPr="009F697D">
          <w:fldChar w:fldCharType="end"/>
        </w:r>
      </w:hyperlink>
      <w:r>
        <w:t>:</w:t>
      </w:r>
    </w:p>
    <w:p w14:paraId="5B445BB3" w14:textId="77777777" w:rsidR="009F697D" w:rsidRPr="00361085" w:rsidRDefault="003F435B" w:rsidP="009F697D">
      <w:pPr>
        <w:ind w:left="216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col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s</m:t>
            </m:r>
          </m:sub>
          <m:sup>
            <m:r>
              <w:rPr>
                <w:rFonts w:ascii="Cambria Math" w:hAnsi="Cambria Math"/>
              </w:rPr>
              <m:t>2</m:t>
            </m:r>
          </m:sup>
        </m:sSubSup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ρ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1+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e</m:t>
                </m:r>
              </m:e>
              <m:sub>
                <m:r>
                  <w:rPr>
                    <w:rFonts w:ascii="Cambria Math" w:hAnsi="Cambria Math"/>
                  </w:rPr>
                  <m:t>ss</m:t>
                </m:r>
              </m:sub>
            </m:sSub>
          </m:e>
        </m:d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4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4"/>
                          </w:rPr>
                          <m:t>s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π</m:t>
                    </m:r>
                  </m:den>
                </m:f>
              </m:e>
            </m:d>
          </m:e>
          <m:sup>
            <m:f>
              <m:fPr>
                <m:type m:val="lin"/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sup>
        </m:sSup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  <w:szCs w:val="24"/>
        </w:rPr>
        <w:t>(B.10)</w:t>
      </w:r>
    </w:p>
    <w:p w14:paraId="687ED005" w14:textId="7F85CD03" w:rsidR="009F697D" w:rsidRPr="00722B12" w:rsidRDefault="009F697D" w:rsidP="009F697D">
      <w:pPr>
        <w:rPr>
          <w:rFonts w:eastAsiaTheme="minorEastAsia"/>
        </w:rPr>
      </w:pPr>
      <w:r w:rsidRPr="00A72C32">
        <w:t xml:space="preserve">The </w:t>
      </w:r>
      <w:r w:rsidRPr="005E2B3B">
        <w:t>frictional viscosity</w:t>
      </w:r>
      <w:r w:rsidRPr="00A72C32">
        <w:t xml:space="preserve"> accounts for the viscous-plastic transition at maximum solid volume fraction, and was modelled with the expression of</w:t>
      </w:r>
      <w:r>
        <w:t xml:space="preserve"> </w:t>
      </w:r>
      <w:hyperlink w:anchor="_ENREF_3" w:tooltip="Schaeffer, 1987 #39" w:history="1">
        <w:r w:rsidRPr="009F697D">
          <w:rPr>
            <w:rStyle w:val="Hyperlink"/>
          </w:rPr>
          <w:t>Schaeffer (1987)</w:t>
        </w:r>
        <w:r w:rsidRPr="009F697D">
          <w:fldChar w:fldCharType="begin"/>
        </w:r>
        <w:r w:rsidRPr="009F697D">
          <w:instrText xml:space="preserve"> ADDIN EN.CITE &lt;EndNote&gt;&lt;Cite AuthorYear="1"&gt;&lt;Author&gt;Schaeffer&lt;/Author&gt;&lt;Year&gt;1987&lt;/Year&gt;&lt;RecNum&gt;39&lt;/RecNum&gt;&lt;DisplayText&gt;Schaeffer (1987)&lt;/DisplayText&gt;&lt;record&gt;&lt;rec-number&gt;39&lt;/rec-number&gt;&lt;foreign-keys&gt;&lt;key app="EN" db-id="erdevzeri0sepeezpvopdr29xrx9tv99wv9a" timestamp="1638066462"&gt;39&lt;/key&gt;&lt;/foreign-keys&gt;&lt;ref-type name="Journal Article"&gt;17&lt;/ref-type&gt;&lt;contributors&gt;&lt;authors&gt;&lt;author&gt;Schaeffer, David G&lt;/author&gt;&lt;/authors&gt;&lt;/contributors&gt;&lt;titles&gt;&lt;title&gt;Instability in the evolution equations describing incompressible granular flow&lt;/title&gt;&lt;secondary-title&gt;Journal of differential equations&lt;/secondary-title&gt;&lt;/titles&gt;&lt;periodical&gt;&lt;full-title&gt;Journal of differential equations&lt;/full-title&gt;&lt;/periodical&gt;&lt;pages&gt;19-50&lt;/pages&gt;&lt;volume&gt;66&lt;/volume&gt;&lt;number&gt;1&lt;/number&gt;&lt;dates&gt;&lt;year&gt;1987&lt;/year&gt;&lt;/dates&gt;&lt;isbn&gt;0022-0396&lt;/isbn&gt;&lt;urls&gt;&lt;/urls&gt;&lt;/record&gt;&lt;/Cite&gt;&lt;/EndNote&gt;</w:instrText>
        </w:r>
        <w:r w:rsidRPr="009F697D">
          <w:fldChar w:fldCharType="end"/>
        </w:r>
      </w:hyperlink>
      <w:r>
        <w:t>:</w:t>
      </w:r>
    </w:p>
    <w:p w14:paraId="63FF4288" w14:textId="77777777" w:rsidR="009F697D" w:rsidRPr="0015725C" w:rsidRDefault="003F435B" w:rsidP="009F697D">
      <w:pPr>
        <w:ind w:left="288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μ</m:t>
            </m:r>
          </m:e>
          <m:sub>
            <m:r>
              <w:rPr>
                <w:rFonts w:ascii="Cambria Math" w:hAnsi="Cambria Math"/>
              </w:rPr>
              <m:t>s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</w:rPr>
              <m:t>fr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r>
              <w:rPr>
                <w:rFonts w:ascii="Cambria Math" w:hAnsi="Cambria Math"/>
              </w:rPr>
              <m:t>sinϕ</m:t>
            </m:r>
          </m:num>
          <m:den>
            <m:r>
              <w:rPr>
                <w:rFonts w:ascii="Cambria Math" w:hAnsi="Cambria Math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  <m:r>
                      <w:rPr>
                        <w:rFonts w:ascii="Cambria Math" w:hAnsi="Cambria Math"/>
                      </w:rPr>
                      <m:t>D</m:t>
                    </m:r>
                  </m:sub>
                </m:sSub>
              </m:e>
            </m:rad>
          </m:den>
        </m:f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  <w:szCs w:val="24"/>
        </w:rPr>
        <w:t>(B.11)</w:t>
      </w:r>
    </w:p>
    <w:p w14:paraId="52A838C4" w14:textId="3A1BDB7A" w:rsidR="009F697D" w:rsidRPr="006E4EDA" w:rsidRDefault="009F697D" w:rsidP="009F697D">
      <w:pPr>
        <w:rPr>
          <w:rFonts w:eastAsiaTheme="minorEastAsia"/>
        </w:rPr>
      </w:pPr>
      <w:r>
        <w:rPr>
          <w:rFonts w:eastAsiaTheme="minorEastAsia"/>
        </w:rPr>
        <w:lastRenderedPageBreak/>
        <w:t xml:space="preserve">The solids pressure is composed of a kinetic term and another term due to particles collisions, and is represented by </w:t>
      </w:r>
      <w:hyperlink w:anchor="_ENREF_2" w:tooltip="Lun, 1984 #33" w:history="1">
        <w:proofErr w:type="spellStart"/>
        <w:r w:rsidRPr="009F697D">
          <w:rPr>
            <w:rStyle w:val="Hyperlink"/>
          </w:rPr>
          <w:t>Lun</w:t>
        </w:r>
        <w:proofErr w:type="spellEnd"/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 xml:space="preserve"> (1984)</w:t>
        </w:r>
        <w:r w:rsidRPr="009F697D">
          <w:fldChar w:fldCharType="begin"/>
        </w:r>
        <w:r w:rsidRPr="009F697D">
          <w:instrText xml:space="preserve"> ADDIN EN.CITE &lt;EndNote&gt;&lt;Cite AuthorYear="1"&gt;&lt;Author&gt;Lun&lt;/Author&gt;&lt;Year&gt;1984&lt;/Year&gt;&lt;RecNum&gt;33&lt;/RecNum&gt;&lt;DisplayText&gt;Lun&lt;style face="italic"&gt; et al.&lt;/style&gt; (1984)&lt;/DisplayText&gt;&lt;record&gt;&lt;rec-number&gt;33&lt;/rec-number&gt;&lt;foreign-keys&gt;&lt;key app="EN" db-id="erdevzeri0sepeezpvopdr29xrx9tv99wv9a" timestamp="1638066461"&gt;33&lt;/key&gt;&lt;/foreign-keys&gt;&lt;ref-type name="Journal Article"&gt;17&lt;/ref-type&gt;&lt;contributors&gt;&lt;authors&gt;&lt;author&gt;Lun, CKK&lt;/author&gt;&lt;author&gt;Savage, S Br&lt;/author&gt;&lt;author&gt;Jeffrey, DJ&lt;/author&gt;&lt;author&gt;Chepurniy, N&lt;/author&gt;&lt;/authors&gt;&lt;/contributors&gt;&lt;titles&gt;&lt;title&gt;Kinetic theories for granular flow: inelastic particles in Couette flow and slightly inelastic particles in a general flowfield&lt;/title&gt;&lt;secondary-title&gt;Journal of fluid mechanics&lt;/secondary-title&gt;&lt;/titles&gt;&lt;periodical&gt;&lt;full-title&gt;Journal of fluid mechanics&lt;/full-title&gt;&lt;/periodical&gt;&lt;pages&gt;223-256&lt;/pages&gt;&lt;volume&gt;140&lt;/volume&gt;&lt;dates&gt;&lt;year&gt;1984&lt;/year&gt;&lt;/dates&gt;&lt;isbn&gt;1469-7645&lt;/isbn&gt;&lt;urls&gt;&lt;/urls&gt;&lt;/record&gt;&lt;/Cite&gt;&lt;/EndNote&gt;</w:instrText>
        </w:r>
        <w:r w:rsidRPr="009F697D">
          <w:fldChar w:fldCharType="end"/>
        </w:r>
      </w:hyperlink>
      <w:r>
        <w:rPr>
          <w:rFonts w:eastAsiaTheme="minorEastAsia"/>
        </w:rPr>
        <w:t xml:space="preserve"> </w:t>
      </w:r>
    </w:p>
    <w:p w14:paraId="1A969D7C" w14:textId="77777777" w:rsidR="009F697D" w:rsidRPr="00722B12" w:rsidRDefault="003F435B" w:rsidP="009F697D">
      <w:pPr>
        <w:ind w:left="2160" w:firstLine="720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ρ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4"/>
              </w:rPr>
              <m:t>Θ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hAnsi="Cambria Math"/>
          </w:rPr>
          <m:t>+2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ρ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1+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e</m:t>
                </m:r>
              </m:e>
              <m:sub>
                <m:r>
                  <w:rPr>
                    <w:rFonts w:ascii="Cambria Math" w:hAnsi="Cambria Math"/>
                  </w:rPr>
                  <m:t>ss</m:t>
                </m:r>
              </m:sub>
            </m:sSub>
          </m:e>
        </m:d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s</m:t>
            </m:r>
          </m:sub>
          <m:sup>
            <m:r>
              <w:rPr>
                <w:rFonts w:ascii="Cambria Math" w:hAnsi="Cambria Math"/>
              </w:rPr>
              <m:t>2</m:t>
            </m:r>
          </m:sup>
        </m:sSubSup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4"/>
              </w:rPr>
              <m:t>Θ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  <w:t>(B.12)</w:t>
      </w:r>
    </w:p>
    <w:p w14:paraId="1F244F34" w14:textId="159038FB" w:rsidR="009F697D" w:rsidRDefault="009F697D" w:rsidP="009F697D">
      <w:pPr>
        <w:rPr>
          <w:rFonts w:eastAsiaTheme="minorEastAsia"/>
        </w:rPr>
      </w:pPr>
      <w:r w:rsidRPr="00A72C32">
        <w:t xml:space="preserve">The </w:t>
      </w:r>
      <w:r w:rsidRPr="005E2B3B">
        <w:t>radial distribution function</w:t>
      </w:r>
      <w:r w:rsidRPr="00A72C32">
        <w:t xml:space="preserve"> is a correction term that modifies the probability of collision when close to reaching the packing limit</w:t>
      </w:r>
      <w:r>
        <w:t xml:space="preserve"> and is represented by </w:t>
      </w:r>
      <w:hyperlink w:anchor="_ENREF_2" w:tooltip="Lun, 1984 #33" w:history="1">
        <w:proofErr w:type="spellStart"/>
        <w:r w:rsidRPr="009F697D">
          <w:rPr>
            <w:rStyle w:val="Hyperlink"/>
          </w:rPr>
          <w:t>Lun</w:t>
        </w:r>
        <w:proofErr w:type="spellEnd"/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 xml:space="preserve"> (1984)</w:t>
        </w:r>
        <w:r w:rsidRPr="009F697D">
          <w:fldChar w:fldCharType="begin"/>
        </w:r>
        <w:r w:rsidRPr="009F697D">
          <w:instrText xml:space="preserve"> ADDIN EN.CITE &lt;EndNote&gt;&lt;Cite AuthorYear="1"&gt;&lt;Author&gt;Lun&lt;/Author&gt;&lt;Year&gt;1984&lt;/Year&gt;&lt;RecNum&gt;33&lt;/RecNum&gt;&lt;DisplayText&gt;Lun&lt;style face="italic"&gt; et al.&lt;/style&gt; (1984)&lt;/DisplayText&gt;&lt;record&gt;&lt;rec-number&gt;33&lt;/rec-number&gt;&lt;foreign-keys&gt;&lt;key app="EN" db-id="erdevzeri0sepeezpvopdr29xrx9tv99wv9a" timestamp="1638066461"&gt;33&lt;/key&gt;&lt;/foreign-keys&gt;&lt;ref-type name="Journal Article"&gt;17&lt;/ref-type&gt;&lt;contributors&gt;&lt;authors&gt;&lt;author&gt;Lun, CKK&lt;/author&gt;&lt;author&gt;Savage, S Br&lt;/author&gt;&lt;author&gt;Jeffrey, DJ&lt;/author&gt;&lt;author&gt;Chepurniy, N&lt;/author&gt;&lt;/authors&gt;&lt;/contributors&gt;&lt;titles&gt;&lt;title&gt;Kinetic theories for granular flow: inelastic particles in Couette flow and slightly inelastic particles in a general flowfield&lt;/title&gt;&lt;secondary-title&gt;Journal of fluid mechanics&lt;/secondary-title&gt;&lt;/titles&gt;&lt;periodical&gt;&lt;full-title&gt;Journal of fluid mechanics&lt;/full-title&gt;&lt;/periodical&gt;&lt;pages&gt;223-256&lt;/pages&gt;&lt;volume&gt;140&lt;/volume&gt;&lt;dates&gt;&lt;year&gt;1984&lt;/year&gt;&lt;/dates&gt;&lt;isbn&gt;1469-7645&lt;/isbn&gt;&lt;urls&gt;&lt;/urls&gt;&lt;/record&gt;&lt;/Cite&gt;&lt;/EndNote&gt;</w:instrText>
        </w:r>
        <w:r w:rsidRPr="009F697D">
          <w:fldChar w:fldCharType="end"/>
        </w:r>
      </w:hyperlink>
      <w:r>
        <w:t>:</w:t>
      </w:r>
    </w:p>
    <w:p w14:paraId="4EFF375C" w14:textId="77777777" w:rsidR="009F697D" w:rsidRPr="00722B12" w:rsidRDefault="003F435B" w:rsidP="009F697D">
      <w:pPr>
        <w:ind w:left="288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g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α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s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α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s</m:t>
                                </m:r>
                                <m:r>
                                  <w:rPr>
                                    <w:rFonts w:ascii="Cambria Math" w:hAnsi="Cambria Math"/>
                                  </w:rPr>
                                  <m:t>,</m:t>
                                </m:r>
                                <m:r>
                                  <w:rPr>
                                    <w:rFonts w:ascii="Cambria Math" w:hAnsi="Cambria Math"/>
                                  </w:rPr>
                                  <m:t>max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f>
                      <m:fPr>
                        <m:type m:val="lin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den>
                    </m:f>
                  </m:sup>
                </m:sSup>
              </m:e>
            </m:d>
          </m:e>
          <m:sup>
            <m:r>
              <w:rPr>
                <w:rFonts w:ascii="Cambria Math" w:hAnsi="Cambria Math"/>
              </w:rPr>
              <m:t>-</m:t>
            </m:r>
            <m:r>
              <w:rPr>
                <w:rFonts w:ascii="Cambria Math" w:hAnsi="Cambria Math"/>
              </w:rPr>
              <m:t>1</m:t>
            </m:r>
          </m:sup>
        </m:sSup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  <w:szCs w:val="24"/>
        </w:rPr>
        <w:t>(B.13)</w:t>
      </w:r>
    </w:p>
    <w:p w14:paraId="2FFBAA7A" w14:textId="77777777" w:rsidR="009F697D" w:rsidRDefault="009F697D" w:rsidP="009F697D">
      <w:pPr>
        <w:rPr>
          <w:rFonts w:eastAsiaTheme="minorEastAsia"/>
        </w:rPr>
      </w:pPr>
      <w:r>
        <w:rPr>
          <w:rFonts w:eastAsiaTheme="minorEastAsia"/>
        </w:rPr>
        <w:t>The granular temperature conservation equation is:</w:t>
      </w:r>
    </w:p>
    <w:p w14:paraId="64C7CCEE" w14:textId="77777777" w:rsidR="009F697D" w:rsidRPr="00133D25" w:rsidRDefault="003F435B" w:rsidP="009F697D">
      <w:pPr>
        <w:rPr>
          <w:rFonts w:eastAsiaTheme="minorEastAsia"/>
        </w:rPr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3</m:t>
            </m:r>
          </m:num>
          <m:den>
            <m:r>
              <w:rPr>
                <w:rFonts w:ascii="Cambria Math" w:eastAsiaTheme="minorEastAsia" w:hAnsi="Cambria Math"/>
              </w:rPr>
              <m:t>2</m:t>
            </m:r>
          </m:den>
        </m:f>
        <m:d>
          <m:dPr>
            <m:begChr m:val="["/>
            <m:endChr m:val="]"/>
            <m:ctrlPr>
              <w:rPr>
                <w:rFonts w:ascii="Cambria Math" w:eastAsiaTheme="minorEastAsia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∂</m:t>
                </m:r>
              </m:num>
              <m:den>
                <m:r>
                  <w:rPr>
                    <w:rFonts w:ascii="Cambria Math" w:hAnsi="Cambria Math"/>
                  </w:rPr>
                  <m:t>∂t</m:t>
                </m:r>
              </m:den>
            </m:f>
            <m:d>
              <m:dPr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</m:e>
            </m:d>
            <m:r>
              <w:rPr>
                <w:rFonts w:ascii="Cambria Math" w:eastAsiaTheme="minorEastAsia" w:hAnsi="Cambria Math"/>
              </w:rPr>
              <m:t>+</m:t>
            </m:r>
            <m:r>
              <m:rPr>
                <m:sty m:val="p"/>
              </m:rPr>
              <w:rPr>
                <w:rFonts w:ascii="Cambria Math" w:eastAsiaTheme="minorEastAsia" w:hAnsi="Cambria Math"/>
              </w:rPr>
              <m:t>∇</m:t>
            </m:r>
            <m:r>
              <w:rPr>
                <w:rFonts w:ascii="Cambria Math" w:eastAsiaTheme="minorEastAsia" w:hAnsi="Cambria Math"/>
              </w:rPr>
              <m:t>∙</m:t>
            </m:r>
            <m:d>
              <m:dPr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Cs w:val="24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Cs w:val="24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s</m:t>
                    </m:r>
                  </m:sub>
                </m:sSub>
              </m:e>
            </m:d>
          </m:e>
        </m:d>
        <m:r>
          <w:rPr>
            <w:rFonts w:ascii="Cambria Math" w:eastAsiaTheme="minorEastAsia" w:hAnsi="Cambria Math"/>
          </w:rPr>
          <m:t>=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-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I</m:t>
                </m:r>
              </m:e>
            </m:acc>
            <m:r>
              <w:rPr>
                <w:rFonts w:ascii="Cambria Math" w:hAnsi="Cambria Math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̿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τ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w:rPr>
            <w:rFonts w:ascii="Cambria Math" w:eastAsiaTheme="minorEastAsia" w:hAnsi="Cambria Math"/>
          </w:rPr>
          <m:t xml:space="preserve"> : </m:t>
        </m:r>
        <m:r>
          <m:rPr>
            <m:sty m:val="p"/>
          </m:rPr>
          <w:rPr>
            <w:rFonts w:ascii="Cambria Math" w:eastAsiaTheme="minorEastAsia" w:hAnsi="Cambria Math"/>
          </w:rPr>
          <m:t>∇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eastAsiaTheme="minorEastAsia" w:hAnsi="Cambria Math"/>
            <w:szCs w:val="24"/>
          </w:rPr>
          <m:t>+</m:t>
        </m:r>
        <m:r>
          <m:rPr>
            <m:sty m:val="p"/>
          </m:rPr>
          <w:rPr>
            <w:rFonts w:ascii="Cambria Math" w:eastAsiaTheme="minorEastAsia" w:hAnsi="Cambria Math"/>
          </w:rPr>
          <m:t>∇</m:t>
        </m:r>
        <m:r>
          <w:rPr>
            <w:rFonts w:ascii="Cambria Math" w:eastAsiaTheme="minorEastAsia" w:hAnsi="Cambria Math"/>
          </w:rPr>
          <m:t>∙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k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Θ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s</m:t>
                    </m:r>
                  </m:sub>
                </m:sSub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∇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4"/>
                  </w:rPr>
                  <m:t>Θ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w:rPr>
            <w:rFonts w:ascii="Cambria Math" w:eastAsiaTheme="minorEastAsia" w:hAnsi="Cambria Math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γ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Θ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</m:sub>
        </m:sSub>
        <m:r>
          <w:rPr>
            <w:rFonts w:ascii="Cambria Math" w:eastAsiaTheme="minorEastAsia" w:hAnsi="Cambria Math"/>
          </w:rPr>
          <m:t>+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ϕ</m:t>
            </m:r>
          </m:e>
          <m:sub>
            <m:r>
              <w:rPr>
                <w:rFonts w:ascii="Cambria Math" w:eastAsiaTheme="minorEastAsia" w:hAnsi="Cambria Math"/>
              </w:rPr>
              <m:t>gs</m:t>
            </m:r>
          </m:sub>
        </m:sSub>
      </m:oMath>
      <w:r w:rsidR="009F697D">
        <w:rPr>
          <w:rFonts w:eastAsiaTheme="minorEastAsia"/>
        </w:rPr>
        <w:tab/>
        <w:t>(B.14)</w:t>
      </w:r>
    </w:p>
    <w:p w14:paraId="600DB2A8" w14:textId="77777777" w:rsidR="009F697D" w:rsidRDefault="003F435B" w:rsidP="009F697D">
      <w:pPr>
        <w:rPr>
          <w:rFonts w:eastAsiaTheme="minorEastAsia"/>
        </w:rPr>
      </w:pPr>
      <m:oMath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-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I</m:t>
                </m:r>
              </m:e>
            </m:acc>
            <m:r>
              <w:rPr>
                <w:rFonts w:ascii="Cambria Math" w:hAnsi="Cambria Math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̿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τ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w:rPr>
            <w:rFonts w:ascii="Cambria Math" w:eastAsiaTheme="minorEastAsia" w:hAnsi="Cambria Math"/>
          </w:rPr>
          <m:t xml:space="preserve"> : </m:t>
        </m:r>
        <m:r>
          <m:rPr>
            <m:sty m:val="p"/>
          </m:rPr>
          <w:rPr>
            <w:rFonts w:ascii="Cambria Math" w:eastAsiaTheme="minorEastAsia" w:hAnsi="Cambria Math"/>
          </w:rPr>
          <m:t>∇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</m:oMath>
      <w:r w:rsidR="009F697D">
        <w:rPr>
          <w:rFonts w:eastAsiaTheme="minorEastAsia"/>
          <w:szCs w:val="24"/>
        </w:rPr>
        <w:t>:</w:t>
      </w:r>
      <w:r w:rsidR="009F697D" w:rsidRPr="00133D25">
        <w:rPr>
          <w:rFonts w:eastAsiaTheme="minorEastAsia"/>
        </w:rPr>
        <w:t xml:space="preserve"> the generation of</w:t>
      </w:r>
      <w:r w:rsidR="009F697D">
        <w:rPr>
          <w:rFonts w:eastAsiaTheme="minorEastAsia"/>
        </w:rPr>
        <w:t xml:space="preserve"> </w:t>
      </w:r>
      <w:r w:rsidR="009F697D" w:rsidRPr="00133D25">
        <w:rPr>
          <w:rFonts w:eastAsiaTheme="minorEastAsia"/>
        </w:rPr>
        <w:t>energy by the solid stress tensor</w:t>
      </w:r>
    </w:p>
    <w:p w14:paraId="088BBBF7" w14:textId="77777777" w:rsidR="009F697D" w:rsidRDefault="009F697D" w:rsidP="009F697D">
      <w:pPr>
        <w:rPr>
          <w:rFonts w:eastAsiaTheme="minorEastAsia"/>
        </w:rPr>
      </w:pPr>
      <m:oMath>
        <m:r>
          <m:rPr>
            <m:sty m:val="p"/>
          </m:rPr>
          <w:rPr>
            <w:rFonts w:ascii="Cambria Math" w:eastAsiaTheme="minorEastAsia" w:hAnsi="Cambria Math"/>
          </w:rPr>
          <m:t>∇</m:t>
        </m:r>
        <m:r>
          <w:rPr>
            <w:rFonts w:ascii="Cambria Math" w:eastAsiaTheme="minorEastAsia" w:hAnsi="Cambria Math"/>
          </w:rPr>
          <m:t>∙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Cs w:val="24"/>
                  </w:rPr>
                  <m:t>k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</w:rPr>
                      <m:t>Θ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s</m:t>
                    </m:r>
                  </m:sub>
                </m:sSub>
              </m:sub>
            </m:sSub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∇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4"/>
                  </w:rPr>
                  <m:t>Θ</m:t>
                </m:r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</m:oMath>
      <w:r>
        <w:rPr>
          <w:rFonts w:eastAsiaTheme="minorEastAsia"/>
        </w:rPr>
        <w:t xml:space="preserve">: the </w:t>
      </w:r>
      <w:r w:rsidRPr="00133D25">
        <w:rPr>
          <w:rFonts w:eastAsiaTheme="minorEastAsia"/>
        </w:rPr>
        <w:t>diffusion</w:t>
      </w:r>
      <w:r>
        <w:rPr>
          <w:rFonts w:eastAsiaTheme="minorEastAsia"/>
        </w:rPr>
        <w:t xml:space="preserve"> </w:t>
      </w:r>
      <w:r w:rsidRPr="00133D25">
        <w:rPr>
          <w:rFonts w:eastAsiaTheme="minorEastAsia"/>
        </w:rPr>
        <w:t>of the energy</w:t>
      </w:r>
    </w:p>
    <w:p w14:paraId="73B6998A" w14:textId="77777777" w:rsidR="009F697D" w:rsidRDefault="003F435B" w:rsidP="009F697D">
      <w:pPr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γ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Θ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</m:sub>
        </m:sSub>
      </m:oMath>
      <w:r w:rsidR="009F697D">
        <w:rPr>
          <w:rFonts w:eastAsiaTheme="minorEastAsia"/>
        </w:rPr>
        <w:t xml:space="preserve">: </w:t>
      </w:r>
      <w:r w:rsidR="009F697D" w:rsidRPr="00133D25">
        <w:rPr>
          <w:rFonts w:eastAsiaTheme="minorEastAsia"/>
        </w:rPr>
        <w:t>the</w:t>
      </w:r>
      <w:r w:rsidR="009F697D">
        <w:rPr>
          <w:rFonts w:eastAsiaTheme="minorEastAsia"/>
        </w:rPr>
        <w:t xml:space="preserve"> rate of energy</w:t>
      </w:r>
      <w:r w:rsidR="009F697D" w:rsidRPr="00133D25">
        <w:rPr>
          <w:rFonts w:eastAsiaTheme="minorEastAsia"/>
        </w:rPr>
        <w:t xml:space="preserve"> dissipation</w:t>
      </w:r>
      <w:r w:rsidR="009F697D">
        <w:rPr>
          <w:rFonts w:eastAsiaTheme="minorEastAsia"/>
        </w:rPr>
        <w:t xml:space="preserve"> due to particles collisions</w:t>
      </w:r>
    </w:p>
    <w:p w14:paraId="3F2D46C8" w14:textId="77777777" w:rsidR="009F697D" w:rsidRDefault="003F435B" w:rsidP="009F697D">
      <w:pPr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ϕ</m:t>
            </m:r>
          </m:e>
          <m:sub>
            <m:r>
              <w:rPr>
                <w:rFonts w:ascii="Cambria Math" w:eastAsiaTheme="minorEastAsia" w:hAnsi="Cambria Math"/>
              </w:rPr>
              <m:t>gs</m:t>
            </m:r>
          </m:sub>
        </m:sSub>
      </m:oMath>
      <w:r w:rsidR="009F697D">
        <w:rPr>
          <w:rFonts w:eastAsiaTheme="minorEastAsia"/>
        </w:rPr>
        <w:t xml:space="preserve">: the transfer rate of kinetic </w:t>
      </w:r>
      <w:r w:rsidR="009F697D">
        <w:t xml:space="preserve">energy </w:t>
      </w:r>
      <w:r w:rsidR="009F697D">
        <w:rPr>
          <w:rFonts w:eastAsiaTheme="minorEastAsia"/>
        </w:rPr>
        <w:t>due to random collisions between the gas and solid phases</w:t>
      </w:r>
    </w:p>
    <w:p w14:paraId="4701460A" w14:textId="77777777" w:rsidR="009F697D" w:rsidRPr="00722B12" w:rsidRDefault="009F697D" w:rsidP="009F697D">
      <w:pPr>
        <w:rPr>
          <w:rFonts w:eastAsiaTheme="minorEastAsia"/>
        </w:rPr>
      </w:pPr>
      <w:r>
        <w:rPr>
          <w:rFonts w:eastAsiaTheme="minorEastAsia"/>
        </w:rPr>
        <w:t xml:space="preserve">The simplified expression – algebraic form – neglects mainly the convection and diffusion terms to yield the following: </w:t>
      </w:r>
    </w:p>
    <w:p w14:paraId="16E8D03E" w14:textId="77777777" w:rsidR="009F697D" w:rsidRPr="006E4EDA" w:rsidRDefault="009F697D" w:rsidP="009F697D">
      <w:pPr>
        <w:ind w:left="2160" w:firstLine="720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0=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-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  <m:acc>
              <m:accPr>
                <m:chr m:val="̿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I</m:t>
                </m:r>
              </m:e>
            </m:acc>
            <m:r>
              <w:rPr>
                <w:rFonts w:ascii="Cambria Math" w:hAnsi="Cambria Math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Cs w:val="24"/>
                  </w:rPr>
                </m:ctrlPr>
              </m:sSubPr>
              <m:e>
                <m:acc>
                  <m:accPr>
                    <m:chr m:val="̿"/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Cs w:val="24"/>
                      </w:rPr>
                      <m:t>τ</m:t>
                    </m:r>
                  </m:e>
                </m:acc>
              </m:e>
              <m:sub>
                <m:r>
                  <w:rPr>
                    <w:rFonts w:ascii="Cambria Math" w:hAnsi="Cambria Math"/>
                    <w:szCs w:val="24"/>
                  </w:rPr>
                  <m:t>s</m:t>
                </m:r>
              </m:sub>
            </m:sSub>
          </m:e>
        </m:d>
        <m:r>
          <w:rPr>
            <w:rFonts w:ascii="Cambria Math" w:eastAsiaTheme="minorEastAsia" w:hAnsi="Cambria Math"/>
          </w:rPr>
          <m:t xml:space="preserve"> : </m:t>
        </m:r>
        <m:r>
          <m:rPr>
            <m:sty m:val="p"/>
          </m:rPr>
          <w:rPr>
            <w:rFonts w:ascii="Cambria Math" w:eastAsiaTheme="minorEastAsia" w:hAnsi="Cambria Math"/>
          </w:rPr>
          <m:t>∇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szCs w:val="24"/>
                  </w:rPr>
                </m:ctrlPr>
              </m:accPr>
              <m:e>
                <m:r>
                  <w:rPr>
                    <w:rFonts w:ascii="Cambria Math" w:hAnsi="Cambria Math"/>
                    <w:szCs w:val="24"/>
                  </w:rPr>
                  <m:t>v</m:t>
                </m:r>
              </m:e>
            </m:acc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  <m:r>
          <w:rPr>
            <w:rFonts w:ascii="Cambria Math" w:eastAsiaTheme="minorEastAsia" w:hAnsi="Cambria Math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γ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Θ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</m:sub>
        </m:sSub>
        <m:r>
          <w:rPr>
            <w:rFonts w:ascii="Cambria Math" w:eastAsiaTheme="minorEastAsia" w:hAnsi="Cambria Math"/>
          </w:rPr>
          <m:t>+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ϕ</m:t>
            </m:r>
          </m:e>
          <m:sub>
            <m:r>
              <w:rPr>
                <w:rFonts w:ascii="Cambria Math" w:eastAsiaTheme="minorEastAsia" w:hAnsi="Cambria Math"/>
              </w:rPr>
              <m:t>gs</m:t>
            </m:r>
          </m:sub>
        </m:sSub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  <w:szCs w:val="24"/>
        </w:rPr>
        <w:t>(B.15)</w:t>
      </w:r>
    </w:p>
    <w:p w14:paraId="7C898F7F" w14:textId="561B1AFB" w:rsidR="009F697D" w:rsidRPr="00722B12" w:rsidRDefault="009F697D" w:rsidP="009F697D">
      <w:pPr>
        <w:rPr>
          <w:rFonts w:eastAsiaTheme="minorEastAsia"/>
        </w:rPr>
      </w:pPr>
      <w:r>
        <w:rPr>
          <w:rFonts w:eastAsiaTheme="minorEastAsia"/>
        </w:rPr>
        <w:t xml:space="preserve">Where the collisional dissipation of energy is represented by </w:t>
      </w:r>
      <w:hyperlink w:anchor="_ENREF_2" w:tooltip="Lun, 1984 #33" w:history="1">
        <w:proofErr w:type="spellStart"/>
        <w:r w:rsidRPr="009F697D">
          <w:rPr>
            <w:rStyle w:val="Hyperlink"/>
          </w:rPr>
          <w:t>Lun</w:t>
        </w:r>
        <w:proofErr w:type="spellEnd"/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 xml:space="preserve"> (1984)</w:t>
        </w:r>
        <w:r w:rsidRPr="009F697D">
          <w:fldChar w:fldCharType="begin"/>
        </w:r>
        <w:r w:rsidRPr="009F697D">
          <w:instrText xml:space="preserve"> ADDIN EN.CITE &lt;EndNote&gt;&lt;Cite AuthorYear="1"&gt;&lt;Author&gt;Lun&lt;/Author&gt;&lt;Year&gt;1984&lt;/Year&gt;&lt;RecNum&gt;33&lt;/RecNum&gt;&lt;DisplayText&gt;Lun&lt;style face="italic"&gt; et al.&lt;/style&gt; (1984)&lt;/DisplayText&gt;&lt;record&gt;&lt;rec-number&gt;33&lt;/rec-number&gt;&lt;foreign-keys&gt;&lt;key app="EN" db-id="erdevzeri0sepeezpvopdr29xrx9tv99wv9a" timestamp="1638066461"&gt;33&lt;/key&gt;&lt;/foreign-keys&gt;&lt;ref-type name="Journal Article"&gt;17&lt;/ref-type&gt;&lt;contributors&gt;&lt;authors&gt;&lt;author&gt;Lun, CKK&lt;/author&gt;&lt;author&gt;Savage, S Br&lt;/author&gt;&lt;author&gt;Jeffrey, DJ&lt;/author&gt;&lt;author&gt;Chepurniy, N&lt;/author&gt;&lt;/authors&gt;&lt;/contributors&gt;&lt;titles&gt;&lt;title&gt;Kinetic theories for granular flow: inelastic particles in Couette flow and slightly inelastic particles in a general flowfield&lt;/title&gt;&lt;secondary-title&gt;Journal of fluid mechanics&lt;/secondary-title&gt;&lt;/titles&gt;&lt;periodical&gt;&lt;full-title&gt;Journal of fluid mechanics&lt;/full-title&gt;&lt;/periodical&gt;&lt;pages&gt;223-256&lt;/pages&gt;&lt;volume&gt;140&lt;/volume&gt;&lt;dates&gt;&lt;year&gt;1984&lt;/year&gt;&lt;/dates&gt;&lt;isbn&gt;1469-7645&lt;/isbn&gt;&lt;urls&gt;&lt;/urls&gt;&lt;/record&gt;&lt;/Cite&gt;&lt;/EndNote&gt;</w:instrText>
        </w:r>
        <w:r w:rsidRPr="009F697D">
          <w:fldChar w:fldCharType="end"/>
        </w:r>
      </w:hyperlink>
      <w:r>
        <w:rPr>
          <w:rFonts w:eastAsiaTheme="minorEastAsia"/>
        </w:rPr>
        <w:t>:</w:t>
      </w:r>
    </w:p>
    <w:p w14:paraId="4452E516" w14:textId="77777777" w:rsidR="009F697D" w:rsidRPr="00F82957" w:rsidRDefault="003F435B" w:rsidP="009F697D">
      <w:pPr>
        <w:ind w:left="2880" w:firstLine="720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γ</m:t>
            </m:r>
          </m:e>
          <m:sub>
            <m:sSub>
              <m:sSubPr>
                <m:ctrlPr>
                  <w:rPr>
                    <w:rFonts w:ascii="Cambria Math" w:eastAsiaTheme="minorEastAsia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Θ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12</m:t>
            </m:r>
            <m:d>
              <m:dPr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1-</m:t>
                </m:r>
                <m:sSubSup>
                  <m:sSub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ss</m:t>
                    </m:r>
                  </m:sub>
                  <m:sup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p>
                </m:sSubSup>
              </m:e>
            </m:d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g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s</m:t>
                </m:r>
              </m:sub>
            </m:sSub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</w:rPr>
                  <m:t>π</m:t>
                </m:r>
              </m:e>
            </m:rad>
          </m:den>
        </m:f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ρ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α</m:t>
            </m:r>
          </m:e>
          <m:sub>
            <m:r>
              <w:rPr>
                <w:rFonts w:ascii="Cambria Math" w:hAnsi="Cambria Math"/>
              </w:rPr>
              <m:t>s</m:t>
            </m:r>
          </m:sub>
          <m:sup>
            <m:r>
              <w:rPr>
                <w:rFonts w:ascii="Cambria Math" w:hAnsi="Cambria Math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s</m:t>
            </m:r>
          </m:sub>
          <m:sup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sup>
        </m:sSubSup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  <w:t>(B.16)</w:t>
      </w:r>
    </w:p>
    <w:p w14:paraId="3B2B50D6" w14:textId="29A146F2" w:rsidR="009F697D" w:rsidRPr="00F82957" w:rsidRDefault="009F697D" w:rsidP="009F697D">
      <w:pPr>
        <w:rPr>
          <w:rFonts w:eastAsiaTheme="minorEastAsia"/>
        </w:rPr>
      </w:pPr>
      <w:r>
        <w:rPr>
          <w:rFonts w:eastAsiaTheme="minorEastAsia"/>
        </w:rPr>
        <w:t xml:space="preserve">The </w:t>
      </w:r>
      <w:r>
        <w:t>energy exchange between the gas and solid phases</w:t>
      </w:r>
      <w:r>
        <w:rPr>
          <w:rFonts w:eastAsiaTheme="minorEastAsia"/>
        </w:rPr>
        <w:t xml:space="preserve"> is given by </w:t>
      </w:r>
      <w:hyperlink w:anchor="_ENREF_1" w:tooltip="Gidaspow, 1992 #37" w:history="1">
        <w:proofErr w:type="spellStart"/>
        <w:r w:rsidRPr="009F697D">
          <w:rPr>
            <w:rStyle w:val="Hyperlink"/>
          </w:rPr>
          <w:t>Gidaspow</w:t>
        </w:r>
        <w:proofErr w:type="spellEnd"/>
        <w:r w:rsidRPr="009F697D">
          <w:rPr>
            <w:rStyle w:val="Hyperlink"/>
            <w:i/>
          </w:rPr>
          <w:t xml:space="preserve"> et al.</w:t>
        </w:r>
        <w:r w:rsidRPr="009F697D">
          <w:rPr>
            <w:rStyle w:val="Hyperlink"/>
          </w:rPr>
          <w:t xml:space="preserve"> (1992)</w:t>
        </w:r>
        <w:r w:rsidRPr="009F697D">
          <w:fldChar w:fldCharType="begin"/>
        </w:r>
        <w:r w:rsidRPr="009F697D">
          <w:instrText xml:space="preserve"> ADDIN EN.CITE &lt;EndNote&gt;&lt;Cite AuthorYear="1"&gt;&lt;Author&gt;Gidaspow&lt;/Author&gt;&lt;Year&gt;1992&lt;/Year&gt;&lt;RecNum&gt;37&lt;/RecNum&gt;&lt;DisplayText&gt;Gidaspow&lt;style face="italic"&gt; et al.&lt;/style&gt; (1992)&lt;/DisplayText&gt;&lt;record&gt;&lt;rec-number&gt;37&lt;/rec-number&gt;&lt;foreign-keys&gt;&lt;key app="EN" db-id="erdevzeri0sepeezpvopdr29xrx9tv99wv9a" timestamp="1638066462"&gt;37&lt;/key&gt;&lt;/foreign-keys&gt;&lt;ref-type name="Conference Paper"&gt;47&lt;/ref-type&gt;&lt;contributors&gt;&lt;authors&gt;&lt;author&gt;Gidaspow, Dimitri&lt;/author&gt;&lt;author&gt;Bezburuah, Rukmini&lt;/author&gt;&lt;author&gt;Ding, J&lt;/author&gt;&lt;/authors&gt;&lt;/contributors&gt;&lt;titles&gt;&lt;title&gt;Hydrodynamics of circulating fluidized beds: kinetic theory approach&lt;/title&gt;&lt;secondary-title&gt;7th Fluid. Conf.&lt;/secondary-title&gt;&lt;/titles&gt;&lt;pages&gt;75–82&lt;/pages&gt;&lt;dates&gt;&lt;year&gt;1992&lt;/year&gt;&lt;/dates&gt;&lt;publisher&gt;Illinois Inst. of Tech., Chicago, IL (United States). Dept. of Chemical Engineering&lt;/publisher&gt;&lt;urls&gt;&lt;/urls&gt;&lt;/record&gt;&lt;/Cite&gt;&lt;/EndNote&gt;</w:instrText>
        </w:r>
        <w:r w:rsidRPr="009F697D">
          <w:fldChar w:fldCharType="end"/>
        </w:r>
      </w:hyperlink>
      <w:r>
        <w:rPr>
          <w:rFonts w:eastAsiaTheme="minorEastAsia"/>
        </w:rPr>
        <w:t>:</w:t>
      </w:r>
    </w:p>
    <w:p w14:paraId="07C90567" w14:textId="77777777" w:rsidR="009F697D" w:rsidRPr="0089562B" w:rsidRDefault="003F435B" w:rsidP="009F697D">
      <w:pPr>
        <w:ind w:left="2880" w:firstLine="720"/>
        <w:rPr>
          <w:rFonts w:eastAsiaTheme="minorEastAsia"/>
          <w:szCs w:val="24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ϕ</m:t>
            </m:r>
          </m:e>
          <m:sub>
            <m:r>
              <w:rPr>
                <w:rFonts w:ascii="Cambria Math" w:eastAsiaTheme="minorEastAsia" w:hAnsi="Cambria Math"/>
              </w:rPr>
              <m:t>gs</m:t>
            </m:r>
          </m:sub>
        </m:sSub>
        <m:r>
          <w:rPr>
            <w:rFonts w:ascii="Cambria Math" w:eastAsiaTheme="minorEastAsia" w:hAnsi="Cambria Math"/>
          </w:rPr>
          <m:t>=-3</m:t>
        </m:r>
        <m:r>
          <w:rPr>
            <w:rFonts w:ascii="Cambria Math" w:hAnsi="Cambria Math"/>
            <w:szCs w:val="24"/>
          </w:rPr>
          <m:t>β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4"/>
              </w:rPr>
              <m:t>Θ</m:t>
            </m:r>
          </m:e>
          <m:sub>
            <m:r>
              <w:rPr>
                <w:rFonts w:ascii="Cambria Math" w:hAnsi="Cambria Math"/>
                <w:szCs w:val="24"/>
              </w:rPr>
              <m:t>s</m:t>
            </m:r>
          </m:sub>
        </m:sSub>
      </m:oMath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</w:r>
      <w:r w:rsidR="009F697D">
        <w:rPr>
          <w:rFonts w:eastAsiaTheme="minorEastAsia"/>
          <w:szCs w:val="24"/>
        </w:rPr>
        <w:tab/>
        <w:t>(B.17)</w:t>
      </w:r>
    </w:p>
    <w:p w14:paraId="45E0E3DC" w14:textId="2E916C2F" w:rsidR="009F697D" w:rsidRPr="00722B12" w:rsidRDefault="009F697D" w:rsidP="009F697D">
      <w:pPr>
        <w:rPr>
          <w:rFonts w:eastAsiaTheme="minorEastAsia"/>
        </w:rPr>
      </w:pPr>
      <w:r>
        <w:rPr>
          <w:rFonts w:eastAsiaTheme="minorEastAsia"/>
        </w:rPr>
        <w:t xml:space="preserve">The </w:t>
      </w:r>
      <w:r w:rsidRPr="0089562B">
        <w:rPr>
          <w:rFonts w:eastAsiaTheme="minorEastAsia"/>
        </w:rPr>
        <w:t>interphase</w:t>
      </w:r>
      <w:r>
        <w:rPr>
          <w:rFonts w:eastAsiaTheme="minorEastAsia"/>
        </w:rPr>
        <w:t xml:space="preserve"> </w:t>
      </w:r>
      <w:r w:rsidRPr="0089562B">
        <w:rPr>
          <w:rFonts w:eastAsiaTheme="minorEastAsia"/>
        </w:rPr>
        <w:t>moment</w:t>
      </w:r>
      <w:r>
        <w:rPr>
          <w:rFonts w:eastAsiaTheme="minorEastAsia"/>
        </w:rPr>
        <w:t xml:space="preserve"> </w:t>
      </w:r>
      <w:r w:rsidRPr="0089562B">
        <w:rPr>
          <w:rFonts w:eastAsiaTheme="minorEastAsia"/>
        </w:rPr>
        <w:t>exchange</w:t>
      </w:r>
      <w:r>
        <w:rPr>
          <w:rFonts w:eastAsiaTheme="minorEastAsia"/>
        </w:rPr>
        <w:t xml:space="preserve"> </w:t>
      </w:r>
      <w:r w:rsidRPr="0089562B">
        <w:rPr>
          <w:rFonts w:eastAsiaTheme="minorEastAsia"/>
        </w:rPr>
        <w:t>coefficient</w:t>
      </w:r>
      <w:r>
        <w:rPr>
          <w:rFonts w:eastAsiaTheme="minorEastAsia"/>
        </w:rPr>
        <w:t xml:space="preserve"> available in the different conversation equations is described by </w:t>
      </w:r>
      <w:hyperlink w:anchor="_ENREF_4" w:tooltip="Schiller, 1935 #64" w:history="1">
        <w:r w:rsidRPr="009F697D">
          <w:rPr>
            <w:rStyle w:val="Hyperlink"/>
          </w:rPr>
          <w:t>Schiller and Naumann (1935)</w:t>
        </w:r>
        <w:r w:rsidRPr="009F697D">
          <w:fldChar w:fldCharType="begin"/>
        </w:r>
        <w:r w:rsidRPr="009F697D">
          <w:instrText xml:space="preserve"> ADDIN EN.CITE &lt;EndNote&gt;&lt;Cite AuthorYear="1"&gt;&lt;Author&gt;Schiller&lt;/Author&gt;&lt;Year&gt;1935&lt;/Year&gt;&lt;RecNum&gt;64&lt;/RecNum&gt;&lt;DisplayText&gt;Schiller and Naumann (1935)&lt;/DisplayText&gt;&lt;record&gt;&lt;rec-number&gt;64&lt;/rec-number&gt;&lt;foreign-keys&gt;&lt;key app="EN" db-id="erdevzeri0sepeezpvopdr29xrx9tv99wv9a" timestamp="1648485332"&gt;64&lt;/key&gt;&lt;/foreign-keys&gt;&lt;ref-type name="Journal Article"&gt;17&lt;/ref-type&gt;&lt;contributors&gt;&lt;authors&gt;&lt;author&gt;Schiller, L&lt;/author&gt;&lt;author&gt;Naumann, A&lt;/author&gt;&lt;/authors&gt;&lt;/contributors&gt;&lt;titles&gt;&lt;title&gt;A drag coefficient correlation&lt;/title&gt;&lt;secondary-title&gt;Zeit. Ver. Deutsch. Ing.&lt;/secondary-title&gt;&lt;/titles&gt;&lt;periodical&gt;&lt;full-title&gt;Zeit. Ver. Deutsch. Ing.&lt;/full-title&gt;&lt;/periodical&gt;&lt;pages&gt;318-320&lt;/pages&gt;&lt;volume&gt;77&lt;/volume&gt;&lt;dates&gt;&lt;year&gt;1935&lt;/year&gt;&lt;/dates&gt;&lt;urls&gt;&lt;/urls&gt;&lt;/record&gt;&lt;/Cite&gt;&lt;/EndNote&gt;</w:instrText>
        </w:r>
        <w:r w:rsidRPr="009F697D">
          <w:fldChar w:fldCharType="end"/>
        </w:r>
      </w:hyperlink>
      <w:r>
        <w:rPr>
          <w:rFonts w:eastAsiaTheme="minorEastAsia"/>
        </w:rPr>
        <w:t>:</w:t>
      </w:r>
    </w:p>
    <w:p w14:paraId="5F92458A" w14:textId="77777777" w:rsidR="009F697D" w:rsidRPr="00722B12" w:rsidRDefault="009F697D" w:rsidP="009F697D">
      <w:pPr>
        <w:ind w:left="2880" w:firstLine="720"/>
        <w:rPr>
          <w:rFonts w:eastAsiaTheme="minorEastAsia"/>
        </w:rPr>
      </w:pPr>
      <m:oMath>
        <m:r>
          <w:rPr>
            <w:rFonts w:ascii="Cambria Math" w:hAnsi="Cambria Math"/>
            <w:szCs w:val="24"/>
          </w:rPr>
          <m:t>β</m:t>
        </m:r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α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r>
              <w:rPr>
                <w:rFonts w:ascii="Cambria Math" w:hAnsi="Cambria Math"/>
              </w:rPr>
              <m:t>f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τ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</m:den>
        </m:f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(B.18)</w:t>
      </w:r>
    </w:p>
    <w:p w14:paraId="09829814" w14:textId="77777777" w:rsidR="009F697D" w:rsidRPr="00722B12" w:rsidRDefault="009F697D" w:rsidP="009F697D">
      <w:pPr>
        <w:ind w:left="2880" w:firstLine="720"/>
        <w:rPr>
          <w:rFonts w:eastAsiaTheme="minorEastAsia"/>
        </w:rPr>
      </w:pPr>
      <m:oMath>
        <m:r>
          <w:rPr>
            <w:rFonts w:ascii="Cambria Math" w:hAnsi="Cambria Math"/>
          </w:rPr>
          <m:t>f=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D</m:t>
                </m:r>
              </m:sub>
            </m:sSub>
            <m:r>
              <w:rPr>
                <w:rFonts w:ascii="Cambria Math" w:hAnsi="Cambria Math"/>
              </w:rPr>
              <m:t>Re</m:t>
            </m:r>
          </m:num>
          <m:den>
            <m:r>
              <w:rPr>
                <w:rFonts w:ascii="Cambria Math" w:hAnsi="Cambria Math"/>
              </w:rPr>
              <m:t>24</m:t>
            </m:r>
          </m:den>
        </m:f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(B.19)</w:t>
      </w:r>
    </w:p>
    <w:p w14:paraId="7210DBAE" w14:textId="77777777" w:rsidR="009F697D" w:rsidRPr="00722B12" w:rsidRDefault="003F435B" w:rsidP="009F697D">
      <w:pPr>
        <w:ind w:left="144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D</m:t>
            </m:r>
          </m:sub>
        </m:sSub>
        <m:r>
          <w:rPr>
            <w:rFonts w:ascii="Cambria Math" w:hAnsi="Cambria Math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</w:rPr>
                </m:ctrlPr>
              </m:eqArrPr>
              <m:e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24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1+0.15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Re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</w:rPr>
                              <m:t>0.687</m:t>
                            </m:r>
                          </m:sup>
                        </m:sSup>
                      </m:e>
                    </m:d>
                  </m:num>
                  <m:den>
                    <m:r>
                      <w:rPr>
                        <w:rFonts w:ascii="Cambria Math" w:hAnsi="Cambria Math"/>
                      </w:rPr>
                      <m:t>Re</m:t>
                    </m:r>
                  </m:den>
                </m:f>
                <m:r>
                  <w:rPr>
                    <w:rFonts w:ascii="Cambria Math" w:hAnsi="Cambria Math"/>
                  </w:rPr>
                  <m:t xml:space="preserve">       </m:t>
                </m:r>
                <m:r>
                  <w:rPr>
                    <w:rFonts w:ascii="Cambria Math" w:hAnsi="Cambria Math"/>
                  </w:rPr>
                  <m:t>Re</m:t>
                </m:r>
                <m:r>
                  <w:rPr>
                    <w:rFonts w:ascii="Cambria Math" w:hAnsi="Cambria Math"/>
                  </w:rPr>
                  <m:t>≤1000</m:t>
                </m:r>
              </m:e>
              <m:e>
                <m:r>
                  <w:rPr>
                    <w:rFonts w:ascii="Cambria Math" w:hAnsi="Cambria Math"/>
                  </w:rPr>
                  <m:t xml:space="preserve">0.44                                              </m:t>
                </m:r>
                <m:r>
                  <w:rPr>
                    <w:rFonts w:ascii="Cambria Math" w:hAnsi="Cambria Math"/>
                  </w:rPr>
                  <m:t>Re</m:t>
                </m:r>
                <m:r>
                  <w:rPr>
                    <w:rFonts w:ascii="Cambria Math" w:hAnsi="Cambria Math"/>
                  </w:rPr>
                  <m:t>&gt;1000</m:t>
                </m:r>
              </m:e>
            </m:eqArr>
          </m:e>
        </m:d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  <w:t>(B.20)</w:t>
      </w:r>
    </w:p>
    <w:p w14:paraId="0BC886B1" w14:textId="77777777" w:rsidR="009F697D" w:rsidRPr="00722B12" w:rsidRDefault="009F697D" w:rsidP="009F697D">
      <w:pPr>
        <w:ind w:left="2880" w:firstLine="720"/>
        <w:rPr>
          <w:rFonts w:eastAsiaTheme="minorEastAsia"/>
        </w:rPr>
      </w:pPr>
      <m:oMath>
        <m:r>
          <w:rPr>
            <w:rFonts w:ascii="Cambria Math" w:hAnsi="Cambria Math"/>
          </w:rPr>
          <m:t>Re=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g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μ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den>
        </m:f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(B.21)</w:t>
      </w:r>
    </w:p>
    <w:p w14:paraId="26E3FE1B" w14:textId="77777777" w:rsidR="009F697D" w:rsidRDefault="003F435B" w:rsidP="009F697D">
      <w:pPr>
        <w:ind w:left="2880" w:firstLine="72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</m:sSub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s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</m:num>
          <m:den>
            <m:r>
              <w:rPr>
                <w:rFonts w:ascii="Cambria Math" w:hAnsi="Cambria Math"/>
              </w:rPr>
              <m:t>18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μ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den>
        </m:f>
      </m:oMath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</w:r>
      <w:r w:rsidR="009F697D">
        <w:rPr>
          <w:rFonts w:eastAsiaTheme="minorEastAsia"/>
        </w:rPr>
        <w:tab/>
        <w:t>(B.22)</w:t>
      </w:r>
    </w:p>
    <w:p w14:paraId="3F5EDDB8" w14:textId="4111F75A" w:rsidR="009F697D" w:rsidRDefault="009F697D" w:rsidP="009F697D">
      <w:pPr>
        <w:pStyle w:val="Heading1"/>
        <w:numPr>
          <w:ilvl w:val="0"/>
          <w:numId w:val="0"/>
        </w:numPr>
        <w:ind w:left="432" w:hanging="432"/>
        <w:jc w:val="center"/>
      </w:pPr>
      <w:r w:rsidRPr="009F697D">
        <w:rPr>
          <w:highlight w:val="yellow"/>
        </w:rPr>
        <w:lastRenderedPageBreak/>
        <w:t>References</w:t>
      </w:r>
    </w:p>
    <w:p w14:paraId="639B6DF2" w14:textId="77777777" w:rsidR="009F697D" w:rsidRPr="009F697D" w:rsidRDefault="009F697D" w:rsidP="009F697D">
      <w:pPr>
        <w:pStyle w:val="EndNoteBibliography"/>
        <w:spacing w:after="0"/>
        <w:ind w:left="720" w:hanging="720"/>
      </w:pPr>
      <w:r>
        <w:fldChar w:fldCharType="begin"/>
      </w:r>
      <w:r>
        <w:instrText xml:space="preserve"> ADDIN EN.REFLIST </w:instrText>
      </w:r>
      <w:r>
        <w:fldChar w:fldCharType="separate"/>
      </w:r>
      <w:bookmarkStart w:id="4" w:name="_ENREF_1"/>
      <w:r w:rsidRPr="009F697D">
        <w:t xml:space="preserve">Gidaspow, D., Bezburuah, R.,Ding, J. (1992). Hydrodynamics of circulating fluidized beds: kinetic theory approach, </w:t>
      </w:r>
      <w:r w:rsidRPr="009F697D">
        <w:rPr>
          <w:i/>
        </w:rPr>
        <w:t>7th Fluid. Conf.</w:t>
      </w:r>
      <w:r w:rsidRPr="009F697D">
        <w:t xml:space="preserve"> (pp. 75–82): Illinois Inst. of Tech., Chicago, IL (United States). Dept. of Chemical Engineering.</w:t>
      </w:r>
      <w:bookmarkEnd w:id="4"/>
    </w:p>
    <w:p w14:paraId="0DF9258E" w14:textId="77777777" w:rsidR="009F697D" w:rsidRPr="009F697D" w:rsidRDefault="009F697D" w:rsidP="009F697D">
      <w:pPr>
        <w:pStyle w:val="EndNoteBibliography"/>
        <w:spacing w:after="0"/>
        <w:ind w:left="720" w:hanging="720"/>
      </w:pPr>
      <w:bookmarkStart w:id="5" w:name="_ENREF_2"/>
      <w:r w:rsidRPr="009F697D">
        <w:t>Lun, C., Savage, S.B., Jeffrey, D.,Chepurniy, N., 1984. Kinetic theories for granular flow: inelastic particles in Couette flow and slightly inelastic particles in a general flowfield. Journal of fluid mechanics, 140, 223-256.</w:t>
      </w:r>
      <w:bookmarkEnd w:id="5"/>
    </w:p>
    <w:p w14:paraId="6FC10F04" w14:textId="77777777" w:rsidR="009F697D" w:rsidRPr="009F697D" w:rsidRDefault="009F697D" w:rsidP="009F697D">
      <w:pPr>
        <w:pStyle w:val="EndNoteBibliography"/>
        <w:spacing w:after="0"/>
        <w:ind w:left="720" w:hanging="720"/>
      </w:pPr>
      <w:bookmarkStart w:id="6" w:name="_ENREF_3"/>
      <w:r w:rsidRPr="009F697D">
        <w:t>Schaeffer, D.G., 1987. Instability in the evolution equations describing incompressible granular flow. Journal of differential equations, 66, 19-50.</w:t>
      </w:r>
      <w:bookmarkEnd w:id="6"/>
    </w:p>
    <w:p w14:paraId="6849BF3F" w14:textId="77777777" w:rsidR="009F697D" w:rsidRPr="009F697D" w:rsidRDefault="009F697D" w:rsidP="009F697D">
      <w:pPr>
        <w:pStyle w:val="EndNoteBibliography"/>
        <w:spacing w:after="0"/>
        <w:ind w:left="720" w:hanging="720"/>
      </w:pPr>
      <w:bookmarkStart w:id="7" w:name="_ENREF_4"/>
      <w:r w:rsidRPr="009F697D">
        <w:t>Schiller, L.,Naumann, A., 1935. A drag coefficient correlation. Zeit. Ver. Deutsch. Ing., 77, 318-320.</w:t>
      </w:r>
      <w:bookmarkEnd w:id="7"/>
    </w:p>
    <w:p w14:paraId="1D1F4E14" w14:textId="77777777" w:rsidR="009F697D" w:rsidRPr="009F697D" w:rsidRDefault="009F697D" w:rsidP="009F697D">
      <w:pPr>
        <w:pStyle w:val="EndNoteBibliography"/>
        <w:ind w:left="720" w:hanging="720"/>
      </w:pPr>
      <w:bookmarkStart w:id="8" w:name="_ENREF_5"/>
      <w:r w:rsidRPr="009F697D">
        <w:t>Syamlal, M., Rogers, W.,O’Brien, T., 1993. MFIX Documentation: Volume 1, Theory Guide. National Technical Information Service, Springfield, VA: DOE/METC-9411004, NTIS/DE9400087.</w:t>
      </w:r>
      <w:bookmarkEnd w:id="8"/>
    </w:p>
    <w:p w14:paraId="377366EC" w14:textId="2A2650D7" w:rsidR="00974D4B" w:rsidRDefault="009F697D">
      <w:r>
        <w:fldChar w:fldCharType="end"/>
      </w:r>
    </w:p>
    <w:sectPr w:rsidR="00974D4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92DD6C" w16cex:dateUtc="2022-08-01T20:17:00Z"/>
  <w16cex:commentExtensible w16cex:durableId="2692DDAD" w16cex:dateUtc="2022-08-01T20:18:00Z"/>
  <w16cex:commentExtensible w16cex:durableId="2692DDE4" w16cex:dateUtc="2022-08-01T20:19:00Z"/>
  <w16cex:commentExtensible w16cex:durableId="2692DDFA" w16cex:dateUtc="2022-08-01T20:19:00Z"/>
  <w16cex:commentExtensible w16cex:durableId="2692DE22" w16cex:dateUtc="2022-08-01T20:20:00Z"/>
  <w16cex:commentExtensible w16cex:durableId="2692DE5B" w16cex:dateUtc="2022-08-01T20:20:00Z"/>
</w16cex:commentsExtensible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C12DA3"/>
    <w:multiLevelType w:val="hybridMultilevel"/>
    <w:tmpl w:val="FEB2AC7A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06C55603"/>
    <w:multiLevelType w:val="hybridMultilevel"/>
    <w:tmpl w:val="942A9A72"/>
    <w:lvl w:ilvl="0" w:tplc="E946BB8C">
      <w:start w:val="1"/>
      <w:numFmt w:val="bullet"/>
      <w:lvlText w:val=""/>
      <w:lvlJc w:val="left"/>
      <w:pPr>
        <w:ind w:left="144" w:hanging="14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4617369"/>
    <w:multiLevelType w:val="hybridMultilevel"/>
    <w:tmpl w:val="C69835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855938"/>
    <w:multiLevelType w:val="hybridMultilevel"/>
    <w:tmpl w:val="0B4E30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04308"/>
    <w:multiLevelType w:val="hybridMultilevel"/>
    <w:tmpl w:val="3D960C2E"/>
    <w:lvl w:ilvl="0" w:tplc="CF907B44">
      <w:start w:val="1"/>
      <w:numFmt w:val="bullet"/>
      <w:suff w:val="nothing"/>
      <w:lvlText w:val=""/>
      <w:lvlJc w:val="left"/>
      <w:pPr>
        <w:ind w:left="144" w:hanging="144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3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4" w:hanging="360"/>
      </w:pPr>
      <w:rPr>
        <w:rFonts w:ascii="Wingdings" w:hAnsi="Wingdings" w:hint="default"/>
      </w:rPr>
    </w:lvl>
  </w:abstractNum>
  <w:abstractNum w:abstractNumId="5" w15:restartNumberingAfterBreak="0">
    <w:nsid w:val="1B83376D"/>
    <w:multiLevelType w:val="hybridMultilevel"/>
    <w:tmpl w:val="3A9AAE5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BA36446"/>
    <w:multiLevelType w:val="hybridMultilevel"/>
    <w:tmpl w:val="53844E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337EA2"/>
    <w:multiLevelType w:val="hybridMultilevel"/>
    <w:tmpl w:val="E6F0025C"/>
    <w:lvl w:ilvl="0" w:tplc="3F2E3642">
      <w:start w:val="1"/>
      <w:numFmt w:val="bullet"/>
      <w:lvlText w:val=""/>
      <w:lvlJc w:val="left"/>
      <w:pPr>
        <w:ind w:left="144" w:hanging="144"/>
      </w:pPr>
      <w:rPr>
        <w:rFonts w:ascii="Symbol" w:hAnsi="Symbol" w:hint="default"/>
      </w:rPr>
    </w:lvl>
    <w:lvl w:ilvl="1" w:tplc="9C6A1E04">
      <w:start w:val="1"/>
      <w:numFmt w:val="bullet"/>
      <w:suff w:val="nothing"/>
      <w:lvlText w:val=""/>
      <w:lvlJc w:val="left"/>
      <w:pPr>
        <w:ind w:left="144" w:hanging="58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5F27D9"/>
    <w:multiLevelType w:val="hybridMultilevel"/>
    <w:tmpl w:val="0EE0F7DE"/>
    <w:lvl w:ilvl="0" w:tplc="3F2E3642">
      <w:start w:val="1"/>
      <w:numFmt w:val="bullet"/>
      <w:lvlText w:val=""/>
      <w:lvlJc w:val="left"/>
      <w:pPr>
        <w:ind w:left="144" w:hanging="14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13410CC"/>
    <w:multiLevelType w:val="hybridMultilevel"/>
    <w:tmpl w:val="06C2C3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FA3C99"/>
    <w:multiLevelType w:val="hybridMultilevel"/>
    <w:tmpl w:val="0BD080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9C6DF1"/>
    <w:multiLevelType w:val="hybridMultilevel"/>
    <w:tmpl w:val="235A818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70C4140"/>
    <w:multiLevelType w:val="hybridMultilevel"/>
    <w:tmpl w:val="9102A0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461164"/>
    <w:multiLevelType w:val="hybridMultilevel"/>
    <w:tmpl w:val="50D457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18D21C6"/>
    <w:multiLevelType w:val="hybridMultilevel"/>
    <w:tmpl w:val="BF722E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8376034"/>
    <w:multiLevelType w:val="hybridMultilevel"/>
    <w:tmpl w:val="732014E0"/>
    <w:lvl w:ilvl="0" w:tplc="AE9C426C">
      <w:start w:val="1"/>
      <w:numFmt w:val="bullet"/>
      <w:lvlText w:val=""/>
      <w:lvlJc w:val="left"/>
      <w:pPr>
        <w:ind w:left="144" w:hanging="14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B266A1D"/>
    <w:multiLevelType w:val="hybridMultilevel"/>
    <w:tmpl w:val="F1C22C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7F46B9"/>
    <w:multiLevelType w:val="hybridMultilevel"/>
    <w:tmpl w:val="094AC326"/>
    <w:lvl w:ilvl="0" w:tplc="15EEA22C">
      <w:start w:val="1"/>
      <w:numFmt w:val="bullet"/>
      <w:lvlText w:val=""/>
      <w:lvlJc w:val="left"/>
      <w:pPr>
        <w:ind w:left="144" w:hanging="144"/>
      </w:pPr>
      <w:rPr>
        <w:rFonts w:ascii="Symbol" w:hAnsi="Symbol" w:hint="default"/>
      </w:rPr>
    </w:lvl>
    <w:lvl w:ilvl="1" w:tplc="CCA8EE94">
      <w:start w:val="1"/>
      <w:numFmt w:val="bullet"/>
      <w:suff w:val="nothing"/>
      <w:lvlText w:val=""/>
      <w:lvlJc w:val="left"/>
      <w:pPr>
        <w:ind w:left="144" w:hanging="58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FE32CE1"/>
    <w:multiLevelType w:val="hybridMultilevel"/>
    <w:tmpl w:val="E7C4CE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3F1D4B"/>
    <w:multiLevelType w:val="hybridMultilevel"/>
    <w:tmpl w:val="1C904A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54179C"/>
    <w:multiLevelType w:val="hybridMultilevel"/>
    <w:tmpl w:val="DA8604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892AA9"/>
    <w:multiLevelType w:val="hybridMultilevel"/>
    <w:tmpl w:val="C02E51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2E5383"/>
    <w:multiLevelType w:val="hybridMultilevel"/>
    <w:tmpl w:val="B4BADDF4"/>
    <w:lvl w:ilvl="0" w:tplc="5A4A223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B92D1C"/>
    <w:multiLevelType w:val="hybridMultilevel"/>
    <w:tmpl w:val="A7E8F538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3C2F53"/>
    <w:multiLevelType w:val="hybridMultilevel"/>
    <w:tmpl w:val="69401B4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3CD0BAB"/>
    <w:multiLevelType w:val="hybridMultilevel"/>
    <w:tmpl w:val="A9C6AF8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47B0EFD"/>
    <w:multiLevelType w:val="hybridMultilevel"/>
    <w:tmpl w:val="64FC7B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635C2E"/>
    <w:multiLevelType w:val="hybridMultilevel"/>
    <w:tmpl w:val="DD548E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6C205335"/>
    <w:multiLevelType w:val="hybridMultilevel"/>
    <w:tmpl w:val="3118ECEA"/>
    <w:lvl w:ilvl="0" w:tplc="895CFA3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C52AD0"/>
    <w:multiLevelType w:val="hybridMultilevel"/>
    <w:tmpl w:val="4B3497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403947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7F2D3DD7"/>
    <w:multiLevelType w:val="hybridMultilevel"/>
    <w:tmpl w:val="8070AE98"/>
    <w:lvl w:ilvl="0" w:tplc="0DEA3A4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2"/>
  </w:num>
  <w:num w:numId="3">
    <w:abstractNumId w:val="31"/>
  </w:num>
  <w:num w:numId="4">
    <w:abstractNumId w:val="23"/>
  </w:num>
  <w:num w:numId="5">
    <w:abstractNumId w:val="26"/>
  </w:num>
  <w:num w:numId="6">
    <w:abstractNumId w:val="10"/>
  </w:num>
  <w:num w:numId="7">
    <w:abstractNumId w:val="19"/>
  </w:num>
  <w:num w:numId="8">
    <w:abstractNumId w:val="12"/>
  </w:num>
  <w:num w:numId="9">
    <w:abstractNumId w:val="28"/>
  </w:num>
  <w:num w:numId="10">
    <w:abstractNumId w:val="16"/>
  </w:num>
  <w:num w:numId="11">
    <w:abstractNumId w:val="2"/>
  </w:num>
  <w:num w:numId="12">
    <w:abstractNumId w:val="3"/>
  </w:num>
  <w:num w:numId="13">
    <w:abstractNumId w:val="6"/>
  </w:num>
  <w:num w:numId="14">
    <w:abstractNumId w:val="9"/>
  </w:num>
  <w:num w:numId="15">
    <w:abstractNumId w:val="27"/>
  </w:num>
  <w:num w:numId="16">
    <w:abstractNumId w:val="13"/>
  </w:num>
  <w:num w:numId="17">
    <w:abstractNumId w:val="29"/>
  </w:num>
  <w:num w:numId="18">
    <w:abstractNumId w:val="24"/>
  </w:num>
  <w:num w:numId="19">
    <w:abstractNumId w:val="0"/>
  </w:num>
  <w:num w:numId="20">
    <w:abstractNumId w:val="21"/>
  </w:num>
  <w:num w:numId="21">
    <w:abstractNumId w:val="14"/>
  </w:num>
  <w:num w:numId="22">
    <w:abstractNumId w:val="5"/>
  </w:num>
  <w:num w:numId="23">
    <w:abstractNumId w:val="11"/>
  </w:num>
  <w:num w:numId="24">
    <w:abstractNumId w:val="25"/>
  </w:num>
  <w:num w:numId="25">
    <w:abstractNumId w:val="20"/>
  </w:num>
  <w:num w:numId="26">
    <w:abstractNumId w:val="8"/>
  </w:num>
  <w:num w:numId="27">
    <w:abstractNumId w:val="1"/>
  </w:num>
  <w:num w:numId="28">
    <w:abstractNumId w:val="7"/>
  </w:num>
  <w:num w:numId="29">
    <w:abstractNumId w:val="15"/>
  </w:num>
  <w:num w:numId="30">
    <w:abstractNumId w:val="17"/>
  </w:num>
  <w:num w:numId="31">
    <w:abstractNumId w:val="4"/>
  </w:num>
  <w:num w:numId="32">
    <w:abstractNumId w:val="18"/>
  </w:num>
  <w:num w:numId="33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LYwMDOyNDCxMDIws7RQ0lEKTi0uzszPAykwrgUAc3FVHCwAAAA="/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Atmospheric Environment -kk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1&lt;/HyperlinksVisible&gt;&lt;EnableBibliographyCategories&gt;0&lt;/EnableBibliographyCategories&gt;&lt;/ENLayout&gt;"/>
    <w:docVar w:name="EN.Libraries" w:val="&lt;Libraries&gt;&lt;/Libraries&gt;"/>
  </w:docVars>
  <w:rsids>
    <w:rsidRoot w:val="00EB4703"/>
    <w:rsid w:val="00056029"/>
    <w:rsid w:val="000E1C54"/>
    <w:rsid w:val="002E6718"/>
    <w:rsid w:val="0031057F"/>
    <w:rsid w:val="003C5B33"/>
    <w:rsid w:val="003F435B"/>
    <w:rsid w:val="00465F66"/>
    <w:rsid w:val="004A777D"/>
    <w:rsid w:val="004F7A10"/>
    <w:rsid w:val="0056567A"/>
    <w:rsid w:val="00647CF9"/>
    <w:rsid w:val="006C69E0"/>
    <w:rsid w:val="007B25D0"/>
    <w:rsid w:val="007B4CF5"/>
    <w:rsid w:val="00974D4B"/>
    <w:rsid w:val="009F697D"/>
    <w:rsid w:val="00B02C4F"/>
    <w:rsid w:val="00B205F2"/>
    <w:rsid w:val="00B94AFC"/>
    <w:rsid w:val="00C51875"/>
    <w:rsid w:val="00C615C9"/>
    <w:rsid w:val="00DD71B9"/>
    <w:rsid w:val="00DF2F66"/>
    <w:rsid w:val="00EB4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B39468"/>
  <w15:chartTrackingRefBased/>
  <w15:docId w15:val="{F86D375D-8408-49B4-9C3E-1438E2181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B4703"/>
    <w:pPr>
      <w:spacing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B4703"/>
    <w:pPr>
      <w:keepNext/>
      <w:keepLines/>
      <w:numPr>
        <w:numId w:val="1"/>
      </w:numPr>
      <w:spacing w:before="200" w:after="0"/>
      <w:outlineLvl w:val="0"/>
    </w:pPr>
    <w:rPr>
      <w:rFonts w:eastAsiaTheme="majorEastAsia" w:cstheme="majorBidi"/>
      <w:b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4703"/>
    <w:pPr>
      <w:keepNext/>
      <w:keepLines/>
      <w:numPr>
        <w:ilvl w:val="1"/>
        <w:numId w:val="1"/>
      </w:numPr>
      <w:spacing w:after="0"/>
      <w:outlineLvl w:val="1"/>
    </w:pPr>
    <w:rPr>
      <w:rFonts w:eastAsiaTheme="majorEastAsia" w:cstheme="majorBidi"/>
      <w:i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B4703"/>
    <w:pPr>
      <w:keepNext/>
      <w:keepLines/>
      <w:numPr>
        <w:ilvl w:val="2"/>
        <w:numId w:val="1"/>
      </w:numPr>
      <w:spacing w:before="120" w:after="0"/>
      <w:outlineLvl w:val="2"/>
    </w:pPr>
    <w:rPr>
      <w:rFonts w:eastAsiaTheme="majorEastAsia" w:cstheme="majorBidi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B4703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B4703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B4703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B4703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B4703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B4703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4703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B4703"/>
    <w:rPr>
      <w:rFonts w:ascii="Times New Roman" w:eastAsiaTheme="majorEastAsia" w:hAnsi="Times New Roman" w:cstheme="majorBidi"/>
      <w:i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B4703"/>
    <w:rPr>
      <w:rFonts w:ascii="Times New Roman" w:eastAsiaTheme="majorEastAsia" w:hAnsi="Times New Roman" w:cstheme="majorBidi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B4703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B4703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B4703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B4703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B470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B470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EB4703"/>
    <w:pPr>
      <w:spacing w:after="200"/>
      <w:jc w:val="center"/>
    </w:pPr>
    <w:rPr>
      <w:iCs/>
      <w:sz w:val="18"/>
      <w:szCs w:val="18"/>
    </w:rPr>
  </w:style>
  <w:style w:type="table" w:styleId="TableGrid">
    <w:name w:val="Table Grid"/>
    <w:basedOn w:val="TableNormal"/>
    <w:uiPriority w:val="39"/>
    <w:rsid w:val="009F69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9F697D"/>
    <w:rPr>
      <w:color w:val="808080"/>
    </w:rPr>
  </w:style>
  <w:style w:type="paragraph" w:styleId="ListParagraph">
    <w:name w:val="List Paragraph"/>
    <w:basedOn w:val="Normal"/>
    <w:uiPriority w:val="34"/>
    <w:qFormat/>
    <w:rsid w:val="009F697D"/>
    <w:pPr>
      <w:spacing w:after="200"/>
      <w:ind w:left="720"/>
      <w:contextualSpacing/>
      <w:jc w:val="both"/>
    </w:pPr>
  </w:style>
  <w:style w:type="paragraph" w:styleId="NormalWeb">
    <w:name w:val="Normal (Web)"/>
    <w:basedOn w:val="Normal"/>
    <w:uiPriority w:val="99"/>
    <w:semiHidden/>
    <w:unhideWhenUsed/>
    <w:rsid w:val="009F697D"/>
    <w:pPr>
      <w:spacing w:before="100" w:beforeAutospacing="1" w:after="100" w:afterAutospacing="1"/>
      <w:jc w:val="both"/>
    </w:pPr>
    <w:rPr>
      <w:rFonts w:eastAsia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697D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697D"/>
    <w:rPr>
      <w:rFonts w:ascii="Times New Roman" w:hAnsi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697D"/>
    <w:rPr>
      <w:vertAlign w:val="superscript"/>
    </w:rPr>
  </w:style>
  <w:style w:type="paragraph" w:customStyle="1" w:styleId="EndNoteBibliographyTitle">
    <w:name w:val="EndNote Bibliography Title"/>
    <w:basedOn w:val="Normal"/>
    <w:link w:val="EndNoteBibliographyTitleChar"/>
    <w:rsid w:val="009F697D"/>
    <w:pPr>
      <w:spacing w:after="0"/>
      <w:jc w:val="center"/>
    </w:pPr>
    <w:rPr>
      <w:rFonts w:cs="Times New Roman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9F697D"/>
    <w:rPr>
      <w:rFonts w:ascii="Times New Roman" w:hAnsi="Times New Roman" w:cs="Times New Roman"/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rsid w:val="009F697D"/>
    <w:rPr>
      <w:rFonts w:cs="Times New Roman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9F697D"/>
    <w:rPr>
      <w:rFonts w:ascii="Times New Roman" w:hAnsi="Times New Roman" w:cs="Times New Roman"/>
      <w:noProof/>
      <w:sz w:val="24"/>
    </w:rPr>
  </w:style>
  <w:style w:type="character" w:styleId="Hyperlink">
    <w:name w:val="Hyperlink"/>
    <w:basedOn w:val="DefaultParagraphFont"/>
    <w:uiPriority w:val="99"/>
    <w:unhideWhenUsed/>
    <w:rsid w:val="009F697D"/>
    <w:rPr>
      <w:color w:val="0563C1" w:themeColor="hyperlink"/>
      <w:u w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9F697D"/>
    <w:rPr>
      <w:color w:val="605E5C"/>
      <w:shd w:val="clear" w:color="auto" w:fill="E1DFDD"/>
    </w:rPr>
  </w:style>
  <w:style w:type="character" w:styleId="LineNumber">
    <w:name w:val="line number"/>
    <w:basedOn w:val="DefaultParagraphFont"/>
    <w:uiPriority w:val="99"/>
    <w:semiHidden/>
    <w:unhideWhenUsed/>
    <w:rsid w:val="009F697D"/>
  </w:style>
  <w:style w:type="character" w:styleId="CommentReference">
    <w:name w:val="annotation reference"/>
    <w:basedOn w:val="DefaultParagraphFont"/>
    <w:uiPriority w:val="99"/>
    <w:semiHidden/>
    <w:unhideWhenUsed/>
    <w:rsid w:val="009F697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F697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F697D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697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697D"/>
    <w:rPr>
      <w:rFonts w:ascii="Times New Roman" w:hAnsi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9F697D"/>
    <w:pPr>
      <w:spacing w:after="0" w:line="240" w:lineRule="auto"/>
    </w:pPr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697D"/>
    <w:pPr>
      <w:spacing w:after="0"/>
    </w:pPr>
    <w:rPr>
      <w:rFonts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697D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9F697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9F697D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9F697D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9F697D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9F697D"/>
    <w:rPr>
      <w:rFonts w:ascii="Times New Roman" w:hAnsi="Times New Roman"/>
      <w:sz w:val="24"/>
    </w:rPr>
  </w:style>
  <w:style w:type="table" w:customStyle="1" w:styleId="TableGrid1">
    <w:name w:val="Table Grid1"/>
    <w:basedOn w:val="TableNormal"/>
    <w:next w:val="TableGrid"/>
    <w:uiPriority w:val="59"/>
    <w:rsid w:val="009F69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9F697D"/>
    <w:rPr>
      <w:color w:val="954F72" w:themeColor="followedHyperlink"/>
      <w:u w:val="single"/>
    </w:rPr>
  </w:style>
  <w:style w:type="paragraph" w:customStyle="1" w:styleId="xmsonormal">
    <w:name w:val="x_msonormal"/>
    <w:basedOn w:val="Normal"/>
    <w:rsid w:val="009F697D"/>
    <w:pPr>
      <w:spacing w:before="100" w:beforeAutospacing="1" w:after="100" w:afterAutospacing="1"/>
    </w:pPr>
    <w:rPr>
      <w:rFonts w:eastAsia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sv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sv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svg"/><Relationship Id="rId14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9B1DB6-927B-475B-8903-7F18E3C2C5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2503</Words>
  <Characters>14273</Characters>
  <Application>Microsoft Office Word</Application>
  <DocSecurity>0</DocSecurity>
  <Lines>118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SROUR, OLA</dc:creator>
  <cp:keywords/>
  <dc:description/>
  <cp:lastModifiedBy>Kakosimos, Konstantinos</cp:lastModifiedBy>
  <cp:revision>2</cp:revision>
  <dcterms:created xsi:type="dcterms:W3CDTF">2022-08-02T04:27:00Z</dcterms:created>
  <dcterms:modified xsi:type="dcterms:W3CDTF">2022-08-02T04:27:00Z</dcterms:modified>
</cp:coreProperties>
</file>