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1185B" w:rsidRDefault="0041185B" w:rsidP="0041185B">
      <w:pPr>
        <w:pStyle w:val="Heading2"/>
      </w:pPr>
      <w:r w:rsidRPr="00F022C1">
        <w:t>APPENDICES</w:t>
      </w:r>
    </w:p>
    <w:p w:rsidR="00837692" w:rsidRPr="00F022C1" w:rsidRDefault="00837692" w:rsidP="00837692">
      <w:pPr>
        <w:pStyle w:val="Heading3"/>
        <w:ind w:left="1418" w:hanging="1418"/>
      </w:pPr>
      <w:r w:rsidRPr="00F022C1">
        <w:t xml:space="preserve">Appendix A: </w:t>
      </w:r>
      <w:r>
        <w:tab/>
        <w:t xml:space="preserve">Map showing locations which were assed in the techno-economic model, with </w:t>
      </w:r>
      <w:r w:rsidRPr="00837692">
        <w:t>annual global average solar radiation (</w:t>
      </w:r>
      <w:r>
        <w:t>G</w:t>
      </w:r>
      <w:r w:rsidRPr="00837692">
        <w:rPr>
          <w:vertAlign w:val="subscript"/>
        </w:rPr>
        <w:t>av</w:t>
      </w:r>
      <w:r w:rsidRPr="00837692">
        <w:t xml:space="preserve">), and </w:t>
      </w:r>
      <w:r w:rsidRPr="00837692">
        <w:t xml:space="preserve">annual dry bulb temperature range </w:t>
      </w:r>
      <w:r>
        <w:t>(</w:t>
      </w:r>
      <w:r w:rsidRPr="00837692">
        <w:t>T</w:t>
      </w:r>
      <w:r w:rsidRPr="00837692">
        <w:rPr>
          <w:vertAlign w:val="subscript"/>
        </w:rPr>
        <w:t>db</w:t>
      </w:r>
      <w:r>
        <w:t xml:space="preserve">) </w:t>
      </w:r>
      <w:r w:rsidRPr="00837692">
        <w:t>(ºC) (annual average between brackets)</w:t>
      </w:r>
      <w:r>
        <w:t xml:space="preserve"> per location.</w:t>
      </w:r>
    </w:p>
    <w:p w:rsidR="00837692" w:rsidRPr="00302D77" w:rsidRDefault="00837692" w:rsidP="00837692">
      <w:pPr>
        <w:spacing w:line="480" w:lineRule="auto"/>
        <w:jc w:val="left"/>
        <w:rPr>
          <w:rFonts w:ascii="Times" w:hAnsi="Times"/>
          <w:color w:val="000000" w:themeColor="text1"/>
          <w:sz w:val="24"/>
          <w:szCs w:val="24"/>
        </w:rPr>
      </w:pPr>
      <w:r w:rsidRPr="00302D77">
        <w:rPr>
          <w:rFonts w:ascii="Times" w:hAnsi="Times"/>
          <w:noProof/>
          <w:color w:val="000000" w:themeColor="text1"/>
          <w:sz w:val="24"/>
          <w:szCs w:val="24"/>
        </w:rPr>
        <w:drawing>
          <wp:inline distT="0" distB="0" distL="0" distR="0" wp14:anchorId="16232C48" wp14:editId="5E667728">
            <wp:extent cx="5717219" cy="4035961"/>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_1.pdf"/>
                    <pic:cNvPicPr/>
                  </pic:nvPicPr>
                  <pic:blipFill>
                    <a:blip r:embed="rId6">
                      <a:extLst>
                        <a:ext uri="{28A0092B-C50C-407E-A947-70E740481C1C}">
                          <a14:useLocalDpi xmlns:a14="http://schemas.microsoft.com/office/drawing/2010/main" val="0"/>
                        </a:ext>
                      </a:extLst>
                    </a:blip>
                    <a:stretch>
                      <a:fillRect/>
                    </a:stretch>
                  </pic:blipFill>
                  <pic:spPr>
                    <a:xfrm>
                      <a:off x="0" y="0"/>
                      <a:ext cx="5720673" cy="4038399"/>
                    </a:xfrm>
                    <a:prstGeom prst="rect">
                      <a:avLst/>
                    </a:prstGeom>
                  </pic:spPr>
                </pic:pic>
              </a:graphicData>
            </a:graphic>
          </wp:inline>
        </w:drawing>
      </w:r>
    </w:p>
    <w:p w:rsidR="0041185B" w:rsidRPr="00F022C1" w:rsidRDefault="00837692" w:rsidP="0041185B">
      <w:pPr>
        <w:pStyle w:val="Heading3"/>
      </w:pPr>
      <w:bookmarkStart w:id="0" w:name="_GoBack"/>
      <w:bookmarkEnd w:id="0"/>
      <w:r>
        <w:br w:type="column"/>
      </w:r>
      <w:r w:rsidR="0041185B" w:rsidRPr="00F022C1">
        <w:lastRenderedPageBreak/>
        <w:t xml:space="preserve">Appendix </w:t>
      </w:r>
      <w:r w:rsidR="00B10DE4">
        <w:t>B</w:t>
      </w:r>
      <w:r w:rsidR="0041185B" w:rsidRPr="00F022C1">
        <w:t>: Major equipment specifications and costs</w:t>
      </w:r>
    </w:p>
    <w:p w:rsidR="0041185B" w:rsidRPr="00F022C1" w:rsidRDefault="0041185B" w:rsidP="0041185B">
      <w:pPr>
        <w:pStyle w:val="Caption"/>
        <w:spacing w:before="200" w:after="0"/>
        <w:jc w:val="left"/>
        <w:rPr>
          <w:color w:val="000000" w:themeColor="text1"/>
        </w:rPr>
      </w:pPr>
      <w:bookmarkStart w:id="1" w:name="_Ref52964483"/>
      <w:r w:rsidRPr="00F022C1">
        <w:rPr>
          <w:color w:val="000000" w:themeColor="text1"/>
        </w:rPr>
        <w:t xml:space="preserve">Table </w:t>
      </w:r>
      <w:r w:rsidR="00B10DE4">
        <w:rPr>
          <w:color w:val="000000" w:themeColor="text1"/>
        </w:rPr>
        <w:t>B</w:t>
      </w:r>
      <w:r w:rsidRPr="00F022C1">
        <w:rPr>
          <w:color w:val="000000" w:themeColor="text1"/>
        </w:rPr>
        <w:t>.</w:t>
      </w:r>
      <w:r w:rsidRPr="00F022C1">
        <w:rPr>
          <w:noProof/>
          <w:color w:val="000000" w:themeColor="text1"/>
        </w:rPr>
        <w:t>1</w:t>
      </w:r>
      <w:bookmarkEnd w:id="1"/>
      <w:r w:rsidRPr="00F022C1">
        <w:rPr>
          <w:color w:val="000000" w:themeColor="text1"/>
        </w:rPr>
        <w:t xml:space="preserve"> - </w:t>
      </w:r>
      <w:r w:rsidRPr="00F022C1">
        <w:rPr>
          <w:b w:val="0"/>
          <w:bCs w:val="0"/>
          <w:color w:val="000000" w:themeColor="text1"/>
        </w:rPr>
        <w:t>Major Equipment Capacities and Costs (corrected for inflation)</w:t>
      </w:r>
    </w:p>
    <w:tbl>
      <w:tblPr>
        <w:tblW w:w="9582" w:type="dxa"/>
        <w:tblLook w:val="04A0" w:firstRow="1" w:lastRow="0" w:firstColumn="1" w:lastColumn="0" w:noHBand="0" w:noVBand="1"/>
      </w:tblPr>
      <w:tblGrid>
        <w:gridCol w:w="2983"/>
        <w:gridCol w:w="1188"/>
        <w:gridCol w:w="1421"/>
        <w:gridCol w:w="1403"/>
        <w:gridCol w:w="1304"/>
        <w:gridCol w:w="1283"/>
      </w:tblGrid>
      <w:tr w:rsidR="00F022C1" w:rsidRPr="00F022C1" w:rsidTr="00CF7567">
        <w:trPr>
          <w:trHeight w:val="251"/>
        </w:trPr>
        <w:tc>
          <w:tcPr>
            <w:tcW w:w="2983" w:type="dxa"/>
            <w:tcBorders>
              <w:top w:val="single" w:sz="4" w:space="0" w:color="auto"/>
              <w:left w:val="nil"/>
              <w:bottom w:val="single" w:sz="4" w:space="0" w:color="auto"/>
              <w:right w:val="nil"/>
            </w:tcBorders>
            <w:shd w:val="clear" w:color="auto" w:fill="BFBFBF" w:themeFill="background1" w:themeFillShade="BF"/>
            <w:hideMark/>
          </w:tcPr>
          <w:p w:rsidR="0041185B" w:rsidRPr="00F022C1" w:rsidRDefault="0041185B" w:rsidP="00CF7567">
            <w:pPr>
              <w:spacing w:line="240" w:lineRule="auto"/>
              <w:jc w:val="left"/>
              <w:rPr>
                <w:b/>
                <w:bCs/>
                <w:color w:val="000000" w:themeColor="text1"/>
                <w:sz w:val="18"/>
                <w:szCs w:val="18"/>
              </w:rPr>
            </w:pPr>
            <w:r w:rsidRPr="00F022C1">
              <w:rPr>
                <w:b/>
                <w:bCs/>
                <w:color w:val="000000" w:themeColor="text1"/>
                <w:sz w:val="18"/>
                <w:szCs w:val="18"/>
              </w:rPr>
              <w:t>Details</w:t>
            </w:r>
          </w:p>
        </w:tc>
        <w:tc>
          <w:tcPr>
            <w:tcW w:w="2609" w:type="dxa"/>
            <w:gridSpan w:val="2"/>
            <w:tcBorders>
              <w:top w:val="single" w:sz="4" w:space="0" w:color="auto"/>
              <w:left w:val="nil"/>
              <w:bottom w:val="single" w:sz="4" w:space="0" w:color="auto"/>
              <w:right w:val="nil"/>
            </w:tcBorders>
            <w:shd w:val="clear" w:color="auto" w:fill="BFBFBF" w:themeFill="background1" w:themeFillShade="BF"/>
            <w:noWrap/>
            <w:hideMark/>
          </w:tcPr>
          <w:p w:rsidR="0041185B" w:rsidRPr="00F022C1" w:rsidRDefault="0041185B" w:rsidP="00CF7567">
            <w:pPr>
              <w:spacing w:line="240" w:lineRule="auto"/>
              <w:jc w:val="left"/>
              <w:rPr>
                <w:b/>
                <w:bCs/>
                <w:color w:val="000000" w:themeColor="text1"/>
                <w:sz w:val="18"/>
                <w:szCs w:val="18"/>
              </w:rPr>
            </w:pPr>
            <w:r w:rsidRPr="00F022C1">
              <w:rPr>
                <w:b/>
                <w:bCs/>
                <w:color w:val="000000" w:themeColor="text1"/>
                <w:sz w:val="18"/>
                <w:szCs w:val="18"/>
              </w:rPr>
              <w:t>Capacity</w:t>
            </w:r>
          </w:p>
        </w:tc>
        <w:tc>
          <w:tcPr>
            <w:tcW w:w="1403" w:type="dxa"/>
            <w:tcBorders>
              <w:top w:val="single" w:sz="4" w:space="0" w:color="auto"/>
              <w:left w:val="nil"/>
              <w:bottom w:val="single" w:sz="4" w:space="0" w:color="auto"/>
              <w:right w:val="nil"/>
            </w:tcBorders>
            <w:shd w:val="clear" w:color="auto" w:fill="BFBFBF" w:themeFill="background1" w:themeFillShade="BF"/>
            <w:noWrap/>
            <w:hideMark/>
          </w:tcPr>
          <w:p w:rsidR="0041185B" w:rsidRPr="00F022C1" w:rsidRDefault="0041185B" w:rsidP="00CF7567">
            <w:pPr>
              <w:spacing w:line="240" w:lineRule="auto"/>
              <w:jc w:val="left"/>
              <w:rPr>
                <w:b/>
                <w:bCs/>
                <w:color w:val="000000" w:themeColor="text1"/>
                <w:sz w:val="18"/>
                <w:szCs w:val="18"/>
              </w:rPr>
            </w:pPr>
            <w:r w:rsidRPr="00F022C1">
              <w:rPr>
                <w:b/>
                <w:bCs/>
                <w:color w:val="000000" w:themeColor="text1"/>
                <w:sz w:val="18"/>
                <w:szCs w:val="18"/>
              </w:rPr>
              <w:t>Costs·unit</w:t>
            </w:r>
            <w:r w:rsidRPr="00F022C1">
              <w:rPr>
                <w:b/>
                <w:bCs/>
                <w:color w:val="000000" w:themeColor="text1"/>
                <w:sz w:val="18"/>
                <w:szCs w:val="18"/>
                <w:vertAlign w:val="superscript"/>
              </w:rPr>
              <w:t>-1</w:t>
            </w:r>
            <w:r w:rsidRPr="00F022C1">
              <w:rPr>
                <w:b/>
                <w:bCs/>
                <w:color w:val="000000" w:themeColor="text1"/>
                <w:sz w:val="18"/>
                <w:szCs w:val="18"/>
              </w:rPr>
              <w:t xml:space="preserve"> (€)</w:t>
            </w:r>
          </w:p>
        </w:tc>
        <w:tc>
          <w:tcPr>
            <w:tcW w:w="1304" w:type="dxa"/>
            <w:tcBorders>
              <w:top w:val="single" w:sz="4" w:space="0" w:color="auto"/>
              <w:left w:val="nil"/>
              <w:bottom w:val="single" w:sz="4" w:space="0" w:color="auto"/>
              <w:right w:val="nil"/>
            </w:tcBorders>
            <w:shd w:val="clear" w:color="auto" w:fill="BFBFBF" w:themeFill="background1" w:themeFillShade="BF"/>
            <w:noWrap/>
            <w:hideMark/>
          </w:tcPr>
          <w:p w:rsidR="0041185B" w:rsidRPr="00F022C1" w:rsidRDefault="0041185B" w:rsidP="00CF7567">
            <w:pPr>
              <w:spacing w:line="240" w:lineRule="auto"/>
              <w:jc w:val="left"/>
              <w:rPr>
                <w:b/>
                <w:bCs/>
                <w:color w:val="000000" w:themeColor="text1"/>
                <w:sz w:val="18"/>
                <w:szCs w:val="18"/>
              </w:rPr>
            </w:pPr>
            <w:r w:rsidRPr="00F022C1">
              <w:rPr>
                <w:b/>
                <w:bCs/>
                <w:color w:val="000000" w:themeColor="text1"/>
                <w:sz w:val="18"/>
                <w:szCs w:val="18"/>
              </w:rPr>
              <w:t>Power Req.</w:t>
            </w:r>
          </w:p>
          <w:p w:rsidR="0041185B" w:rsidRPr="00F022C1" w:rsidRDefault="0041185B" w:rsidP="00CF7567">
            <w:pPr>
              <w:spacing w:line="240" w:lineRule="auto"/>
              <w:jc w:val="left"/>
              <w:rPr>
                <w:b/>
                <w:bCs/>
                <w:color w:val="000000" w:themeColor="text1"/>
                <w:sz w:val="18"/>
                <w:szCs w:val="18"/>
              </w:rPr>
            </w:pPr>
            <w:r w:rsidRPr="00F022C1">
              <w:rPr>
                <w:b/>
                <w:bCs/>
                <w:color w:val="000000" w:themeColor="text1"/>
                <w:sz w:val="18"/>
                <w:szCs w:val="18"/>
              </w:rPr>
              <w:t>(kWh)</w:t>
            </w:r>
          </w:p>
        </w:tc>
        <w:tc>
          <w:tcPr>
            <w:tcW w:w="1283" w:type="dxa"/>
            <w:tcBorders>
              <w:top w:val="single" w:sz="4" w:space="0" w:color="auto"/>
              <w:left w:val="nil"/>
              <w:bottom w:val="single" w:sz="4" w:space="0" w:color="auto"/>
              <w:right w:val="nil"/>
            </w:tcBorders>
            <w:shd w:val="clear" w:color="auto" w:fill="BFBFBF" w:themeFill="background1" w:themeFillShade="BF"/>
            <w:noWrap/>
            <w:hideMark/>
          </w:tcPr>
          <w:p w:rsidR="0041185B" w:rsidRPr="00F022C1" w:rsidRDefault="0041185B" w:rsidP="00CF7567">
            <w:pPr>
              <w:spacing w:line="240" w:lineRule="auto"/>
              <w:jc w:val="left"/>
              <w:rPr>
                <w:b/>
                <w:bCs/>
                <w:color w:val="000000" w:themeColor="text1"/>
                <w:sz w:val="18"/>
                <w:szCs w:val="18"/>
              </w:rPr>
            </w:pPr>
            <w:r w:rsidRPr="00F022C1">
              <w:rPr>
                <w:b/>
                <w:bCs/>
                <w:color w:val="000000" w:themeColor="text1"/>
                <w:sz w:val="18"/>
                <w:szCs w:val="18"/>
              </w:rPr>
              <w:t>Efficiency</w:t>
            </w:r>
          </w:p>
        </w:tc>
      </w:tr>
      <w:tr w:rsidR="00F022C1" w:rsidRPr="00F022C1" w:rsidTr="00CF7567">
        <w:trPr>
          <w:trHeight w:val="251"/>
        </w:trPr>
        <w:tc>
          <w:tcPr>
            <w:tcW w:w="2983" w:type="dxa"/>
            <w:tcBorders>
              <w:top w:val="nil"/>
              <w:left w:val="nil"/>
              <w:bottom w:val="nil"/>
              <w:right w:val="nil"/>
            </w:tcBorders>
            <w:shd w:val="clear" w:color="auto" w:fill="D9D9D9" w:themeFill="background1" w:themeFillShade="D9"/>
            <w:hideMark/>
          </w:tcPr>
          <w:p w:rsidR="0041185B" w:rsidRPr="00F022C1" w:rsidRDefault="0041185B" w:rsidP="00CF7567">
            <w:pPr>
              <w:spacing w:line="240" w:lineRule="auto"/>
              <w:jc w:val="left"/>
              <w:rPr>
                <w:b/>
                <w:bCs/>
                <w:i/>
                <w:iCs/>
                <w:color w:val="000000" w:themeColor="text1"/>
                <w:sz w:val="18"/>
                <w:szCs w:val="18"/>
              </w:rPr>
            </w:pPr>
            <w:r w:rsidRPr="00F022C1">
              <w:rPr>
                <w:b/>
                <w:bCs/>
                <w:i/>
                <w:iCs/>
                <w:color w:val="000000" w:themeColor="text1"/>
                <w:sz w:val="18"/>
                <w:szCs w:val="18"/>
              </w:rPr>
              <w:t>Pumps</w:t>
            </w:r>
          </w:p>
        </w:tc>
        <w:tc>
          <w:tcPr>
            <w:tcW w:w="1188"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421"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40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304"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28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r>
      <w:tr w:rsidR="00F022C1" w:rsidRPr="00F022C1" w:rsidTr="00CF7567">
        <w:trPr>
          <w:trHeight w:val="251"/>
        </w:trPr>
        <w:tc>
          <w:tcPr>
            <w:tcW w:w="2983" w:type="dxa"/>
            <w:vMerge w:val="restart"/>
            <w:tcBorders>
              <w:top w:val="nil"/>
              <w:left w:val="nil"/>
              <w:bottom w:val="nil"/>
              <w:right w:val="nil"/>
            </w:tcBorders>
            <w:shd w:val="clear" w:color="auto" w:fill="auto"/>
            <w:noWrap/>
            <w:hideMark/>
          </w:tcPr>
          <w:p w:rsidR="0041185B" w:rsidRPr="00F022C1" w:rsidRDefault="0041185B" w:rsidP="00CF7567">
            <w:pPr>
              <w:spacing w:line="240" w:lineRule="auto"/>
              <w:jc w:val="left"/>
              <w:rPr>
                <w:rFonts w:cs="Calibri"/>
                <w:color w:val="000000" w:themeColor="text1"/>
                <w:sz w:val="18"/>
                <w:szCs w:val="18"/>
              </w:rPr>
            </w:pPr>
            <w:r w:rsidRPr="00F022C1">
              <w:rPr>
                <w:rFonts w:cs="Calibri"/>
                <w:color w:val="000000" w:themeColor="text1"/>
                <w:sz w:val="18"/>
                <w:szCs w:val="18"/>
              </w:rPr>
              <w:t>Pump (seawater)</w:t>
            </w: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2</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€ 480</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0.18</w:t>
            </w: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tcBorders>
              <w:top w:val="nil"/>
              <w:left w:val="nil"/>
              <w:bottom w:val="nil"/>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4</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€ 1,091</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0.4</w:t>
            </w: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tcBorders>
              <w:top w:val="nil"/>
              <w:left w:val="nil"/>
              <w:bottom w:val="nil"/>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20</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€ 3,163</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12</w:t>
            </w: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tcBorders>
              <w:top w:val="nil"/>
              <w:left w:val="nil"/>
              <w:bottom w:val="nil"/>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200</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€ 14,292</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5.9</w:t>
            </w: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val="restart"/>
            <w:tcBorders>
              <w:top w:val="nil"/>
              <w:left w:val="nil"/>
              <w:bottom w:val="single" w:sz="4" w:space="0" w:color="000000"/>
              <w:right w:val="nil"/>
            </w:tcBorders>
            <w:shd w:val="clear" w:color="auto" w:fill="auto"/>
            <w:hideMark/>
          </w:tcPr>
          <w:p w:rsidR="0041185B" w:rsidRPr="00F022C1" w:rsidRDefault="0041185B" w:rsidP="00CF7567">
            <w:pPr>
              <w:spacing w:line="240" w:lineRule="auto"/>
              <w:jc w:val="left"/>
              <w:rPr>
                <w:rFonts w:cs="Calibri"/>
                <w:color w:val="000000" w:themeColor="text1"/>
                <w:sz w:val="18"/>
                <w:szCs w:val="18"/>
              </w:rPr>
            </w:pPr>
            <w:r w:rsidRPr="00F022C1">
              <w:rPr>
                <w:rFonts w:cs="Calibri"/>
                <w:color w:val="000000" w:themeColor="text1"/>
                <w:sz w:val="18"/>
                <w:szCs w:val="18"/>
              </w:rPr>
              <w:t>Culture circulation pump</w:t>
            </w: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700</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€ 29,628</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0.75</w:t>
            </w:r>
          </w:p>
        </w:tc>
      </w:tr>
      <w:tr w:rsidR="00F022C1" w:rsidRPr="00F022C1" w:rsidTr="00CF7567">
        <w:trPr>
          <w:trHeight w:val="251"/>
        </w:trPr>
        <w:tc>
          <w:tcPr>
            <w:tcW w:w="2983" w:type="dxa"/>
            <w:vMerge/>
            <w:tcBorders>
              <w:top w:val="nil"/>
              <w:left w:val="nil"/>
              <w:bottom w:val="single" w:sz="4" w:space="0" w:color="000000"/>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7000</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€ 206,623</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0.75</w:t>
            </w:r>
          </w:p>
        </w:tc>
      </w:tr>
      <w:tr w:rsidR="00F022C1" w:rsidRPr="00F022C1" w:rsidTr="00CF7567">
        <w:trPr>
          <w:trHeight w:val="251"/>
        </w:trPr>
        <w:tc>
          <w:tcPr>
            <w:tcW w:w="2983" w:type="dxa"/>
            <w:vMerge/>
            <w:tcBorders>
              <w:top w:val="nil"/>
              <w:left w:val="nil"/>
              <w:bottom w:val="single" w:sz="4" w:space="0" w:color="000000"/>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28000</w:t>
            </w:r>
          </w:p>
        </w:tc>
        <w:tc>
          <w:tcPr>
            <w:tcW w:w="1421"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€ 628,510</w:t>
            </w:r>
          </w:p>
        </w:tc>
        <w:tc>
          <w:tcPr>
            <w:tcW w:w="1304"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c>
          <w:tcPr>
            <w:tcW w:w="128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0.75</w:t>
            </w:r>
          </w:p>
        </w:tc>
      </w:tr>
      <w:tr w:rsidR="00F022C1" w:rsidRPr="00F022C1" w:rsidTr="00CF7567">
        <w:trPr>
          <w:trHeight w:val="251"/>
        </w:trPr>
        <w:tc>
          <w:tcPr>
            <w:tcW w:w="298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r w:rsidRPr="00F022C1">
              <w:rPr>
                <w:b/>
                <w:bCs/>
                <w:i/>
                <w:iCs/>
                <w:color w:val="000000" w:themeColor="text1"/>
                <w:sz w:val="18"/>
                <w:szCs w:val="18"/>
              </w:rPr>
              <w:t>Tanks</w:t>
            </w:r>
          </w:p>
        </w:tc>
        <w:tc>
          <w:tcPr>
            <w:tcW w:w="1188"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421"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40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304"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28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r>
      <w:tr w:rsidR="00F022C1" w:rsidRPr="00F022C1" w:rsidTr="00CF7567">
        <w:trPr>
          <w:trHeight w:val="251"/>
        </w:trPr>
        <w:tc>
          <w:tcPr>
            <w:tcW w:w="2983" w:type="dxa"/>
            <w:vMerge w:val="restart"/>
            <w:tcBorders>
              <w:top w:val="nil"/>
              <w:left w:val="nil"/>
              <w:bottom w:val="single" w:sz="4" w:space="0" w:color="000000"/>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Liquid Holding Tank</w:t>
            </w: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10</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€ 2,556</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tcBorders>
              <w:top w:val="nil"/>
              <w:left w:val="nil"/>
              <w:bottom w:val="single" w:sz="4" w:space="0" w:color="000000"/>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20</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€ 4,711</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tcBorders>
              <w:top w:val="nil"/>
              <w:left w:val="nil"/>
              <w:bottom w:val="single" w:sz="4" w:space="0" w:color="000000"/>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50</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€ 7,337</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tcBorders>
              <w:top w:val="nil"/>
              <w:left w:val="nil"/>
              <w:bottom w:val="single" w:sz="4" w:space="0" w:color="000000"/>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400</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€ 48,493</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tcBorders>
              <w:top w:val="nil"/>
              <w:left w:val="nil"/>
              <w:bottom w:val="single" w:sz="4" w:space="0" w:color="000000"/>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4000</w:t>
            </w:r>
          </w:p>
        </w:tc>
        <w:tc>
          <w:tcPr>
            <w:tcW w:w="1421"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p>
        </w:tc>
        <w:tc>
          <w:tcPr>
            <w:tcW w:w="140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€ 501,539</w:t>
            </w:r>
          </w:p>
        </w:tc>
        <w:tc>
          <w:tcPr>
            <w:tcW w:w="1304"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c>
          <w:tcPr>
            <w:tcW w:w="128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r w:rsidRPr="00F022C1">
              <w:rPr>
                <w:b/>
                <w:bCs/>
                <w:i/>
                <w:iCs/>
                <w:color w:val="000000" w:themeColor="text1"/>
                <w:sz w:val="18"/>
                <w:szCs w:val="18"/>
              </w:rPr>
              <w:t>Sterilization Process</w:t>
            </w:r>
          </w:p>
        </w:tc>
        <w:tc>
          <w:tcPr>
            <w:tcW w:w="1188"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421"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40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304"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28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r>
      <w:tr w:rsidR="00F022C1" w:rsidRPr="00F022C1" w:rsidTr="00CF7567">
        <w:trPr>
          <w:trHeight w:val="251"/>
        </w:trPr>
        <w:tc>
          <w:tcPr>
            <w:tcW w:w="2983" w:type="dxa"/>
            <w:vMerge w:val="restart"/>
            <w:tcBorders>
              <w:top w:val="nil"/>
              <w:left w:val="nil"/>
              <w:bottom w:val="single" w:sz="4" w:space="0" w:color="000000"/>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Medium Filter Unit</w:t>
            </w: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5.99</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€ 16,010</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tcBorders>
              <w:top w:val="nil"/>
              <w:left w:val="nil"/>
              <w:bottom w:val="single" w:sz="4" w:space="0" w:color="000000"/>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59.9</w:t>
            </w:r>
          </w:p>
        </w:tc>
        <w:tc>
          <w:tcPr>
            <w:tcW w:w="1421"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€ 113,343</w:t>
            </w:r>
          </w:p>
        </w:tc>
        <w:tc>
          <w:tcPr>
            <w:tcW w:w="1304"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c>
          <w:tcPr>
            <w:tcW w:w="128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r w:rsidRPr="00F022C1">
              <w:rPr>
                <w:b/>
                <w:bCs/>
                <w:i/>
                <w:iCs/>
                <w:color w:val="000000" w:themeColor="text1"/>
                <w:sz w:val="18"/>
                <w:szCs w:val="18"/>
              </w:rPr>
              <w:t>Mixing Unit</w:t>
            </w:r>
          </w:p>
        </w:tc>
        <w:tc>
          <w:tcPr>
            <w:tcW w:w="1188"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421"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40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304"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28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r>
      <w:tr w:rsidR="00F022C1" w:rsidRPr="00F022C1" w:rsidTr="00CF7567">
        <w:trPr>
          <w:trHeight w:val="251"/>
        </w:trPr>
        <w:tc>
          <w:tcPr>
            <w:tcW w:w="2983" w:type="dxa"/>
            <w:vMerge w:val="restart"/>
            <w:tcBorders>
              <w:top w:val="nil"/>
              <w:left w:val="nil"/>
              <w:bottom w:val="single" w:sz="4" w:space="0" w:color="000000"/>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Media Mixing Unit</w:t>
            </w: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0.1</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€ 14,759</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0.05184</w:t>
            </w: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tcBorders>
              <w:top w:val="nil"/>
              <w:left w:val="nil"/>
              <w:bottom w:val="single" w:sz="4" w:space="0" w:color="000000"/>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4</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€ 231,924</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2.0736</w:t>
            </w: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tcBorders>
              <w:top w:val="nil"/>
              <w:left w:val="nil"/>
              <w:bottom w:val="single" w:sz="4" w:space="0" w:color="000000"/>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8</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€ 256,171</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4.1472</w:t>
            </w: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tcBorders>
              <w:top w:val="nil"/>
              <w:left w:val="nil"/>
              <w:bottom w:val="single" w:sz="4" w:space="0" w:color="000000"/>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25</w:t>
            </w:r>
          </w:p>
        </w:tc>
        <w:tc>
          <w:tcPr>
            <w:tcW w:w="1421"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p>
        </w:tc>
        <w:tc>
          <w:tcPr>
            <w:tcW w:w="140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€ 306,772</w:t>
            </w:r>
          </w:p>
        </w:tc>
        <w:tc>
          <w:tcPr>
            <w:tcW w:w="1304"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12.96</w:t>
            </w:r>
          </w:p>
        </w:tc>
        <w:tc>
          <w:tcPr>
            <w:tcW w:w="128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r w:rsidRPr="00F022C1">
              <w:rPr>
                <w:b/>
                <w:bCs/>
                <w:i/>
                <w:iCs/>
                <w:color w:val="000000" w:themeColor="text1"/>
                <w:sz w:val="18"/>
                <w:szCs w:val="18"/>
              </w:rPr>
              <w:t>CO</w:t>
            </w:r>
            <w:r w:rsidRPr="00F022C1">
              <w:rPr>
                <w:b/>
                <w:bCs/>
                <w:i/>
                <w:iCs/>
                <w:color w:val="000000" w:themeColor="text1"/>
                <w:sz w:val="18"/>
                <w:szCs w:val="18"/>
                <w:vertAlign w:val="subscript"/>
              </w:rPr>
              <w:t>2</w:t>
            </w:r>
            <w:r w:rsidRPr="00F022C1">
              <w:rPr>
                <w:b/>
                <w:bCs/>
                <w:i/>
                <w:iCs/>
                <w:color w:val="000000" w:themeColor="text1"/>
                <w:sz w:val="18"/>
                <w:szCs w:val="18"/>
              </w:rPr>
              <w:t xml:space="preserve"> Supply</w:t>
            </w:r>
          </w:p>
        </w:tc>
        <w:tc>
          <w:tcPr>
            <w:tcW w:w="1188"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421"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40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304"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28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r>
      <w:tr w:rsidR="00F022C1" w:rsidRPr="00F022C1" w:rsidTr="00CF7567">
        <w:trPr>
          <w:trHeight w:val="251"/>
        </w:trPr>
        <w:tc>
          <w:tcPr>
            <w:tcW w:w="298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CO</w:t>
            </w:r>
            <w:r w:rsidRPr="00F022C1">
              <w:rPr>
                <w:color w:val="000000" w:themeColor="text1"/>
                <w:sz w:val="18"/>
                <w:szCs w:val="18"/>
                <w:vertAlign w:val="subscript"/>
              </w:rPr>
              <w:t>2</w:t>
            </w:r>
            <w:r w:rsidRPr="00F022C1">
              <w:rPr>
                <w:color w:val="000000" w:themeColor="text1"/>
                <w:sz w:val="18"/>
                <w:szCs w:val="18"/>
              </w:rPr>
              <w:t xml:space="preserve"> Supply Unit</w:t>
            </w:r>
          </w:p>
        </w:tc>
        <w:tc>
          <w:tcPr>
            <w:tcW w:w="1188"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1</w:t>
            </w:r>
          </w:p>
        </w:tc>
        <w:tc>
          <w:tcPr>
            <w:tcW w:w="1421"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ha</w:t>
            </w:r>
            <w:r w:rsidRPr="00F022C1">
              <w:rPr>
                <w:color w:val="000000" w:themeColor="text1"/>
                <w:sz w:val="18"/>
                <w:szCs w:val="18"/>
                <w:vertAlign w:val="superscript"/>
              </w:rPr>
              <w:t>-1</w:t>
            </w:r>
          </w:p>
        </w:tc>
        <w:tc>
          <w:tcPr>
            <w:tcW w:w="140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€ 4,978</w:t>
            </w:r>
          </w:p>
        </w:tc>
        <w:tc>
          <w:tcPr>
            <w:tcW w:w="1304"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c>
          <w:tcPr>
            <w:tcW w:w="128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5592" w:type="dxa"/>
            <w:gridSpan w:val="3"/>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r w:rsidRPr="00F022C1">
              <w:rPr>
                <w:b/>
                <w:bCs/>
                <w:i/>
                <w:iCs/>
                <w:color w:val="000000" w:themeColor="text1"/>
                <w:sz w:val="18"/>
                <w:szCs w:val="18"/>
              </w:rPr>
              <w:t>Aeration (for degasser and flat panel photobioreactors)</w:t>
            </w:r>
          </w:p>
        </w:tc>
        <w:tc>
          <w:tcPr>
            <w:tcW w:w="140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304"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28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r>
      <w:tr w:rsidR="00F022C1" w:rsidRPr="00F022C1" w:rsidTr="00CF7567">
        <w:trPr>
          <w:trHeight w:val="251"/>
        </w:trPr>
        <w:tc>
          <w:tcPr>
            <w:tcW w:w="2983" w:type="dxa"/>
            <w:vMerge w:val="restart"/>
            <w:tcBorders>
              <w:top w:val="nil"/>
              <w:left w:val="nil"/>
              <w:bottom w:val="single" w:sz="4" w:space="0" w:color="000000"/>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Air Blower</w:t>
            </w: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200</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€ 3,191</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0.99</w:t>
            </w: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tcBorders>
              <w:top w:val="nil"/>
              <w:left w:val="nil"/>
              <w:bottom w:val="single" w:sz="4" w:space="0" w:color="000000"/>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1000</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€ 5,959</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3.96</w:t>
            </w: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tcBorders>
              <w:top w:val="nil"/>
              <w:left w:val="nil"/>
              <w:bottom w:val="single" w:sz="4" w:space="0" w:color="000000"/>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2499</w:t>
            </w:r>
          </w:p>
        </w:tc>
        <w:tc>
          <w:tcPr>
            <w:tcW w:w="1421"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€ 11,788</w:t>
            </w:r>
          </w:p>
        </w:tc>
        <w:tc>
          <w:tcPr>
            <w:tcW w:w="1304"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11.15</w:t>
            </w:r>
          </w:p>
        </w:tc>
        <w:tc>
          <w:tcPr>
            <w:tcW w:w="128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r w:rsidRPr="00F022C1">
              <w:rPr>
                <w:b/>
                <w:bCs/>
                <w:i/>
                <w:iCs/>
                <w:color w:val="000000" w:themeColor="text1"/>
                <w:sz w:val="18"/>
                <w:szCs w:val="18"/>
              </w:rPr>
              <w:t>Degasser</w:t>
            </w:r>
          </w:p>
        </w:tc>
        <w:tc>
          <w:tcPr>
            <w:tcW w:w="1188"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421"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40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304"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28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r>
      <w:tr w:rsidR="00F022C1" w:rsidRPr="00F022C1" w:rsidTr="00CF7567">
        <w:trPr>
          <w:trHeight w:val="251"/>
        </w:trPr>
        <w:tc>
          <w:tcPr>
            <w:tcW w:w="2983" w:type="dxa"/>
            <w:vMerge w:val="restart"/>
            <w:tcBorders>
              <w:top w:val="nil"/>
              <w:left w:val="nil"/>
              <w:bottom w:val="single" w:sz="4" w:space="0" w:color="000000"/>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Degasser</w:t>
            </w: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60</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€ 1,280</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tcBorders>
              <w:top w:val="nil"/>
              <w:left w:val="nil"/>
              <w:bottom w:val="single" w:sz="4" w:space="0" w:color="000000"/>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600</w:t>
            </w:r>
          </w:p>
        </w:tc>
        <w:tc>
          <w:tcPr>
            <w:tcW w:w="1421"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€ 2,641</w:t>
            </w:r>
          </w:p>
        </w:tc>
        <w:tc>
          <w:tcPr>
            <w:tcW w:w="1304"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c>
          <w:tcPr>
            <w:tcW w:w="128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r w:rsidRPr="00F022C1">
              <w:rPr>
                <w:b/>
                <w:bCs/>
                <w:i/>
                <w:iCs/>
                <w:color w:val="000000" w:themeColor="text1"/>
                <w:sz w:val="18"/>
                <w:szCs w:val="18"/>
              </w:rPr>
              <w:t>Harvesting</w:t>
            </w:r>
          </w:p>
        </w:tc>
        <w:tc>
          <w:tcPr>
            <w:tcW w:w="1188"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421"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40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304"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28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r>
      <w:tr w:rsidR="00F022C1" w:rsidRPr="00F022C1" w:rsidTr="00CF7567">
        <w:trPr>
          <w:trHeight w:val="251"/>
        </w:trPr>
        <w:tc>
          <w:tcPr>
            <w:tcW w:w="2983" w:type="dxa"/>
            <w:vMerge w:val="restart"/>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Centrifuge</w:t>
            </w: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0.13</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€ 28,463</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1.1</w:t>
            </w: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tcBorders>
              <w:top w:val="nil"/>
              <w:left w:val="nil"/>
              <w:bottom w:val="nil"/>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2.1</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€ 53,764</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4</w:t>
            </w: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tcBorders>
              <w:top w:val="nil"/>
              <w:left w:val="nil"/>
              <w:bottom w:val="nil"/>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30</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€ 180,000</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18</w:t>
            </w: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vMerge/>
            <w:tcBorders>
              <w:top w:val="nil"/>
              <w:left w:val="nil"/>
              <w:bottom w:val="nil"/>
              <w:right w:val="nil"/>
            </w:tcBorders>
            <w:hideMark/>
          </w:tcPr>
          <w:p w:rsidR="0041185B" w:rsidRPr="00F022C1" w:rsidRDefault="0041185B" w:rsidP="00CF7567">
            <w:pPr>
              <w:spacing w:line="240" w:lineRule="auto"/>
              <w:jc w:val="left"/>
              <w:rPr>
                <w:color w:val="000000" w:themeColor="text1"/>
                <w:sz w:val="18"/>
                <w:szCs w:val="18"/>
              </w:rPr>
            </w:pP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70</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€ 360,000</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28</w:t>
            </w: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85"/>
        </w:trPr>
        <w:tc>
          <w:tcPr>
            <w:tcW w:w="29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Tilted Screen (120m</w:t>
            </w:r>
            <w:r w:rsidRPr="00F022C1">
              <w:rPr>
                <w:color w:val="000000" w:themeColor="text1"/>
                <w:sz w:val="18"/>
                <w:szCs w:val="18"/>
                <w:vertAlign w:val="superscript"/>
              </w:rPr>
              <w:t>2</w:t>
            </w:r>
            <w:r w:rsidRPr="00F022C1">
              <w:rPr>
                <w:color w:val="000000" w:themeColor="text1"/>
                <w:sz w:val="18"/>
                <w:szCs w:val="18"/>
              </w:rPr>
              <w:t>)</w:t>
            </w: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200</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€ 7,768</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0.2</w:t>
            </w: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Vacuum Suction filter belt</w:t>
            </w: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2</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w:t>
            </w:r>
            <w:r w:rsidRPr="00F022C1">
              <w:rPr>
                <w:color w:val="000000" w:themeColor="text1"/>
                <w:sz w:val="18"/>
                <w:szCs w:val="18"/>
                <w:vertAlign w:val="superscript"/>
              </w:rPr>
              <w:t>3</w:t>
            </w:r>
            <w:r w:rsidRPr="00F022C1">
              <w:rPr>
                <w:color w:val="000000" w:themeColor="text1"/>
                <w:sz w:val="18"/>
                <w:szCs w:val="18"/>
              </w:rPr>
              <w:t>·h</w:t>
            </w:r>
            <w:r w:rsidRPr="00F022C1">
              <w:rPr>
                <w:color w:val="000000" w:themeColor="text1"/>
                <w:sz w:val="18"/>
                <w:szCs w:val="18"/>
                <w:vertAlign w:val="superscript"/>
              </w:rPr>
              <w:t>-1</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€ 93,211</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0.45</w:t>
            </w: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F022C1" w:rsidRPr="00F022C1" w:rsidTr="00CF7567">
        <w:trPr>
          <w:trHeight w:val="251"/>
        </w:trPr>
        <w:tc>
          <w:tcPr>
            <w:tcW w:w="298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r w:rsidRPr="00F022C1">
              <w:rPr>
                <w:b/>
                <w:bCs/>
                <w:i/>
                <w:iCs/>
                <w:color w:val="000000" w:themeColor="text1"/>
                <w:sz w:val="18"/>
                <w:szCs w:val="18"/>
              </w:rPr>
              <w:t>Reactor Frames &amp; Support</w:t>
            </w:r>
          </w:p>
        </w:tc>
        <w:tc>
          <w:tcPr>
            <w:tcW w:w="1188"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421"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40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304"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c>
          <w:tcPr>
            <w:tcW w:w="1283" w:type="dxa"/>
            <w:tcBorders>
              <w:top w:val="nil"/>
              <w:left w:val="nil"/>
              <w:bottom w:val="nil"/>
              <w:right w:val="nil"/>
            </w:tcBorders>
            <w:shd w:val="clear" w:color="auto" w:fill="D9D9D9" w:themeFill="background1" w:themeFillShade="D9"/>
            <w:noWrap/>
            <w:hideMark/>
          </w:tcPr>
          <w:p w:rsidR="0041185B" w:rsidRPr="00F022C1" w:rsidRDefault="0041185B" w:rsidP="00CF7567">
            <w:pPr>
              <w:spacing w:line="240" w:lineRule="auto"/>
              <w:jc w:val="left"/>
              <w:rPr>
                <w:b/>
                <w:bCs/>
                <w:i/>
                <w:iCs/>
                <w:color w:val="000000" w:themeColor="text1"/>
                <w:sz w:val="18"/>
                <w:szCs w:val="18"/>
              </w:rPr>
            </w:pPr>
          </w:p>
        </w:tc>
      </w:tr>
      <w:tr w:rsidR="00F022C1" w:rsidRPr="00F022C1" w:rsidTr="00CF7567">
        <w:trPr>
          <w:trHeight w:val="285"/>
        </w:trPr>
        <w:tc>
          <w:tcPr>
            <w:tcW w:w="29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Steel Mesh Casing (Flat Panel)</w:t>
            </w:r>
          </w:p>
        </w:tc>
        <w:tc>
          <w:tcPr>
            <w:tcW w:w="1188"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0.875</w:t>
            </w:r>
          </w:p>
        </w:tc>
        <w:tc>
          <w:tcPr>
            <w:tcW w:w="1421"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kg·m</w:t>
            </w:r>
            <w:r w:rsidRPr="00F022C1">
              <w:rPr>
                <w:color w:val="000000" w:themeColor="text1"/>
                <w:sz w:val="18"/>
                <w:szCs w:val="18"/>
                <w:vertAlign w:val="superscript"/>
              </w:rPr>
              <w:t>-2</w:t>
            </w:r>
          </w:p>
        </w:tc>
        <w:tc>
          <w:tcPr>
            <w:tcW w:w="140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€ 650 ·ton</w:t>
            </w:r>
            <w:r w:rsidRPr="00F022C1">
              <w:rPr>
                <w:color w:val="000000" w:themeColor="text1"/>
                <w:sz w:val="18"/>
                <w:szCs w:val="18"/>
                <w:vertAlign w:val="superscript"/>
              </w:rPr>
              <w:t>-1</w:t>
            </w:r>
          </w:p>
        </w:tc>
        <w:tc>
          <w:tcPr>
            <w:tcW w:w="1304"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c>
          <w:tcPr>
            <w:tcW w:w="1283" w:type="dxa"/>
            <w:tcBorders>
              <w:top w:val="nil"/>
              <w:left w:val="nil"/>
              <w:bottom w:val="nil"/>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r>
      <w:tr w:rsidR="0041185B" w:rsidRPr="00F022C1" w:rsidTr="00CF7567">
        <w:trPr>
          <w:trHeight w:val="285"/>
        </w:trPr>
        <w:tc>
          <w:tcPr>
            <w:tcW w:w="298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Metal Poles (Vertical Tubular)</w:t>
            </w:r>
          </w:p>
        </w:tc>
        <w:tc>
          <w:tcPr>
            <w:tcW w:w="1188"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3.8</w:t>
            </w:r>
          </w:p>
        </w:tc>
        <w:tc>
          <w:tcPr>
            <w:tcW w:w="1421"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kg·m</w:t>
            </w:r>
            <w:r w:rsidRPr="00F022C1">
              <w:rPr>
                <w:color w:val="000000" w:themeColor="text1"/>
                <w:sz w:val="18"/>
                <w:szCs w:val="18"/>
                <w:vertAlign w:val="superscript"/>
              </w:rPr>
              <w:t>-1</w:t>
            </w:r>
          </w:p>
        </w:tc>
        <w:tc>
          <w:tcPr>
            <w:tcW w:w="140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xml:space="preserve"> € 720 ·ton</w:t>
            </w:r>
            <w:r w:rsidRPr="00F022C1">
              <w:rPr>
                <w:color w:val="000000" w:themeColor="text1"/>
                <w:sz w:val="18"/>
                <w:szCs w:val="18"/>
                <w:vertAlign w:val="superscript"/>
              </w:rPr>
              <w:t>-1</w:t>
            </w:r>
          </w:p>
        </w:tc>
        <w:tc>
          <w:tcPr>
            <w:tcW w:w="1304"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p>
        </w:tc>
        <w:tc>
          <w:tcPr>
            <w:tcW w:w="1283" w:type="dxa"/>
            <w:tcBorders>
              <w:top w:val="nil"/>
              <w:left w:val="nil"/>
              <w:bottom w:val="single" w:sz="4" w:space="0" w:color="auto"/>
              <w:right w:val="nil"/>
            </w:tcBorders>
            <w:shd w:val="clear" w:color="auto" w:fill="auto"/>
            <w:noWrap/>
            <w:hideMark/>
          </w:tcPr>
          <w:p w:rsidR="0041185B" w:rsidRPr="00F022C1" w:rsidRDefault="0041185B" w:rsidP="00CF7567">
            <w:pPr>
              <w:spacing w:line="240" w:lineRule="auto"/>
              <w:jc w:val="left"/>
              <w:rPr>
                <w:color w:val="000000" w:themeColor="text1"/>
                <w:sz w:val="18"/>
                <w:szCs w:val="18"/>
              </w:rPr>
            </w:pPr>
            <w:r w:rsidRPr="00F022C1">
              <w:rPr>
                <w:color w:val="000000" w:themeColor="text1"/>
                <w:sz w:val="18"/>
                <w:szCs w:val="18"/>
              </w:rPr>
              <w:t> </w:t>
            </w:r>
          </w:p>
        </w:tc>
      </w:tr>
    </w:tbl>
    <w:p w:rsidR="0041185B" w:rsidRPr="00F022C1" w:rsidRDefault="0041185B" w:rsidP="0041185B">
      <w:pPr>
        <w:jc w:val="left"/>
        <w:rPr>
          <w:color w:val="000000" w:themeColor="text1"/>
        </w:rPr>
      </w:pPr>
    </w:p>
    <w:p w:rsidR="0041185B" w:rsidRPr="00F022C1" w:rsidRDefault="0041185B" w:rsidP="0041185B">
      <w:pPr>
        <w:jc w:val="left"/>
        <w:rPr>
          <w:color w:val="000000" w:themeColor="text1"/>
        </w:rPr>
        <w:sectPr w:rsidR="0041185B" w:rsidRPr="00F022C1" w:rsidSect="008B3DF7">
          <w:footerReference w:type="even" r:id="rId7"/>
          <w:footerReference w:type="default" r:id="rId8"/>
          <w:pgSz w:w="11900" w:h="16840"/>
          <w:pgMar w:top="1440" w:right="1440" w:bottom="1440" w:left="1440" w:header="708" w:footer="708" w:gutter="0"/>
          <w:cols w:space="708"/>
          <w:docGrid w:linePitch="360"/>
        </w:sectPr>
      </w:pPr>
    </w:p>
    <w:p w:rsidR="0041185B" w:rsidRPr="00F022C1" w:rsidRDefault="0041185B" w:rsidP="0041185B">
      <w:pPr>
        <w:pStyle w:val="Heading3"/>
      </w:pPr>
      <w:bookmarkStart w:id="2" w:name="_Ref52965942"/>
      <w:r w:rsidRPr="00F022C1">
        <w:lastRenderedPageBreak/>
        <w:t xml:space="preserve">Appendix </w:t>
      </w:r>
      <w:r w:rsidR="00B10DE4">
        <w:t>C</w:t>
      </w:r>
      <w:r w:rsidRPr="00F022C1">
        <w:t>: Biomass production cost breakdown</w:t>
      </w:r>
    </w:p>
    <w:p w:rsidR="0041185B" w:rsidRPr="00F022C1" w:rsidRDefault="0041185B" w:rsidP="0041185B">
      <w:pPr>
        <w:pStyle w:val="Caption"/>
        <w:jc w:val="left"/>
        <w:rPr>
          <w:color w:val="000000" w:themeColor="text1"/>
        </w:rPr>
      </w:pPr>
      <w:r w:rsidRPr="00F022C1">
        <w:rPr>
          <w:color w:val="000000" w:themeColor="text1"/>
        </w:rPr>
        <w:t xml:space="preserve">Table </w:t>
      </w:r>
      <w:r w:rsidR="00B10DE4">
        <w:rPr>
          <w:color w:val="000000" w:themeColor="text1"/>
        </w:rPr>
        <w:t>C</w:t>
      </w:r>
      <w:r w:rsidRPr="00F022C1">
        <w:rPr>
          <w:color w:val="000000" w:themeColor="text1"/>
        </w:rPr>
        <w:t>.</w:t>
      </w:r>
      <w:bookmarkEnd w:id="2"/>
      <w:r w:rsidRPr="00F022C1">
        <w:rPr>
          <w:color w:val="000000" w:themeColor="text1"/>
        </w:rPr>
        <w:t xml:space="preserve">1 – </w:t>
      </w:r>
      <w:r w:rsidRPr="00F022C1">
        <w:rPr>
          <w:b w:val="0"/>
          <w:bCs w:val="0"/>
          <w:color w:val="000000" w:themeColor="text1"/>
        </w:rPr>
        <w:t>Biomass production capacity, and breakdown of projected biomass production costs, in capital expenses (CAPEX) and operational expenses (OPEX) for 1, 10 and 100 ha production facility sizes located in Qatar (Al Khor).</w:t>
      </w:r>
    </w:p>
    <w:tbl>
      <w:tblPr>
        <w:tblW w:w="13960" w:type="dxa"/>
        <w:tblLook w:val="04A0" w:firstRow="1" w:lastRow="0" w:firstColumn="1" w:lastColumn="0" w:noHBand="0" w:noVBand="1"/>
      </w:tblPr>
      <w:tblGrid>
        <w:gridCol w:w="1269"/>
        <w:gridCol w:w="654"/>
        <w:gridCol w:w="1022"/>
        <w:gridCol w:w="914"/>
        <w:gridCol w:w="737"/>
        <w:gridCol w:w="639"/>
        <w:gridCol w:w="1141"/>
        <w:gridCol w:w="1130"/>
        <w:gridCol w:w="1112"/>
        <w:gridCol w:w="966"/>
        <w:gridCol w:w="1120"/>
        <w:gridCol w:w="688"/>
        <w:gridCol w:w="613"/>
        <w:gridCol w:w="1278"/>
        <w:gridCol w:w="677"/>
      </w:tblGrid>
      <w:tr w:rsidR="00F022C1" w:rsidRPr="00F022C1" w:rsidTr="00CF7567">
        <w:trPr>
          <w:trHeight w:val="499"/>
        </w:trPr>
        <w:tc>
          <w:tcPr>
            <w:tcW w:w="0" w:type="auto"/>
            <w:tcBorders>
              <w:top w:val="single" w:sz="4" w:space="0" w:color="auto"/>
              <w:left w:val="nil"/>
              <w:bottom w:val="nil"/>
              <w:right w:val="nil"/>
            </w:tcBorders>
            <w:shd w:val="clear" w:color="000000" w:fill="D9D9D9"/>
            <w:vAlign w:val="bottom"/>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 </w:t>
            </w:r>
          </w:p>
        </w:tc>
        <w:tc>
          <w:tcPr>
            <w:tcW w:w="0" w:type="auto"/>
            <w:tcBorders>
              <w:top w:val="single" w:sz="4" w:space="0" w:color="auto"/>
              <w:left w:val="nil"/>
              <w:bottom w:val="nil"/>
              <w:right w:val="nil"/>
            </w:tcBorders>
            <w:shd w:val="clear" w:color="000000" w:fill="D9D9D9"/>
            <w:noWrap/>
            <w:vAlign w:val="bottom"/>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 </w:t>
            </w:r>
          </w:p>
        </w:tc>
        <w:tc>
          <w:tcPr>
            <w:tcW w:w="0" w:type="auto"/>
            <w:tcBorders>
              <w:top w:val="single" w:sz="4" w:space="0" w:color="auto"/>
              <w:left w:val="nil"/>
              <w:bottom w:val="nil"/>
              <w:right w:val="nil"/>
            </w:tcBorders>
            <w:shd w:val="clear" w:color="000000" w:fill="D9D9D9"/>
            <w:vAlign w:val="center"/>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Biomass Capacity</w:t>
            </w:r>
          </w:p>
        </w:tc>
        <w:tc>
          <w:tcPr>
            <w:tcW w:w="914" w:type="dxa"/>
            <w:tcBorders>
              <w:top w:val="single" w:sz="4" w:space="0" w:color="auto"/>
              <w:left w:val="nil"/>
              <w:bottom w:val="nil"/>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Biomass Costs</w:t>
            </w:r>
          </w:p>
        </w:tc>
        <w:tc>
          <w:tcPr>
            <w:tcW w:w="0" w:type="auto"/>
            <w:tcBorders>
              <w:top w:val="single" w:sz="4" w:space="0" w:color="auto"/>
              <w:left w:val="nil"/>
              <w:bottom w:val="nil"/>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CAPEX</w:t>
            </w:r>
          </w:p>
        </w:tc>
        <w:tc>
          <w:tcPr>
            <w:tcW w:w="0" w:type="auto"/>
            <w:tcBorders>
              <w:top w:val="single" w:sz="4" w:space="0" w:color="auto"/>
              <w:left w:val="nil"/>
              <w:bottom w:val="nil"/>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OPEX</w:t>
            </w:r>
          </w:p>
        </w:tc>
        <w:tc>
          <w:tcPr>
            <w:tcW w:w="0" w:type="auto"/>
            <w:tcBorders>
              <w:top w:val="single" w:sz="4" w:space="0" w:color="auto"/>
              <w:left w:val="nil"/>
              <w:bottom w:val="nil"/>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Initial Investment</w:t>
            </w:r>
          </w:p>
        </w:tc>
        <w:tc>
          <w:tcPr>
            <w:tcW w:w="0" w:type="auto"/>
            <w:tcBorders>
              <w:top w:val="single" w:sz="4" w:space="0" w:color="auto"/>
              <w:left w:val="nil"/>
              <w:bottom w:val="nil"/>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Major Equipment</w:t>
            </w:r>
          </w:p>
        </w:tc>
        <w:tc>
          <w:tcPr>
            <w:tcW w:w="0" w:type="auto"/>
            <w:tcBorders>
              <w:top w:val="single" w:sz="4" w:space="0" w:color="auto"/>
              <w:left w:val="nil"/>
              <w:bottom w:val="nil"/>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Construction</w:t>
            </w:r>
          </w:p>
        </w:tc>
        <w:tc>
          <w:tcPr>
            <w:tcW w:w="0" w:type="auto"/>
            <w:tcBorders>
              <w:top w:val="single" w:sz="4" w:space="0" w:color="auto"/>
              <w:left w:val="nil"/>
              <w:bottom w:val="nil"/>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Raw Materials</w:t>
            </w:r>
          </w:p>
        </w:tc>
        <w:tc>
          <w:tcPr>
            <w:tcW w:w="0" w:type="auto"/>
            <w:tcBorders>
              <w:top w:val="single" w:sz="4" w:space="0" w:color="auto"/>
              <w:left w:val="nil"/>
              <w:bottom w:val="nil"/>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Consumables</w:t>
            </w:r>
          </w:p>
        </w:tc>
        <w:tc>
          <w:tcPr>
            <w:tcW w:w="0" w:type="auto"/>
            <w:tcBorders>
              <w:top w:val="single" w:sz="4" w:space="0" w:color="auto"/>
              <w:left w:val="nil"/>
              <w:bottom w:val="nil"/>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Energy</w:t>
            </w:r>
          </w:p>
        </w:tc>
        <w:tc>
          <w:tcPr>
            <w:tcW w:w="0" w:type="auto"/>
            <w:tcBorders>
              <w:top w:val="single" w:sz="4" w:space="0" w:color="auto"/>
              <w:left w:val="nil"/>
              <w:bottom w:val="nil"/>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Labor</w:t>
            </w:r>
          </w:p>
        </w:tc>
        <w:tc>
          <w:tcPr>
            <w:tcW w:w="0" w:type="auto"/>
            <w:tcBorders>
              <w:top w:val="single" w:sz="4" w:space="0" w:color="auto"/>
              <w:left w:val="nil"/>
              <w:bottom w:val="nil"/>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Wastewater Treatment</w:t>
            </w:r>
          </w:p>
        </w:tc>
        <w:tc>
          <w:tcPr>
            <w:tcW w:w="0" w:type="auto"/>
            <w:tcBorders>
              <w:top w:val="single" w:sz="4" w:space="0" w:color="auto"/>
              <w:left w:val="nil"/>
              <w:bottom w:val="nil"/>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Others</w:t>
            </w:r>
          </w:p>
        </w:tc>
      </w:tr>
      <w:tr w:rsidR="00F022C1" w:rsidRPr="00F022C1" w:rsidTr="00CF7567">
        <w:trPr>
          <w:trHeight w:val="283"/>
        </w:trPr>
        <w:tc>
          <w:tcPr>
            <w:tcW w:w="0" w:type="auto"/>
            <w:tcBorders>
              <w:top w:val="nil"/>
              <w:left w:val="nil"/>
              <w:bottom w:val="nil"/>
              <w:right w:val="nil"/>
            </w:tcBorders>
            <w:shd w:val="clear" w:color="000000" w:fill="D9D9D9"/>
            <w:vAlign w:val="bottom"/>
            <w:hideMark/>
          </w:tcPr>
          <w:p w:rsidR="0041185B" w:rsidRPr="00F022C1" w:rsidRDefault="0041185B" w:rsidP="00CF7567">
            <w:pPr>
              <w:spacing w:line="240" w:lineRule="auto"/>
              <w:jc w:val="left"/>
              <w:rPr>
                <w:i/>
                <w:iCs/>
                <w:color w:val="000000" w:themeColor="text1"/>
                <w:sz w:val="16"/>
                <w:szCs w:val="16"/>
              </w:rPr>
            </w:pPr>
            <w:r w:rsidRPr="00F022C1">
              <w:rPr>
                <w:i/>
                <w:iCs/>
                <w:color w:val="000000" w:themeColor="text1"/>
                <w:sz w:val="16"/>
                <w:szCs w:val="16"/>
              </w:rPr>
              <w:t> </w:t>
            </w:r>
          </w:p>
        </w:tc>
        <w:tc>
          <w:tcPr>
            <w:tcW w:w="0" w:type="auto"/>
            <w:tcBorders>
              <w:top w:val="nil"/>
              <w:left w:val="nil"/>
              <w:bottom w:val="nil"/>
              <w:right w:val="nil"/>
            </w:tcBorders>
            <w:shd w:val="clear" w:color="000000" w:fill="D9D9D9"/>
            <w:noWrap/>
            <w:vAlign w:val="bottom"/>
            <w:hideMark/>
          </w:tcPr>
          <w:p w:rsidR="0041185B" w:rsidRPr="00F022C1" w:rsidRDefault="0041185B" w:rsidP="00CF7567">
            <w:pPr>
              <w:spacing w:line="240" w:lineRule="auto"/>
              <w:jc w:val="left"/>
              <w:rPr>
                <w:i/>
                <w:iCs/>
                <w:color w:val="000000" w:themeColor="text1"/>
                <w:sz w:val="16"/>
                <w:szCs w:val="16"/>
              </w:rPr>
            </w:pPr>
            <w:r w:rsidRPr="00F022C1">
              <w:rPr>
                <w:i/>
                <w:iCs/>
                <w:color w:val="000000" w:themeColor="text1"/>
                <w:sz w:val="16"/>
                <w:szCs w:val="16"/>
              </w:rPr>
              <w:t> </w:t>
            </w:r>
          </w:p>
        </w:tc>
        <w:tc>
          <w:tcPr>
            <w:tcW w:w="0" w:type="auto"/>
            <w:tcBorders>
              <w:top w:val="nil"/>
              <w:left w:val="nil"/>
              <w:bottom w:val="nil"/>
              <w:right w:val="nil"/>
            </w:tcBorders>
            <w:shd w:val="clear" w:color="000000" w:fill="D9D9D9"/>
            <w:vAlign w:val="bottom"/>
          </w:tcPr>
          <w:p w:rsidR="0041185B" w:rsidRPr="00F022C1" w:rsidRDefault="0041185B" w:rsidP="00CF7567">
            <w:pPr>
              <w:spacing w:line="240" w:lineRule="auto"/>
              <w:jc w:val="left"/>
              <w:rPr>
                <w:i/>
                <w:iCs/>
                <w:color w:val="000000" w:themeColor="text1"/>
                <w:sz w:val="16"/>
                <w:szCs w:val="16"/>
              </w:rPr>
            </w:pPr>
            <w:r w:rsidRPr="00F022C1">
              <w:rPr>
                <w:i/>
                <w:iCs/>
                <w:color w:val="000000" w:themeColor="text1"/>
                <w:sz w:val="16"/>
                <w:szCs w:val="16"/>
              </w:rPr>
              <w:t>t</w:t>
            </w:r>
            <w:r w:rsidRPr="00F022C1">
              <w:rPr>
                <w:rFonts w:ascii="MS Mincho" w:eastAsia="MS Mincho" w:hAnsi="MS Mincho" w:cs="MS Mincho"/>
                <w:i/>
                <w:iCs/>
                <w:color w:val="000000" w:themeColor="text1"/>
                <w:sz w:val="16"/>
                <w:szCs w:val="16"/>
              </w:rPr>
              <w:t>･</w:t>
            </w:r>
            <w:r w:rsidRPr="00F022C1">
              <w:rPr>
                <w:i/>
                <w:iCs/>
                <w:color w:val="000000" w:themeColor="text1"/>
                <w:sz w:val="16"/>
                <w:szCs w:val="16"/>
              </w:rPr>
              <w:t>y</w:t>
            </w:r>
            <w:r w:rsidRPr="00F022C1">
              <w:rPr>
                <w:i/>
                <w:iCs/>
                <w:color w:val="000000" w:themeColor="text1"/>
                <w:sz w:val="16"/>
                <w:szCs w:val="16"/>
                <w:vertAlign w:val="superscript"/>
              </w:rPr>
              <w:t>-1</w:t>
            </w:r>
          </w:p>
        </w:tc>
        <w:tc>
          <w:tcPr>
            <w:tcW w:w="914" w:type="dxa"/>
            <w:tcBorders>
              <w:top w:val="nil"/>
              <w:left w:val="nil"/>
              <w:bottom w:val="nil"/>
              <w:right w:val="nil"/>
            </w:tcBorders>
            <w:shd w:val="clear" w:color="000000" w:fill="D9D9D9"/>
            <w:noWrap/>
            <w:vAlign w:val="bottom"/>
            <w:hideMark/>
          </w:tcPr>
          <w:p w:rsidR="0041185B" w:rsidRPr="00F022C1" w:rsidRDefault="0041185B" w:rsidP="00CF7567">
            <w:pPr>
              <w:spacing w:line="240" w:lineRule="auto"/>
              <w:jc w:val="left"/>
              <w:rPr>
                <w:i/>
                <w:iCs/>
                <w:color w:val="000000" w:themeColor="text1"/>
                <w:sz w:val="16"/>
                <w:szCs w:val="16"/>
              </w:rPr>
            </w:pPr>
            <w:r w:rsidRPr="00F022C1">
              <w:rPr>
                <w:i/>
                <w:iCs/>
                <w:color w:val="000000" w:themeColor="text1"/>
                <w:sz w:val="16"/>
                <w:szCs w:val="16"/>
              </w:rPr>
              <w:t>€</w:t>
            </w:r>
            <w:r w:rsidRPr="00F022C1">
              <w:rPr>
                <w:rFonts w:ascii="MS Mincho" w:eastAsia="MS Mincho" w:hAnsi="MS Mincho" w:cs="MS Mincho"/>
                <w:i/>
                <w:iCs/>
                <w:color w:val="000000" w:themeColor="text1"/>
                <w:sz w:val="16"/>
                <w:szCs w:val="16"/>
              </w:rPr>
              <w:t>･</w:t>
            </w:r>
            <w:r w:rsidRPr="00F022C1">
              <w:rPr>
                <w:i/>
                <w:iCs/>
                <w:color w:val="000000" w:themeColor="text1"/>
                <w:sz w:val="16"/>
                <w:szCs w:val="16"/>
              </w:rPr>
              <w:t>kg</w:t>
            </w:r>
            <w:r w:rsidRPr="00F022C1">
              <w:rPr>
                <w:i/>
                <w:iCs/>
                <w:color w:val="000000" w:themeColor="text1"/>
                <w:sz w:val="16"/>
                <w:szCs w:val="16"/>
                <w:vertAlign w:val="superscript"/>
              </w:rPr>
              <w:t>-1</w:t>
            </w:r>
          </w:p>
        </w:tc>
        <w:tc>
          <w:tcPr>
            <w:tcW w:w="0" w:type="auto"/>
            <w:tcBorders>
              <w:top w:val="nil"/>
              <w:left w:val="nil"/>
              <w:bottom w:val="nil"/>
              <w:right w:val="nil"/>
            </w:tcBorders>
            <w:shd w:val="clear" w:color="000000" w:fill="D9D9D9"/>
            <w:noWrap/>
            <w:vAlign w:val="bottom"/>
            <w:hideMark/>
          </w:tcPr>
          <w:p w:rsidR="0041185B" w:rsidRPr="00F022C1" w:rsidRDefault="0041185B" w:rsidP="00CF7567">
            <w:pPr>
              <w:spacing w:line="240" w:lineRule="auto"/>
              <w:jc w:val="left"/>
              <w:rPr>
                <w:i/>
                <w:iCs/>
                <w:color w:val="000000" w:themeColor="text1"/>
                <w:sz w:val="16"/>
                <w:szCs w:val="16"/>
              </w:rPr>
            </w:pPr>
            <w:r w:rsidRPr="00F022C1">
              <w:rPr>
                <w:i/>
                <w:iCs/>
                <w:color w:val="000000" w:themeColor="text1"/>
                <w:sz w:val="16"/>
                <w:szCs w:val="16"/>
              </w:rPr>
              <w:t>€</w:t>
            </w:r>
            <w:r w:rsidRPr="00F022C1">
              <w:rPr>
                <w:rFonts w:ascii="MS Mincho" w:eastAsia="MS Mincho" w:hAnsi="MS Mincho" w:cs="MS Mincho"/>
                <w:i/>
                <w:iCs/>
                <w:color w:val="000000" w:themeColor="text1"/>
                <w:sz w:val="16"/>
                <w:szCs w:val="16"/>
              </w:rPr>
              <w:t>･</w:t>
            </w:r>
            <w:r w:rsidRPr="00F022C1">
              <w:rPr>
                <w:i/>
                <w:iCs/>
                <w:color w:val="000000" w:themeColor="text1"/>
                <w:sz w:val="16"/>
                <w:szCs w:val="16"/>
              </w:rPr>
              <w:t>kg</w:t>
            </w:r>
            <w:r w:rsidRPr="00F022C1">
              <w:rPr>
                <w:i/>
                <w:iCs/>
                <w:color w:val="000000" w:themeColor="text1"/>
                <w:sz w:val="16"/>
                <w:szCs w:val="16"/>
                <w:vertAlign w:val="superscript"/>
              </w:rPr>
              <w:t>-1</w:t>
            </w:r>
          </w:p>
        </w:tc>
        <w:tc>
          <w:tcPr>
            <w:tcW w:w="0" w:type="auto"/>
            <w:tcBorders>
              <w:top w:val="nil"/>
              <w:left w:val="nil"/>
              <w:bottom w:val="nil"/>
              <w:right w:val="nil"/>
            </w:tcBorders>
            <w:shd w:val="clear" w:color="000000" w:fill="D9D9D9"/>
            <w:noWrap/>
            <w:vAlign w:val="bottom"/>
            <w:hideMark/>
          </w:tcPr>
          <w:p w:rsidR="0041185B" w:rsidRPr="00F022C1" w:rsidRDefault="0041185B" w:rsidP="00CF7567">
            <w:pPr>
              <w:spacing w:line="240" w:lineRule="auto"/>
              <w:jc w:val="left"/>
              <w:rPr>
                <w:i/>
                <w:iCs/>
                <w:color w:val="000000" w:themeColor="text1"/>
                <w:sz w:val="16"/>
                <w:szCs w:val="16"/>
              </w:rPr>
            </w:pPr>
            <w:r w:rsidRPr="00F022C1">
              <w:rPr>
                <w:i/>
                <w:iCs/>
                <w:color w:val="000000" w:themeColor="text1"/>
                <w:sz w:val="16"/>
                <w:szCs w:val="16"/>
              </w:rPr>
              <w:t>€</w:t>
            </w:r>
            <w:r w:rsidRPr="00F022C1">
              <w:rPr>
                <w:rFonts w:ascii="MS Mincho" w:eastAsia="MS Mincho" w:hAnsi="MS Mincho" w:cs="MS Mincho"/>
                <w:i/>
                <w:iCs/>
                <w:color w:val="000000" w:themeColor="text1"/>
                <w:sz w:val="16"/>
                <w:szCs w:val="16"/>
              </w:rPr>
              <w:t>･</w:t>
            </w:r>
            <w:r w:rsidRPr="00F022C1">
              <w:rPr>
                <w:i/>
                <w:iCs/>
                <w:color w:val="000000" w:themeColor="text1"/>
                <w:sz w:val="16"/>
                <w:szCs w:val="16"/>
              </w:rPr>
              <w:t>kg</w:t>
            </w:r>
            <w:r w:rsidRPr="00F022C1">
              <w:rPr>
                <w:i/>
                <w:iCs/>
                <w:color w:val="000000" w:themeColor="text1"/>
                <w:sz w:val="16"/>
                <w:szCs w:val="16"/>
                <w:vertAlign w:val="superscript"/>
              </w:rPr>
              <w:t>-1</w:t>
            </w:r>
          </w:p>
        </w:tc>
        <w:tc>
          <w:tcPr>
            <w:tcW w:w="0" w:type="auto"/>
            <w:tcBorders>
              <w:top w:val="nil"/>
              <w:left w:val="nil"/>
              <w:bottom w:val="nil"/>
              <w:right w:val="nil"/>
            </w:tcBorders>
            <w:shd w:val="clear" w:color="000000" w:fill="D9D9D9"/>
            <w:noWrap/>
            <w:vAlign w:val="bottom"/>
            <w:hideMark/>
          </w:tcPr>
          <w:p w:rsidR="0041185B" w:rsidRPr="00F022C1" w:rsidRDefault="0041185B" w:rsidP="00CF7567">
            <w:pPr>
              <w:spacing w:line="240" w:lineRule="auto"/>
              <w:jc w:val="left"/>
              <w:rPr>
                <w:i/>
                <w:iCs/>
                <w:color w:val="000000" w:themeColor="text1"/>
                <w:sz w:val="16"/>
                <w:szCs w:val="16"/>
              </w:rPr>
            </w:pPr>
            <w:r w:rsidRPr="00F022C1">
              <w:rPr>
                <w:i/>
                <w:iCs/>
                <w:color w:val="000000" w:themeColor="text1"/>
                <w:sz w:val="16"/>
                <w:szCs w:val="16"/>
              </w:rPr>
              <w:t>M€</w:t>
            </w:r>
          </w:p>
        </w:tc>
        <w:tc>
          <w:tcPr>
            <w:tcW w:w="0" w:type="auto"/>
            <w:tcBorders>
              <w:top w:val="nil"/>
              <w:left w:val="nil"/>
              <w:bottom w:val="nil"/>
              <w:right w:val="nil"/>
            </w:tcBorders>
            <w:shd w:val="clear" w:color="000000" w:fill="D9D9D9"/>
            <w:noWrap/>
            <w:vAlign w:val="bottom"/>
            <w:hideMark/>
          </w:tcPr>
          <w:p w:rsidR="0041185B" w:rsidRPr="00F022C1" w:rsidRDefault="0041185B" w:rsidP="00CF7567">
            <w:pPr>
              <w:spacing w:line="240" w:lineRule="auto"/>
              <w:jc w:val="left"/>
              <w:rPr>
                <w:i/>
                <w:iCs/>
                <w:color w:val="000000" w:themeColor="text1"/>
                <w:sz w:val="16"/>
                <w:szCs w:val="16"/>
              </w:rPr>
            </w:pPr>
            <w:r w:rsidRPr="00F022C1">
              <w:rPr>
                <w:i/>
                <w:iCs/>
                <w:color w:val="000000" w:themeColor="text1"/>
                <w:sz w:val="16"/>
                <w:szCs w:val="16"/>
              </w:rPr>
              <w:t>€</w:t>
            </w:r>
            <w:r w:rsidRPr="00F022C1">
              <w:rPr>
                <w:rFonts w:ascii="MS Mincho" w:eastAsia="MS Mincho" w:hAnsi="MS Mincho" w:cs="MS Mincho"/>
                <w:i/>
                <w:iCs/>
                <w:color w:val="000000" w:themeColor="text1"/>
                <w:sz w:val="16"/>
                <w:szCs w:val="16"/>
              </w:rPr>
              <w:t>･</w:t>
            </w:r>
            <w:r w:rsidRPr="00F022C1">
              <w:rPr>
                <w:i/>
                <w:iCs/>
                <w:color w:val="000000" w:themeColor="text1"/>
                <w:sz w:val="16"/>
                <w:szCs w:val="16"/>
              </w:rPr>
              <w:t>kg</w:t>
            </w:r>
            <w:r w:rsidRPr="00F022C1">
              <w:rPr>
                <w:i/>
                <w:iCs/>
                <w:color w:val="000000" w:themeColor="text1"/>
                <w:sz w:val="16"/>
                <w:szCs w:val="16"/>
                <w:vertAlign w:val="superscript"/>
              </w:rPr>
              <w:t>-1</w:t>
            </w:r>
          </w:p>
        </w:tc>
        <w:tc>
          <w:tcPr>
            <w:tcW w:w="0" w:type="auto"/>
            <w:tcBorders>
              <w:top w:val="nil"/>
              <w:left w:val="nil"/>
              <w:bottom w:val="nil"/>
              <w:right w:val="nil"/>
            </w:tcBorders>
            <w:shd w:val="clear" w:color="000000" w:fill="D9D9D9"/>
            <w:noWrap/>
            <w:vAlign w:val="bottom"/>
            <w:hideMark/>
          </w:tcPr>
          <w:p w:rsidR="0041185B" w:rsidRPr="00F022C1" w:rsidRDefault="0041185B" w:rsidP="00CF7567">
            <w:pPr>
              <w:spacing w:line="240" w:lineRule="auto"/>
              <w:jc w:val="left"/>
              <w:rPr>
                <w:i/>
                <w:iCs/>
                <w:color w:val="000000" w:themeColor="text1"/>
                <w:sz w:val="16"/>
                <w:szCs w:val="16"/>
              </w:rPr>
            </w:pPr>
            <w:r w:rsidRPr="00F022C1">
              <w:rPr>
                <w:i/>
                <w:iCs/>
                <w:color w:val="000000" w:themeColor="text1"/>
                <w:sz w:val="16"/>
                <w:szCs w:val="16"/>
              </w:rPr>
              <w:t>€</w:t>
            </w:r>
            <w:r w:rsidRPr="00F022C1">
              <w:rPr>
                <w:rFonts w:ascii="MS Mincho" w:eastAsia="MS Mincho" w:hAnsi="MS Mincho" w:cs="MS Mincho"/>
                <w:i/>
                <w:iCs/>
                <w:color w:val="000000" w:themeColor="text1"/>
                <w:sz w:val="16"/>
                <w:szCs w:val="16"/>
              </w:rPr>
              <w:t>･</w:t>
            </w:r>
            <w:r w:rsidRPr="00F022C1">
              <w:rPr>
                <w:i/>
                <w:iCs/>
                <w:color w:val="000000" w:themeColor="text1"/>
                <w:sz w:val="16"/>
                <w:szCs w:val="16"/>
              </w:rPr>
              <w:t>kg</w:t>
            </w:r>
            <w:r w:rsidRPr="00F022C1">
              <w:rPr>
                <w:i/>
                <w:iCs/>
                <w:color w:val="000000" w:themeColor="text1"/>
                <w:sz w:val="16"/>
                <w:szCs w:val="16"/>
                <w:vertAlign w:val="superscript"/>
              </w:rPr>
              <w:t>-1</w:t>
            </w:r>
          </w:p>
        </w:tc>
        <w:tc>
          <w:tcPr>
            <w:tcW w:w="0" w:type="auto"/>
            <w:tcBorders>
              <w:top w:val="nil"/>
              <w:left w:val="nil"/>
              <w:bottom w:val="nil"/>
              <w:right w:val="nil"/>
            </w:tcBorders>
            <w:shd w:val="clear" w:color="000000" w:fill="D9D9D9"/>
            <w:noWrap/>
            <w:vAlign w:val="bottom"/>
            <w:hideMark/>
          </w:tcPr>
          <w:p w:rsidR="0041185B" w:rsidRPr="00F022C1" w:rsidRDefault="0041185B" w:rsidP="00CF7567">
            <w:pPr>
              <w:spacing w:line="240" w:lineRule="auto"/>
              <w:jc w:val="left"/>
              <w:rPr>
                <w:i/>
                <w:iCs/>
                <w:color w:val="000000" w:themeColor="text1"/>
                <w:sz w:val="16"/>
                <w:szCs w:val="16"/>
              </w:rPr>
            </w:pPr>
            <w:r w:rsidRPr="00F022C1">
              <w:rPr>
                <w:i/>
                <w:iCs/>
                <w:color w:val="000000" w:themeColor="text1"/>
                <w:sz w:val="16"/>
                <w:szCs w:val="16"/>
              </w:rPr>
              <w:t>€</w:t>
            </w:r>
            <w:r w:rsidRPr="00F022C1">
              <w:rPr>
                <w:rFonts w:ascii="MS Mincho" w:eastAsia="MS Mincho" w:hAnsi="MS Mincho" w:cs="MS Mincho"/>
                <w:i/>
                <w:iCs/>
                <w:color w:val="000000" w:themeColor="text1"/>
                <w:sz w:val="16"/>
                <w:szCs w:val="16"/>
              </w:rPr>
              <w:t>･</w:t>
            </w:r>
            <w:r w:rsidRPr="00F022C1">
              <w:rPr>
                <w:i/>
                <w:iCs/>
                <w:color w:val="000000" w:themeColor="text1"/>
                <w:sz w:val="16"/>
                <w:szCs w:val="16"/>
              </w:rPr>
              <w:t>kg</w:t>
            </w:r>
            <w:r w:rsidRPr="00F022C1">
              <w:rPr>
                <w:i/>
                <w:iCs/>
                <w:color w:val="000000" w:themeColor="text1"/>
                <w:sz w:val="16"/>
                <w:szCs w:val="16"/>
                <w:vertAlign w:val="superscript"/>
              </w:rPr>
              <w:t>-1</w:t>
            </w:r>
          </w:p>
        </w:tc>
        <w:tc>
          <w:tcPr>
            <w:tcW w:w="0" w:type="auto"/>
            <w:tcBorders>
              <w:top w:val="nil"/>
              <w:left w:val="nil"/>
              <w:bottom w:val="nil"/>
              <w:right w:val="nil"/>
            </w:tcBorders>
            <w:shd w:val="clear" w:color="000000" w:fill="D9D9D9"/>
            <w:noWrap/>
            <w:vAlign w:val="bottom"/>
            <w:hideMark/>
          </w:tcPr>
          <w:p w:rsidR="0041185B" w:rsidRPr="00F022C1" w:rsidRDefault="0041185B" w:rsidP="00CF7567">
            <w:pPr>
              <w:spacing w:line="240" w:lineRule="auto"/>
              <w:jc w:val="left"/>
              <w:rPr>
                <w:i/>
                <w:iCs/>
                <w:color w:val="000000" w:themeColor="text1"/>
                <w:sz w:val="16"/>
                <w:szCs w:val="16"/>
              </w:rPr>
            </w:pPr>
            <w:r w:rsidRPr="00F022C1">
              <w:rPr>
                <w:i/>
                <w:iCs/>
                <w:color w:val="000000" w:themeColor="text1"/>
                <w:sz w:val="16"/>
                <w:szCs w:val="16"/>
              </w:rPr>
              <w:t>€</w:t>
            </w:r>
            <w:r w:rsidRPr="00F022C1">
              <w:rPr>
                <w:rFonts w:ascii="MS Mincho" w:eastAsia="MS Mincho" w:hAnsi="MS Mincho" w:cs="MS Mincho"/>
                <w:i/>
                <w:iCs/>
                <w:color w:val="000000" w:themeColor="text1"/>
                <w:sz w:val="16"/>
                <w:szCs w:val="16"/>
              </w:rPr>
              <w:t>･</w:t>
            </w:r>
            <w:r w:rsidRPr="00F022C1">
              <w:rPr>
                <w:i/>
                <w:iCs/>
                <w:color w:val="000000" w:themeColor="text1"/>
                <w:sz w:val="16"/>
                <w:szCs w:val="16"/>
              </w:rPr>
              <w:t>kg</w:t>
            </w:r>
            <w:r w:rsidRPr="00F022C1">
              <w:rPr>
                <w:i/>
                <w:iCs/>
                <w:color w:val="000000" w:themeColor="text1"/>
                <w:sz w:val="16"/>
                <w:szCs w:val="16"/>
                <w:vertAlign w:val="superscript"/>
              </w:rPr>
              <w:t>-1</w:t>
            </w:r>
          </w:p>
        </w:tc>
        <w:tc>
          <w:tcPr>
            <w:tcW w:w="0" w:type="auto"/>
            <w:tcBorders>
              <w:top w:val="nil"/>
              <w:left w:val="nil"/>
              <w:bottom w:val="nil"/>
              <w:right w:val="nil"/>
            </w:tcBorders>
            <w:shd w:val="clear" w:color="000000" w:fill="D9D9D9"/>
            <w:noWrap/>
            <w:vAlign w:val="bottom"/>
            <w:hideMark/>
          </w:tcPr>
          <w:p w:rsidR="0041185B" w:rsidRPr="00F022C1" w:rsidRDefault="0041185B" w:rsidP="00CF7567">
            <w:pPr>
              <w:spacing w:line="240" w:lineRule="auto"/>
              <w:jc w:val="left"/>
              <w:rPr>
                <w:i/>
                <w:iCs/>
                <w:color w:val="000000" w:themeColor="text1"/>
                <w:sz w:val="16"/>
                <w:szCs w:val="16"/>
              </w:rPr>
            </w:pPr>
            <w:r w:rsidRPr="00F022C1">
              <w:rPr>
                <w:i/>
                <w:iCs/>
                <w:color w:val="000000" w:themeColor="text1"/>
                <w:sz w:val="16"/>
                <w:szCs w:val="16"/>
              </w:rPr>
              <w:t>€</w:t>
            </w:r>
            <w:r w:rsidRPr="00F022C1">
              <w:rPr>
                <w:rFonts w:ascii="MS Mincho" w:eastAsia="MS Mincho" w:hAnsi="MS Mincho" w:cs="MS Mincho"/>
                <w:i/>
                <w:iCs/>
                <w:color w:val="000000" w:themeColor="text1"/>
                <w:sz w:val="16"/>
                <w:szCs w:val="16"/>
              </w:rPr>
              <w:t>･</w:t>
            </w:r>
            <w:r w:rsidRPr="00F022C1">
              <w:rPr>
                <w:i/>
                <w:iCs/>
                <w:color w:val="000000" w:themeColor="text1"/>
                <w:sz w:val="16"/>
                <w:szCs w:val="16"/>
              </w:rPr>
              <w:t>kg</w:t>
            </w:r>
            <w:r w:rsidRPr="00F022C1">
              <w:rPr>
                <w:i/>
                <w:iCs/>
                <w:color w:val="000000" w:themeColor="text1"/>
                <w:sz w:val="16"/>
                <w:szCs w:val="16"/>
                <w:vertAlign w:val="superscript"/>
              </w:rPr>
              <w:t>-1</w:t>
            </w:r>
          </w:p>
        </w:tc>
        <w:tc>
          <w:tcPr>
            <w:tcW w:w="0" w:type="auto"/>
            <w:tcBorders>
              <w:top w:val="nil"/>
              <w:left w:val="nil"/>
              <w:bottom w:val="nil"/>
              <w:right w:val="nil"/>
            </w:tcBorders>
            <w:shd w:val="clear" w:color="000000" w:fill="D9D9D9"/>
            <w:noWrap/>
            <w:vAlign w:val="bottom"/>
            <w:hideMark/>
          </w:tcPr>
          <w:p w:rsidR="0041185B" w:rsidRPr="00F022C1" w:rsidRDefault="0041185B" w:rsidP="00CF7567">
            <w:pPr>
              <w:spacing w:line="240" w:lineRule="auto"/>
              <w:jc w:val="left"/>
              <w:rPr>
                <w:i/>
                <w:iCs/>
                <w:color w:val="000000" w:themeColor="text1"/>
                <w:sz w:val="16"/>
                <w:szCs w:val="16"/>
              </w:rPr>
            </w:pPr>
            <w:r w:rsidRPr="00F022C1">
              <w:rPr>
                <w:i/>
                <w:iCs/>
                <w:color w:val="000000" w:themeColor="text1"/>
                <w:sz w:val="16"/>
                <w:szCs w:val="16"/>
              </w:rPr>
              <w:t>€</w:t>
            </w:r>
            <w:r w:rsidRPr="00F022C1">
              <w:rPr>
                <w:rFonts w:ascii="MS Mincho" w:eastAsia="MS Mincho" w:hAnsi="MS Mincho" w:cs="MS Mincho"/>
                <w:i/>
                <w:iCs/>
                <w:color w:val="000000" w:themeColor="text1"/>
                <w:sz w:val="16"/>
                <w:szCs w:val="16"/>
              </w:rPr>
              <w:t>･</w:t>
            </w:r>
            <w:r w:rsidRPr="00F022C1">
              <w:rPr>
                <w:i/>
                <w:iCs/>
                <w:color w:val="000000" w:themeColor="text1"/>
                <w:sz w:val="16"/>
                <w:szCs w:val="16"/>
              </w:rPr>
              <w:t>kg</w:t>
            </w:r>
            <w:r w:rsidRPr="00F022C1">
              <w:rPr>
                <w:i/>
                <w:iCs/>
                <w:color w:val="000000" w:themeColor="text1"/>
                <w:sz w:val="16"/>
                <w:szCs w:val="16"/>
                <w:vertAlign w:val="superscript"/>
              </w:rPr>
              <w:t>-1</w:t>
            </w:r>
          </w:p>
        </w:tc>
        <w:tc>
          <w:tcPr>
            <w:tcW w:w="0" w:type="auto"/>
            <w:tcBorders>
              <w:top w:val="nil"/>
              <w:left w:val="nil"/>
              <w:bottom w:val="nil"/>
              <w:right w:val="nil"/>
            </w:tcBorders>
            <w:shd w:val="clear" w:color="000000" w:fill="D9D9D9"/>
            <w:noWrap/>
            <w:vAlign w:val="bottom"/>
            <w:hideMark/>
          </w:tcPr>
          <w:p w:rsidR="0041185B" w:rsidRPr="00F022C1" w:rsidRDefault="0041185B" w:rsidP="00CF7567">
            <w:pPr>
              <w:spacing w:line="240" w:lineRule="auto"/>
              <w:jc w:val="left"/>
              <w:rPr>
                <w:i/>
                <w:iCs/>
                <w:color w:val="000000" w:themeColor="text1"/>
                <w:sz w:val="16"/>
                <w:szCs w:val="16"/>
              </w:rPr>
            </w:pPr>
            <w:r w:rsidRPr="00F022C1">
              <w:rPr>
                <w:i/>
                <w:iCs/>
                <w:color w:val="000000" w:themeColor="text1"/>
                <w:sz w:val="16"/>
                <w:szCs w:val="16"/>
              </w:rPr>
              <w:t>€</w:t>
            </w:r>
            <w:r w:rsidRPr="00F022C1">
              <w:rPr>
                <w:rFonts w:ascii="MS Mincho" w:eastAsia="MS Mincho" w:hAnsi="MS Mincho" w:cs="MS Mincho"/>
                <w:i/>
                <w:iCs/>
                <w:color w:val="000000" w:themeColor="text1"/>
                <w:sz w:val="16"/>
                <w:szCs w:val="16"/>
              </w:rPr>
              <w:t>･</w:t>
            </w:r>
            <w:r w:rsidRPr="00F022C1">
              <w:rPr>
                <w:i/>
                <w:iCs/>
                <w:color w:val="000000" w:themeColor="text1"/>
                <w:sz w:val="16"/>
                <w:szCs w:val="16"/>
              </w:rPr>
              <w:t>kg</w:t>
            </w:r>
            <w:r w:rsidRPr="00F022C1">
              <w:rPr>
                <w:i/>
                <w:iCs/>
                <w:color w:val="000000" w:themeColor="text1"/>
                <w:sz w:val="16"/>
                <w:szCs w:val="16"/>
                <w:vertAlign w:val="superscript"/>
              </w:rPr>
              <w:t>-1</w:t>
            </w:r>
          </w:p>
        </w:tc>
        <w:tc>
          <w:tcPr>
            <w:tcW w:w="0" w:type="auto"/>
            <w:tcBorders>
              <w:top w:val="nil"/>
              <w:left w:val="nil"/>
              <w:bottom w:val="nil"/>
              <w:right w:val="nil"/>
            </w:tcBorders>
            <w:shd w:val="clear" w:color="000000" w:fill="D9D9D9"/>
            <w:noWrap/>
            <w:vAlign w:val="bottom"/>
            <w:hideMark/>
          </w:tcPr>
          <w:p w:rsidR="0041185B" w:rsidRPr="00F022C1" w:rsidRDefault="0041185B" w:rsidP="00CF7567">
            <w:pPr>
              <w:spacing w:line="240" w:lineRule="auto"/>
              <w:jc w:val="left"/>
              <w:rPr>
                <w:i/>
                <w:iCs/>
                <w:color w:val="000000" w:themeColor="text1"/>
                <w:sz w:val="16"/>
                <w:szCs w:val="16"/>
              </w:rPr>
            </w:pPr>
            <w:r w:rsidRPr="00F022C1">
              <w:rPr>
                <w:i/>
                <w:iCs/>
                <w:color w:val="000000" w:themeColor="text1"/>
                <w:sz w:val="16"/>
                <w:szCs w:val="16"/>
              </w:rPr>
              <w:t>€</w:t>
            </w:r>
            <w:r w:rsidRPr="00F022C1">
              <w:rPr>
                <w:rFonts w:ascii="MS Mincho" w:eastAsia="MS Mincho" w:hAnsi="MS Mincho" w:cs="MS Mincho"/>
                <w:i/>
                <w:iCs/>
                <w:color w:val="000000" w:themeColor="text1"/>
                <w:sz w:val="16"/>
                <w:szCs w:val="16"/>
              </w:rPr>
              <w:t>･</w:t>
            </w:r>
            <w:r w:rsidRPr="00F022C1">
              <w:rPr>
                <w:i/>
                <w:iCs/>
                <w:color w:val="000000" w:themeColor="text1"/>
                <w:sz w:val="16"/>
                <w:szCs w:val="16"/>
              </w:rPr>
              <w:t>kg</w:t>
            </w:r>
            <w:r w:rsidRPr="00F022C1">
              <w:rPr>
                <w:i/>
                <w:iCs/>
                <w:color w:val="000000" w:themeColor="text1"/>
                <w:sz w:val="16"/>
                <w:szCs w:val="16"/>
                <w:vertAlign w:val="superscript"/>
              </w:rPr>
              <w:t>-1</w:t>
            </w:r>
          </w:p>
        </w:tc>
      </w:tr>
      <w:tr w:rsidR="00F022C1" w:rsidRPr="00F022C1" w:rsidTr="00CF7567">
        <w:trPr>
          <w:trHeight w:val="249"/>
        </w:trPr>
        <w:tc>
          <w:tcPr>
            <w:tcW w:w="0" w:type="auto"/>
            <w:vMerge w:val="restart"/>
            <w:tcBorders>
              <w:top w:val="single" w:sz="4" w:space="0" w:color="auto"/>
              <w:left w:val="nil"/>
              <w:bottom w:val="single" w:sz="4" w:space="0" w:color="000000"/>
              <w:right w:val="nil"/>
            </w:tcBorders>
            <w:shd w:val="clear" w:color="auto" w:fill="auto"/>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 xml:space="preserve">Raceway </w:t>
            </w:r>
            <w:r w:rsidRPr="00F022C1">
              <w:rPr>
                <w:b/>
                <w:bCs/>
                <w:color w:val="000000" w:themeColor="text1"/>
                <w:sz w:val="16"/>
                <w:szCs w:val="16"/>
              </w:rPr>
              <w:br/>
              <w:t>pond</w:t>
            </w:r>
          </w:p>
        </w:tc>
        <w:tc>
          <w:tcPr>
            <w:tcW w:w="0" w:type="auto"/>
            <w:tcBorders>
              <w:top w:val="single" w:sz="4" w:space="0" w:color="auto"/>
              <w:left w:val="nil"/>
              <w:bottom w:val="nil"/>
              <w:right w:val="nil"/>
            </w:tcBorders>
            <w:shd w:val="clear" w:color="auto" w:fill="auto"/>
            <w:noWrap/>
            <w:vAlign w:val="bottom"/>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1 ha</w:t>
            </w:r>
          </w:p>
        </w:tc>
        <w:tc>
          <w:tcPr>
            <w:tcW w:w="0" w:type="auto"/>
            <w:tcBorders>
              <w:top w:val="single" w:sz="4" w:space="0" w:color="auto"/>
              <w:left w:val="nil"/>
              <w:bottom w:val="nil"/>
              <w:right w:val="nil"/>
            </w:tcBorders>
            <w:vAlign w:val="center"/>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51</w:t>
            </w:r>
          </w:p>
        </w:tc>
        <w:tc>
          <w:tcPr>
            <w:tcW w:w="914" w:type="dxa"/>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14.7</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2.1</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12.6</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1.3</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0.5</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1.6</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0.4</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0.1</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0.1</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6.9</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0.8</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4.3</w:t>
            </w:r>
          </w:p>
        </w:tc>
      </w:tr>
      <w:tr w:rsidR="00F022C1" w:rsidRPr="00F022C1" w:rsidTr="00CF7567">
        <w:trPr>
          <w:trHeight w:val="249"/>
        </w:trPr>
        <w:tc>
          <w:tcPr>
            <w:tcW w:w="0" w:type="auto"/>
            <w:vMerge/>
            <w:tcBorders>
              <w:top w:val="single" w:sz="4" w:space="0" w:color="auto"/>
              <w:left w:val="nil"/>
              <w:bottom w:val="single" w:sz="4" w:space="0" w:color="000000"/>
              <w:right w:val="nil"/>
            </w:tcBorders>
            <w:vAlign w:val="center"/>
            <w:hideMark/>
          </w:tcPr>
          <w:p w:rsidR="0041185B" w:rsidRPr="00F022C1" w:rsidRDefault="0041185B" w:rsidP="00CF7567">
            <w:pPr>
              <w:spacing w:line="240" w:lineRule="auto"/>
              <w:jc w:val="left"/>
              <w:rPr>
                <w:b/>
                <w:bCs/>
                <w:color w:val="000000" w:themeColor="text1"/>
                <w:sz w:val="16"/>
                <w:szCs w:val="16"/>
              </w:rPr>
            </w:pPr>
          </w:p>
        </w:tc>
        <w:tc>
          <w:tcPr>
            <w:tcW w:w="0" w:type="auto"/>
            <w:tcBorders>
              <w:top w:val="nil"/>
              <w:left w:val="nil"/>
              <w:bottom w:val="nil"/>
              <w:right w:val="nil"/>
            </w:tcBorders>
            <w:shd w:val="clear" w:color="auto" w:fill="auto"/>
            <w:noWrap/>
            <w:vAlign w:val="bottom"/>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10 ha</w:t>
            </w:r>
          </w:p>
        </w:tc>
        <w:tc>
          <w:tcPr>
            <w:tcW w:w="0" w:type="auto"/>
            <w:tcBorders>
              <w:top w:val="nil"/>
              <w:left w:val="nil"/>
              <w:bottom w:val="nil"/>
              <w:right w:val="nil"/>
            </w:tcBorders>
            <w:vAlign w:val="center"/>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509</w:t>
            </w:r>
          </w:p>
        </w:tc>
        <w:tc>
          <w:tcPr>
            <w:tcW w:w="914" w:type="dxa"/>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4.9</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1.4</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3.5</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8.2</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0.3</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1.0</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0.4</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0.1</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0.1</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1.2</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0.8</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1.0</w:t>
            </w:r>
          </w:p>
        </w:tc>
      </w:tr>
      <w:tr w:rsidR="00F022C1" w:rsidRPr="00F022C1" w:rsidTr="00CF7567">
        <w:trPr>
          <w:trHeight w:val="249"/>
        </w:trPr>
        <w:tc>
          <w:tcPr>
            <w:tcW w:w="0" w:type="auto"/>
            <w:vMerge/>
            <w:tcBorders>
              <w:top w:val="single" w:sz="4" w:space="0" w:color="auto"/>
              <w:left w:val="nil"/>
              <w:bottom w:val="single" w:sz="4" w:space="0" w:color="000000"/>
              <w:right w:val="nil"/>
            </w:tcBorders>
            <w:vAlign w:val="center"/>
            <w:hideMark/>
          </w:tcPr>
          <w:p w:rsidR="0041185B" w:rsidRPr="00F022C1" w:rsidRDefault="0041185B" w:rsidP="00CF7567">
            <w:pPr>
              <w:spacing w:line="240" w:lineRule="auto"/>
              <w:jc w:val="left"/>
              <w:rPr>
                <w:b/>
                <w:bCs/>
                <w:color w:val="000000" w:themeColor="text1"/>
                <w:sz w:val="16"/>
                <w:szCs w:val="16"/>
              </w:rPr>
            </w:pPr>
          </w:p>
        </w:tc>
        <w:tc>
          <w:tcPr>
            <w:tcW w:w="0" w:type="auto"/>
            <w:tcBorders>
              <w:top w:val="nil"/>
              <w:left w:val="nil"/>
              <w:bottom w:val="single" w:sz="4" w:space="0" w:color="auto"/>
              <w:right w:val="nil"/>
            </w:tcBorders>
            <w:shd w:val="clear" w:color="auto" w:fill="auto"/>
            <w:noWrap/>
            <w:vAlign w:val="bottom"/>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100 ha</w:t>
            </w:r>
          </w:p>
        </w:tc>
        <w:tc>
          <w:tcPr>
            <w:tcW w:w="0" w:type="auto"/>
            <w:tcBorders>
              <w:top w:val="nil"/>
              <w:left w:val="nil"/>
              <w:bottom w:val="single" w:sz="4" w:space="0" w:color="auto"/>
              <w:right w:val="nil"/>
            </w:tcBorders>
            <w:vAlign w:val="center"/>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5091</w:t>
            </w:r>
          </w:p>
        </w:tc>
        <w:tc>
          <w:tcPr>
            <w:tcW w:w="914" w:type="dxa"/>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2.9</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1.0</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1.9</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61.7</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0.2</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0.8</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0.4</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0.1</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0.0</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0.2</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0.8</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0.4</w:t>
            </w:r>
          </w:p>
        </w:tc>
      </w:tr>
      <w:tr w:rsidR="00F022C1" w:rsidRPr="00F022C1" w:rsidTr="00CF7567">
        <w:trPr>
          <w:trHeight w:val="249"/>
        </w:trPr>
        <w:tc>
          <w:tcPr>
            <w:tcW w:w="0" w:type="auto"/>
            <w:vMerge w:val="restart"/>
            <w:tcBorders>
              <w:top w:val="nil"/>
              <w:left w:val="nil"/>
              <w:bottom w:val="nil"/>
              <w:right w:val="nil"/>
            </w:tcBorders>
            <w:shd w:val="clear" w:color="auto" w:fill="auto"/>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 xml:space="preserve">Horizontal tubular </w:t>
            </w:r>
          </w:p>
        </w:tc>
        <w:tc>
          <w:tcPr>
            <w:tcW w:w="0" w:type="auto"/>
            <w:tcBorders>
              <w:top w:val="nil"/>
              <w:left w:val="nil"/>
              <w:bottom w:val="nil"/>
              <w:right w:val="nil"/>
            </w:tcBorders>
            <w:shd w:val="clear" w:color="auto" w:fill="auto"/>
            <w:noWrap/>
            <w:vAlign w:val="bottom"/>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1 ha</w:t>
            </w:r>
          </w:p>
        </w:tc>
        <w:tc>
          <w:tcPr>
            <w:tcW w:w="0" w:type="auto"/>
            <w:tcBorders>
              <w:top w:val="nil"/>
              <w:left w:val="nil"/>
              <w:bottom w:val="nil"/>
              <w:right w:val="nil"/>
            </w:tcBorders>
            <w:vAlign w:val="center"/>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40</w:t>
            </w:r>
          </w:p>
        </w:tc>
        <w:tc>
          <w:tcPr>
            <w:tcW w:w="914" w:type="dxa"/>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21.4</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5.1</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16.2</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2.6</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0.9</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4.3</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0.8</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0.5</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0.2</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8.8</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0.2</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5.7</w:t>
            </w:r>
          </w:p>
        </w:tc>
      </w:tr>
      <w:tr w:rsidR="00F022C1" w:rsidRPr="00F022C1" w:rsidTr="00CF7567">
        <w:trPr>
          <w:trHeight w:val="249"/>
        </w:trPr>
        <w:tc>
          <w:tcPr>
            <w:tcW w:w="0" w:type="auto"/>
            <w:vMerge/>
            <w:tcBorders>
              <w:top w:val="nil"/>
              <w:left w:val="nil"/>
              <w:bottom w:val="nil"/>
              <w:right w:val="nil"/>
            </w:tcBorders>
            <w:vAlign w:val="center"/>
            <w:hideMark/>
          </w:tcPr>
          <w:p w:rsidR="0041185B" w:rsidRPr="00F022C1" w:rsidRDefault="0041185B" w:rsidP="00CF7567">
            <w:pPr>
              <w:spacing w:line="240" w:lineRule="auto"/>
              <w:jc w:val="left"/>
              <w:rPr>
                <w:b/>
                <w:bCs/>
                <w:color w:val="000000" w:themeColor="text1"/>
                <w:sz w:val="16"/>
                <w:szCs w:val="16"/>
              </w:rPr>
            </w:pPr>
          </w:p>
        </w:tc>
        <w:tc>
          <w:tcPr>
            <w:tcW w:w="0" w:type="auto"/>
            <w:tcBorders>
              <w:top w:val="nil"/>
              <w:left w:val="nil"/>
              <w:bottom w:val="nil"/>
              <w:right w:val="nil"/>
            </w:tcBorders>
            <w:shd w:val="clear" w:color="auto" w:fill="auto"/>
            <w:noWrap/>
            <w:vAlign w:val="bottom"/>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10 ha</w:t>
            </w:r>
          </w:p>
        </w:tc>
        <w:tc>
          <w:tcPr>
            <w:tcW w:w="0" w:type="auto"/>
            <w:tcBorders>
              <w:top w:val="nil"/>
              <w:left w:val="nil"/>
              <w:bottom w:val="nil"/>
              <w:right w:val="nil"/>
            </w:tcBorders>
            <w:vAlign w:val="center"/>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398</w:t>
            </w:r>
          </w:p>
        </w:tc>
        <w:tc>
          <w:tcPr>
            <w:tcW w:w="914" w:type="dxa"/>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7.5</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3.0</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4.5</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15.4</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0.5</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2.5</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0.8</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0.5</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0.2</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1.5</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0.2</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1.4</w:t>
            </w:r>
          </w:p>
        </w:tc>
      </w:tr>
      <w:tr w:rsidR="00F022C1" w:rsidRPr="00F022C1" w:rsidTr="00CF7567">
        <w:trPr>
          <w:trHeight w:val="249"/>
        </w:trPr>
        <w:tc>
          <w:tcPr>
            <w:tcW w:w="0" w:type="auto"/>
            <w:vMerge/>
            <w:tcBorders>
              <w:top w:val="nil"/>
              <w:left w:val="nil"/>
              <w:bottom w:val="nil"/>
              <w:right w:val="nil"/>
            </w:tcBorders>
            <w:vAlign w:val="center"/>
            <w:hideMark/>
          </w:tcPr>
          <w:p w:rsidR="0041185B" w:rsidRPr="00F022C1" w:rsidRDefault="0041185B" w:rsidP="00CF7567">
            <w:pPr>
              <w:spacing w:line="240" w:lineRule="auto"/>
              <w:jc w:val="left"/>
              <w:rPr>
                <w:b/>
                <w:bCs/>
                <w:color w:val="000000" w:themeColor="text1"/>
                <w:sz w:val="16"/>
                <w:szCs w:val="16"/>
              </w:rPr>
            </w:pPr>
          </w:p>
        </w:tc>
        <w:tc>
          <w:tcPr>
            <w:tcW w:w="0" w:type="auto"/>
            <w:tcBorders>
              <w:top w:val="nil"/>
              <w:left w:val="nil"/>
              <w:bottom w:val="nil"/>
              <w:right w:val="nil"/>
            </w:tcBorders>
            <w:shd w:val="clear" w:color="auto" w:fill="auto"/>
            <w:noWrap/>
            <w:vAlign w:val="bottom"/>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100 ha</w:t>
            </w:r>
          </w:p>
        </w:tc>
        <w:tc>
          <w:tcPr>
            <w:tcW w:w="0" w:type="auto"/>
            <w:tcBorders>
              <w:top w:val="nil"/>
              <w:left w:val="nil"/>
              <w:bottom w:val="nil"/>
              <w:right w:val="nil"/>
            </w:tcBorders>
            <w:vAlign w:val="center"/>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3977</w:t>
            </w:r>
          </w:p>
        </w:tc>
        <w:tc>
          <w:tcPr>
            <w:tcW w:w="914" w:type="dxa"/>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4.7</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2.3</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2.4</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116.8</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0.4</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1.9</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0.8</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0.5</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0.1</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0.2</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0.2</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0.6</w:t>
            </w:r>
          </w:p>
        </w:tc>
      </w:tr>
      <w:tr w:rsidR="00F022C1" w:rsidRPr="00F022C1" w:rsidTr="00CF7567">
        <w:trPr>
          <w:trHeight w:val="249"/>
        </w:trPr>
        <w:tc>
          <w:tcPr>
            <w:tcW w:w="0" w:type="auto"/>
            <w:vMerge w:val="restart"/>
            <w:tcBorders>
              <w:top w:val="single" w:sz="4" w:space="0" w:color="auto"/>
              <w:left w:val="nil"/>
              <w:bottom w:val="single" w:sz="4" w:space="0" w:color="000000"/>
              <w:right w:val="nil"/>
            </w:tcBorders>
            <w:shd w:val="clear" w:color="auto" w:fill="auto"/>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 xml:space="preserve">Flat </w:t>
            </w:r>
            <w:r w:rsidRPr="00F022C1">
              <w:rPr>
                <w:b/>
                <w:bCs/>
                <w:color w:val="000000" w:themeColor="text1"/>
                <w:sz w:val="16"/>
                <w:szCs w:val="16"/>
              </w:rPr>
              <w:br/>
              <w:t>panel</w:t>
            </w:r>
          </w:p>
        </w:tc>
        <w:tc>
          <w:tcPr>
            <w:tcW w:w="0" w:type="auto"/>
            <w:tcBorders>
              <w:top w:val="single" w:sz="4" w:space="0" w:color="auto"/>
              <w:left w:val="nil"/>
              <w:bottom w:val="nil"/>
              <w:right w:val="nil"/>
            </w:tcBorders>
            <w:shd w:val="clear" w:color="auto" w:fill="auto"/>
            <w:noWrap/>
            <w:vAlign w:val="bottom"/>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1 ha</w:t>
            </w:r>
          </w:p>
        </w:tc>
        <w:tc>
          <w:tcPr>
            <w:tcW w:w="0" w:type="auto"/>
            <w:tcBorders>
              <w:top w:val="single" w:sz="4" w:space="0" w:color="auto"/>
              <w:left w:val="nil"/>
              <w:bottom w:val="nil"/>
              <w:right w:val="nil"/>
            </w:tcBorders>
            <w:vAlign w:val="center"/>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72</w:t>
            </w:r>
          </w:p>
        </w:tc>
        <w:tc>
          <w:tcPr>
            <w:tcW w:w="914" w:type="dxa"/>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12.1</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2.8</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9.3</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2.6</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0.5</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2.3</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0.7</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0.1</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0.2</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4.9</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0.2</w:t>
            </w:r>
          </w:p>
        </w:tc>
        <w:tc>
          <w:tcPr>
            <w:tcW w:w="0" w:type="auto"/>
            <w:tcBorders>
              <w:top w:val="single" w:sz="4" w:space="0" w:color="auto"/>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3.2</w:t>
            </w:r>
          </w:p>
        </w:tc>
      </w:tr>
      <w:tr w:rsidR="00F022C1" w:rsidRPr="00F022C1" w:rsidTr="00CF7567">
        <w:trPr>
          <w:trHeight w:val="249"/>
        </w:trPr>
        <w:tc>
          <w:tcPr>
            <w:tcW w:w="0" w:type="auto"/>
            <w:vMerge/>
            <w:tcBorders>
              <w:top w:val="single" w:sz="4" w:space="0" w:color="auto"/>
              <w:left w:val="nil"/>
              <w:bottom w:val="single" w:sz="4" w:space="0" w:color="000000"/>
              <w:right w:val="nil"/>
            </w:tcBorders>
            <w:vAlign w:val="center"/>
            <w:hideMark/>
          </w:tcPr>
          <w:p w:rsidR="0041185B" w:rsidRPr="00F022C1" w:rsidRDefault="0041185B" w:rsidP="00CF7567">
            <w:pPr>
              <w:spacing w:line="240" w:lineRule="auto"/>
              <w:jc w:val="left"/>
              <w:rPr>
                <w:b/>
                <w:bCs/>
                <w:color w:val="000000" w:themeColor="text1"/>
                <w:sz w:val="16"/>
                <w:szCs w:val="16"/>
              </w:rPr>
            </w:pPr>
          </w:p>
        </w:tc>
        <w:tc>
          <w:tcPr>
            <w:tcW w:w="0" w:type="auto"/>
            <w:tcBorders>
              <w:top w:val="nil"/>
              <w:left w:val="nil"/>
              <w:bottom w:val="nil"/>
              <w:right w:val="nil"/>
            </w:tcBorders>
            <w:shd w:val="clear" w:color="auto" w:fill="auto"/>
            <w:noWrap/>
            <w:vAlign w:val="bottom"/>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10 ha</w:t>
            </w:r>
          </w:p>
        </w:tc>
        <w:tc>
          <w:tcPr>
            <w:tcW w:w="0" w:type="auto"/>
            <w:tcBorders>
              <w:top w:val="nil"/>
              <w:left w:val="nil"/>
              <w:bottom w:val="nil"/>
              <w:right w:val="nil"/>
            </w:tcBorders>
            <w:vAlign w:val="center"/>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716</w:t>
            </w:r>
          </w:p>
        </w:tc>
        <w:tc>
          <w:tcPr>
            <w:tcW w:w="914" w:type="dxa"/>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4.6</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1.8</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2.8</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16.5</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0.3</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1.5</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0.7</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0.1</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0.2</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0.8</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0.2</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0.8</w:t>
            </w:r>
          </w:p>
        </w:tc>
      </w:tr>
      <w:tr w:rsidR="00F022C1" w:rsidRPr="00F022C1" w:rsidTr="00CF7567">
        <w:trPr>
          <w:trHeight w:val="249"/>
        </w:trPr>
        <w:tc>
          <w:tcPr>
            <w:tcW w:w="0" w:type="auto"/>
            <w:vMerge/>
            <w:tcBorders>
              <w:top w:val="single" w:sz="4" w:space="0" w:color="auto"/>
              <w:left w:val="nil"/>
              <w:bottom w:val="single" w:sz="4" w:space="0" w:color="000000"/>
              <w:right w:val="nil"/>
            </w:tcBorders>
            <w:vAlign w:val="center"/>
            <w:hideMark/>
          </w:tcPr>
          <w:p w:rsidR="0041185B" w:rsidRPr="00F022C1" w:rsidRDefault="0041185B" w:rsidP="00CF7567">
            <w:pPr>
              <w:spacing w:line="240" w:lineRule="auto"/>
              <w:jc w:val="left"/>
              <w:rPr>
                <w:b/>
                <w:bCs/>
                <w:color w:val="000000" w:themeColor="text1"/>
                <w:sz w:val="16"/>
                <w:szCs w:val="16"/>
              </w:rPr>
            </w:pPr>
          </w:p>
        </w:tc>
        <w:tc>
          <w:tcPr>
            <w:tcW w:w="0" w:type="auto"/>
            <w:tcBorders>
              <w:top w:val="nil"/>
              <w:left w:val="nil"/>
              <w:bottom w:val="single" w:sz="4" w:space="0" w:color="auto"/>
              <w:right w:val="nil"/>
            </w:tcBorders>
            <w:shd w:val="clear" w:color="auto" w:fill="auto"/>
            <w:noWrap/>
            <w:vAlign w:val="bottom"/>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100 ha</w:t>
            </w:r>
          </w:p>
        </w:tc>
        <w:tc>
          <w:tcPr>
            <w:tcW w:w="0" w:type="auto"/>
            <w:tcBorders>
              <w:top w:val="nil"/>
              <w:left w:val="nil"/>
              <w:bottom w:val="single" w:sz="4" w:space="0" w:color="auto"/>
              <w:right w:val="nil"/>
            </w:tcBorders>
            <w:vAlign w:val="center"/>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7159</w:t>
            </w:r>
          </w:p>
        </w:tc>
        <w:tc>
          <w:tcPr>
            <w:tcW w:w="914" w:type="dxa"/>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3.1</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1.5</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1.6</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136.4</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0.3</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1.2</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0.7</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0.1</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0.1</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0.1</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0.2</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0.4</w:t>
            </w:r>
          </w:p>
        </w:tc>
      </w:tr>
      <w:tr w:rsidR="00F022C1" w:rsidRPr="00F022C1" w:rsidTr="00CF7567">
        <w:trPr>
          <w:trHeight w:val="249"/>
        </w:trPr>
        <w:tc>
          <w:tcPr>
            <w:tcW w:w="0" w:type="auto"/>
            <w:vMerge w:val="restart"/>
            <w:tcBorders>
              <w:top w:val="nil"/>
              <w:left w:val="nil"/>
              <w:bottom w:val="single" w:sz="4" w:space="0" w:color="000000"/>
              <w:right w:val="nil"/>
            </w:tcBorders>
            <w:shd w:val="clear" w:color="auto" w:fill="auto"/>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 xml:space="preserve">Vertical stacked tubular </w:t>
            </w:r>
          </w:p>
        </w:tc>
        <w:tc>
          <w:tcPr>
            <w:tcW w:w="0" w:type="auto"/>
            <w:tcBorders>
              <w:top w:val="nil"/>
              <w:left w:val="nil"/>
              <w:bottom w:val="nil"/>
              <w:right w:val="nil"/>
            </w:tcBorders>
            <w:shd w:val="clear" w:color="auto" w:fill="auto"/>
            <w:noWrap/>
            <w:vAlign w:val="bottom"/>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1 ha</w:t>
            </w:r>
          </w:p>
        </w:tc>
        <w:tc>
          <w:tcPr>
            <w:tcW w:w="0" w:type="auto"/>
            <w:tcBorders>
              <w:top w:val="nil"/>
              <w:left w:val="nil"/>
              <w:bottom w:val="nil"/>
              <w:right w:val="nil"/>
            </w:tcBorders>
            <w:vAlign w:val="center"/>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64</w:t>
            </w:r>
          </w:p>
        </w:tc>
        <w:tc>
          <w:tcPr>
            <w:tcW w:w="914" w:type="dxa"/>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15.4</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4.3</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11.1</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3.5</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0.7</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3.5</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0.9</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0.5</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0.2</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5.5</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0.3</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3.8</w:t>
            </w:r>
          </w:p>
        </w:tc>
      </w:tr>
      <w:tr w:rsidR="00F022C1" w:rsidRPr="00F022C1" w:rsidTr="00CF7567">
        <w:trPr>
          <w:trHeight w:val="249"/>
        </w:trPr>
        <w:tc>
          <w:tcPr>
            <w:tcW w:w="0" w:type="auto"/>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b/>
                <w:bCs/>
                <w:color w:val="000000" w:themeColor="text1"/>
                <w:sz w:val="16"/>
                <w:szCs w:val="16"/>
              </w:rPr>
            </w:pPr>
          </w:p>
        </w:tc>
        <w:tc>
          <w:tcPr>
            <w:tcW w:w="0" w:type="auto"/>
            <w:tcBorders>
              <w:top w:val="nil"/>
              <w:left w:val="nil"/>
              <w:bottom w:val="nil"/>
              <w:right w:val="nil"/>
            </w:tcBorders>
            <w:shd w:val="clear" w:color="auto" w:fill="auto"/>
            <w:noWrap/>
            <w:vAlign w:val="bottom"/>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10 ha</w:t>
            </w:r>
          </w:p>
        </w:tc>
        <w:tc>
          <w:tcPr>
            <w:tcW w:w="0" w:type="auto"/>
            <w:tcBorders>
              <w:top w:val="nil"/>
              <w:left w:val="nil"/>
              <w:bottom w:val="nil"/>
              <w:right w:val="nil"/>
            </w:tcBorders>
            <w:vAlign w:val="center"/>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636</w:t>
            </w:r>
          </w:p>
        </w:tc>
        <w:tc>
          <w:tcPr>
            <w:tcW w:w="914" w:type="dxa"/>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6.3</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2.5</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3.8</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20.7</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0.4</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2.1</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0.9</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0.5</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0.2</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0.9</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0.3</w:t>
            </w:r>
          </w:p>
        </w:tc>
        <w:tc>
          <w:tcPr>
            <w:tcW w:w="0" w:type="auto"/>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1.0</w:t>
            </w:r>
          </w:p>
        </w:tc>
      </w:tr>
      <w:tr w:rsidR="00F022C1" w:rsidRPr="00F022C1" w:rsidTr="00CF7567">
        <w:trPr>
          <w:trHeight w:val="249"/>
        </w:trPr>
        <w:tc>
          <w:tcPr>
            <w:tcW w:w="0" w:type="auto"/>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b/>
                <w:bCs/>
                <w:color w:val="000000" w:themeColor="text1"/>
                <w:sz w:val="16"/>
                <w:szCs w:val="16"/>
              </w:rPr>
            </w:pPr>
          </w:p>
        </w:tc>
        <w:tc>
          <w:tcPr>
            <w:tcW w:w="0" w:type="auto"/>
            <w:tcBorders>
              <w:top w:val="nil"/>
              <w:left w:val="nil"/>
              <w:bottom w:val="single" w:sz="4" w:space="0" w:color="auto"/>
              <w:right w:val="nil"/>
            </w:tcBorders>
            <w:shd w:val="clear" w:color="auto" w:fill="auto"/>
            <w:noWrap/>
            <w:vAlign w:val="bottom"/>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100 ha</w:t>
            </w:r>
          </w:p>
        </w:tc>
        <w:tc>
          <w:tcPr>
            <w:tcW w:w="0" w:type="auto"/>
            <w:tcBorders>
              <w:top w:val="nil"/>
              <w:left w:val="nil"/>
              <w:bottom w:val="single" w:sz="4" w:space="0" w:color="auto"/>
              <w:right w:val="nil"/>
            </w:tcBorders>
            <w:vAlign w:val="center"/>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6629</w:t>
            </w:r>
          </w:p>
        </w:tc>
        <w:tc>
          <w:tcPr>
            <w:tcW w:w="914" w:type="dxa"/>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4.3</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2.0</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2.3</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168.9</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0.3</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1.6</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0.9</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0.4</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0.1</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0.1</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0.2</w:t>
            </w:r>
          </w:p>
        </w:tc>
        <w:tc>
          <w:tcPr>
            <w:tcW w:w="0" w:type="auto"/>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0.5</w:t>
            </w:r>
          </w:p>
        </w:tc>
      </w:tr>
    </w:tbl>
    <w:p w:rsidR="0041185B" w:rsidRPr="00F022C1" w:rsidRDefault="0041185B" w:rsidP="0041185B">
      <w:pPr>
        <w:jc w:val="left"/>
        <w:rPr>
          <w:color w:val="000000" w:themeColor="text1"/>
        </w:rPr>
        <w:sectPr w:rsidR="0041185B" w:rsidRPr="00F022C1" w:rsidSect="006107E7">
          <w:pgSz w:w="16840" w:h="11900" w:orient="landscape"/>
          <w:pgMar w:top="1440" w:right="1440" w:bottom="1440" w:left="1440" w:header="708" w:footer="708" w:gutter="0"/>
          <w:cols w:space="708"/>
          <w:docGrid w:linePitch="360"/>
        </w:sectPr>
      </w:pPr>
    </w:p>
    <w:p w:rsidR="0041185B" w:rsidRPr="00F022C1" w:rsidRDefault="0041185B" w:rsidP="0041185B">
      <w:pPr>
        <w:pStyle w:val="Heading3"/>
      </w:pPr>
      <w:bookmarkStart w:id="3" w:name="_Ref52965978"/>
      <w:r w:rsidRPr="00F022C1">
        <w:lastRenderedPageBreak/>
        <w:t xml:space="preserve">Appendix </w:t>
      </w:r>
      <w:r w:rsidR="00B10DE4">
        <w:t>D</w:t>
      </w:r>
      <w:r w:rsidRPr="00F022C1">
        <w:t>: Biomass production cost reductions for different optimization strategies</w:t>
      </w:r>
    </w:p>
    <w:p w:rsidR="0041185B" w:rsidRPr="00F022C1" w:rsidRDefault="0041185B" w:rsidP="0041185B">
      <w:pPr>
        <w:pStyle w:val="Caption"/>
        <w:jc w:val="left"/>
        <w:rPr>
          <w:color w:val="000000" w:themeColor="text1"/>
        </w:rPr>
      </w:pPr>
      <w:r w:rsidRPr="00F022C1">
        <w:rPr>
          <w:color w:val="000000" w:themeColor="text1"/>
        </w:rPr>
        <w:t xml:space="preserve">Table </w:t>
      </w:r>
      <w:r w:rsidR="00B10DE4">
        <w:rPr>
          <w:color w:val="000000" w:themeColor="text1"/>
        </w:rPr>
        <w:t>D</w:t>
      </w:r>
      <w:r w:rsidRPr="00F022C1">
        <w:rPr>
          <w:color w:val="000000" w:themeColor="text1"/>
        </w:rPr>
        <w:t>.1</w:t>
      </w:r>
      <w:bookmarkEnd w:id="3"/>
      <w:r w:rsidRPr="00F022C1">
        <w:rPr>
          <w:color w:val="000000" w:themeColor="text1"/>
        </w:rPr>
        <w:t xml:space="preserve"> – </w:t>
      </w:r>
      <w:r w:rsidRPr="00F022C1">
        <w:rPr>
          <w:b w:val="0"/>
          <w:bCs w:val="0"/>
          <w:color w:val="000000" w:themeColor="text1"/>
        </w:rPr>
        <w:t>Biomass production cost reductions for the different optimization parameters compared to the base-case, assessed for each cultivation system at 100 ha scale in Qatar (Al Khor).</w:t>
      </w:r>
      <w:r w:rsidRPr="00F022C1">
        <w:rPr>
          <w:color w:val="000000" w:themeColor="text1"/>
        </w:rPr>
        <w:t xml:space="preserve"> </w:t>
      </w:r>
    </w:p>
    <w:tbl>
      <w:tblPr>
        <w:tblW w:w="5061" w:type="pct"/>
        <w:tblLook w:val="04A0" w:firstRow="1" w:lastRow="0" w:firstColumn="1" w:lastColumn="0" w:noHBand="0" w:noVBand="1"/>
      </w:tblPr>
      <w:tblGrid>
        <w:gridCol w:w="2179"/>
        <w:gridCol w:w="2178"/>
        <w:gridCol w:w="1145"/>
        <w:gridCol w:w="2200"/>
        <w:gridCol w:w="1428"/>
      </w:tblGrid>
      <w:tr w:rsidR="00F022C1" w:rsidRPr="00F022C1" w:rsidTr="00CF7567">
        <w:trPr>
          <w:trHeight w:val="319"/>
        </w:trPr>
        <w:tc>
          <w:tcPr>
            <w:tcW w:w="1193" w:type="pct"/>
            <w:tcBorders>
              <w:top w:val="single" w:sz="4" w:space="0" w:color="auto"/>
              <w:left w:val="nil"/>
              <w:bottom w:val="nil"/>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Reactor System</w:t>
            </w:r>
          </w:p>
        </w:tc>
        <w:tc>
          <w:tcPr>
            <w:tcW w:w="1193" w:type="pct"/>
            <w:tcBorders>
              <w:top w:val="single" w:sz="4" w:space="0" w:color="auto"/>
              <w:left w:val="nil"/>
              <w:bottom w:val="nil"/>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Parameter</w:t>
            </w:r>
          </w:p>
        </w:tc>
        <w:tc>
          <w:tcPr>
            <w:tcW w:w="627" w:type="pct"/>
            <w:tcBorders>
              <w:top w:val="single" w:sz="4" w:space="0" w:color="auto"/>
              <w:left w:val="nil"/>
              <w:bottom w:val="nil"/>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Reference Costs</w:t>
            </w:r>
          </w:p>
        </w:tc>
        <w:tc>
          <w:tcPr>
            <w:tcW w:w="1205" w:type="pct"/>
            <w:tcBorders>
              <w:top w:val="single" w:sz="4" w:space="0" w:color="auto"/>
              <w:left w:val="nil"/>
              <w:bottom w:val="nil"/>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Optimized Costs</w:t>
            </w:r>
          </w:p>
        </w:tc>
        <w:tc>
          <w:tcPr>
            <w:tcW w:w="782" w:type="pct"/>
            <w:tcBorders>
              <w:top w:val="single" w:sz="4" w:space="0" w:color="auto"/>
              <w:left w:val="nil"/>
              <w:bottom w:val="nil"/>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Cost Reduction)</w:t>
            </w:r>
          </w:p>
        </w:tc>
      </w:tr>
      <w:tr w:rsidR="00F022C1" w:rsidRPr="00F022C1" w:rsidTr="00CF7567">
        <w:trPr>
          <w:trHeight w:val="199"/>
        </w:trPr>
        <w:tc>
          <w:tcPr>
            <w:tcW w:w="1193" w:type="pct"/>
            <w:tcBorders>
              <w:top w:val="nil"/>
              <w:left w:val="nil"/>
              <w:bottom w:val="single" w:sz="4" w:space="0" w:color="auto"/>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 </w:t>
            </w:r>
          </w:p>
        </w:tc>
        <w:tc>
          <w:tcPr>
            <w:tcW w:w="1193" w:type="pct"/>
            <w:tcBorders>
              <w:top w:val="nil"/>
              <w:left w:val="nil"/>
              <w:bottom w:val="single" w:sz="4" w:space="0" w:color="auto"/>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 </w:t>
            </w:r>
          </w:p>
        </w:tc>
        <w:tc>
          <w:tcPr>
            <w:tcW w:w="627" w:type="pct"/>
            <w:tcBorders>
              <w:top w:val="nil"/>
              <w:left w:val="nil"/>
              <w:bottom w:val="single" w:sz="4" w:space="0" w:color="auto"/>
              <w:right w:val="nil"/>
            </w:tcBorders>
            <w:shd w:val="clear" w:color="000000" w:fill="D9D9D9"/>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w:t>
            </w:r>
            <w:r w:rsidRPr="00F022C1">
              <w:rPr>
                <w:rFonts w:ascii="MS Mincho" w:eastAsia="MS Mincho" w:hAnsi="MS Mincho" w:hint="eastAsia"/>
                <w:color w:val="000000" w:themeColor="text1"/>
                <w:sz w:val="16"/>
                <w:szCs w:val="16"/>
              </w:rPr>
              <w:t>･</w:t>
            </w:r>
            <w:r w:rsidRPr="00F022C1">
              <w:rPr>
                <w:color w:val="000000" w:themeColor="text1"/>
                <w:sz w:val="16"/>
                <w:szCs w:val="16"/>
              </w:rPr>
              <w:t>kg</w:t>
            </w:r>
            <w:r w:rsidRPr="00F022C1">
              <w:rPr>
                <w:color w:val="000000" w:themeColor="text1"/>
                <w:sz w:val="16"/>
                <w:szCs w:val="16"/>
                <w:vertAlign w:val="superscript"/>
              </w:rPr>
              <w:t>-1</w:t>
            </w:r>
          </w:p>
        </w:tc>
        <w:tc>
          <w:tcPr>
            <w:tcW w:w="1205" w:type="pct"/>
            <w:tcBorders>
              <w:top w:val="nil"/>
              <w:left w:val="nil"/>
              <w:bottom w:val="single" w:sz="4" w:space="0" w:color="auto"/>
              <w:right w:val="nil"/>
            </w:tcBorders>
            <w:shd w:val="clear" w:color="000000" w:fill="D9D9D9"/>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w:t>
            </w:r>
            <w:r w:rsidRPr="00F022C1">
              <w:rPr>
                <w:rFonts w:ascii="MS Mincho" w:eastAsia="MS Mincho" w:hAnsi="MS Mincho" w:hint="eastAsia"/>
                <w:color w:val="000000" w:themeColor="text1"/>
                <w:sz w:val="16"/>
                <w:szCs w:val="16"/>
              </w:rPr>
              <w:t>･</w:t>
            </w:r>
            <w:r w:rsidRPr="00F022C1">
              <w:rPr>
                <w:color w:val="000000" w:themeColor="text1"/>
                <w:sz w:val="16"/>
                <w:szCs w:val="16"/>
              </w:rPr>
              <w:t>kg</w:t>
            </w:r>
            <w:r w:rsidRPr="00F022C1">
              <w:rPr>
                <w:color w:val="000000" w:themeColor="text1"/>
                <w:sz w:val="16"/>
                <w:szCs w:val="16"/>
                <w:vertAlign w:val="superscript"/>
              </w:rPr>
              <w:t>-1</w:t>
            </w:r>
          </w:p>
        </w:tc>
        <w:tc>
          <w:tcPr>
            <w:tcW w:w="782" w:type="pct"/>
            <w:tcBorders>
              <w:top w:val="nil"/>
              <w:left w:val="nil"/>
              <w:bottom w:val="single" w:sz="4" w:space="0" w:color="auto"/>
              <w:right w:val="nil"/>
            </w:tcBorders>
            <w:shd w:val="clear" w:color="000000" w:fill="D9D9D9"/>
            <w:vAlign w:val="center"/>
            <w:hideMark/>
          </w:tcPr>
          <w:p w:rsidR="0041185B" w:rsidRPr="00F022C1" w:rsidRDefault="0041185B" w:rsidP="00CF7567">
            <w:pPr>
              <w:spacing w:line="240" w:lineRule="auto"/>
              <w:jc w:val="left"/>
              <w:rPr>
                <w:b/>
                <w:bCs/>
                <w:color w:val="000000" w:themeColor="text1"/>
                <w:sz w:val="16"/>
                <w:szCs w:val="16"/>
              </w:rPr>
            </w:pPr>
            <w:r w:rsidRPr="00F022C1">
              <w:rPr>
                <w:b/>
                <w:bCs/>
                <w:color w:val="000000" w:themeColor="text1"/>
                <w:sz w:val="16"/>
                <w:szCs w:val="16"/>
              </w:rPr>
              <w:t>%</w:t>
            </w:r>
          </w:p>
        </w:tc>
      </w:tr>
      <w:tr w:rsidR="00F022C1" w:rsidRPr="00F022C1" w:rsidTr="00CF7567">
        <w:trPr>
          <w:trHeight w:val="199"/>
        </w:trPr>
        <w:tc>
          <w:tcPr>
            <w:tcW w:w="1193" w:type="pct"/>
            <w:vMerge w:val="restart"/>
            <w:tcBorders>
              <w:top w:val="nil"/>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Horizontal Tubular</w:t>
            </w: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Photosynthetic efficiency</w:t>
            </w:r>
          </w:p>
        </w:tc>
        <w:tc>
          <w:tcPr>
            <w:tcW w:w="627" w:type="pct"/>
            <w:vMerge w:val="restart"/>
            <w:tcBorders>
              <w:top w:val="nil"/>
              <w:left w:val="nil"/>
              <w:bottom w:val="single" w:sz="4" w:space="0" w:color="000000"/>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4.78</w:t>
            </w: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3.18</w:t>
            </w:r>
          </w:p>
        </w:tc>
        <w:tc>
          <w:tcPr>
            <w:tcW w:w="782" w:type="pct"/>
            <w:tcBorders>
              <w:top w:val="nil"/>
              <w:left w:val="nil"/>
              <w:bottom w:val="nil"/>
              <w:right w:val="nil"/>
            </w:tcBorders>
            <w:shd w:val="clear" w:color="000000" w:fill="84CB97"/>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-33.4%</w:t>
            </w:r>
          </w:p>
        </w:tc>
      </w:tr>
      <w:tr w:rsidR="00F022C1" w:rsidRPr="00F022C1" w:rsidTr="00CF7567">
        <w:trPr>
          <w:trHeight w:val="199"/>
        </w:trPr>
        <w:tc>
          <w:tcPr>
            <w:tcW w:w="1193" w:type="pct"/>
            <w:vMerge/>
            <w:tcBorders>
              <w:left w:val="nil"/>
              <w:right w:val="nil"/>
            </w:tcBorders>
            <w:shd w:val="clear" w:color="auto" w:fill="auto"/>
            <w:noWrap/>
            <w:vAlign w:val="center"/>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Temperature Optima</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3.58</w:t>
            </w:r>
          </w:p>
        </w:tc>
        <w:tc>
          <w:tcPr>
            <w:tcW w:w="782" w:type="pct"/>
            <w:tcBorders>
              <w:top w:val="nil"/>
              <w:left w:val="nil"/>
              <w:bottom w:val="nil"/>
              <w:right w:val="nil"/>
            </w:tcBorders>
            <w:shd w:val="clear" w:color="000000" w:fill="A2D7B1"/>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-25.0%</w:t>
            </w:r>
          </w:p>
        </w:tc>
      </w:tr>
      <w:tr w:rsidR="00F022C1" w:rsidRPr="00F022C1" w:rsidTr="00CF7567">
        <w:trPr>
          <w:trHeight w:val="199"/>
        </w:trPr>
        <w:tc>
          <w:tcPr>
            <w:tcW w:w="1193" w:type="pct"/>
            <w:vMerge/>
            <w:tcBorders>
              <w:left w:val="nil"/>
              <w:right w:val="nil"/>
            </w:tcBorders>
            <w:shd w:val="clear" w:color="auto" w:fill="auto"/>
            <w:noWrap/>
            <w:vAlign w:val="center"/>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Harvesting</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4.62</w:t>
            </w:r>
          </w:p>
        </w:tc>
        <w:tc>
          <w:tcPr>
            <w:tcW w:w="782" w:type="pct"/>
            <w:tcBorders>
              <w:top w:val="nil"/>
              <w:left w:val="nil"/>
              <w:bottom w:val="nil"/>
              <w:right w:val="nil"/>
            </w:tcBorders>
            <w:shd w:val="clear" w:color="000000" w:fill="F0F7F4"/>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-3.3%</w:t>
            </w:r>
          </w:p>
        </w:tc>
      </w:tr>
      <w:tr w:rsidR="00F022C1" w:rsidRPr="00F022C1" w:rsidTr="00CF7567">
        <w:trPr>
          <w:trHeight w:val="199"/>
        </w:trPr>
        <w:tc>
          <w:tcPr>
            <w:tcW w:w="1193" w:type="pct"/>
            <w:vMerge/>
            <w:tcBorders>
              <w:left w:val="nil"/>
              <w:right w:val="nil"/>
            </w:tcBorders>
            <w:shd w:val="clear" w:color="auto" w:fill="auto"/>
            <w:noWrap/>
            <w:vAlign w:val="center"/>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Operational Days</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4.42</w:t>
            </w:r>
          </w:p>
        </w:tc>
        <w:tc>
          <w:tcPr>
            <w:tcW w:w="782" w:type="pct"/>
            <w:tcBorders>
              <w:top w:val="nil"/>
              <w:left w:val="nil"/>
              <w:bottom w:val="nil"/>
              <w:right w:val="nil"/>
            </w:tcBorders>
            <w:shd w:val="clear" w:color="000000" w:fill="E1F1E7"/>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-7.5%</w:t>
            </w:r>
          </w:p>
        </w:tc>
      </w:tr>
      <w:tr w:rsidR="00F022C1" w:rsidRPr="00F022C1" w:rsidTr="00CF7567">
        <w:trPr>
          <w:trHeight w:val="199"/>
        </w:trPr>
        <w:tc>
          <w:tcPr>
            <w:tcW w:w="1193" w:type="pct"/>
            <w:vMerge/>
            <w:tcBorders>
              <w:left w:val="nil"/>
              <w:right w:val="nil"/>
            </w:tcBorders>
            <w:shd w:val="clear" w:color="auto" w:fill="auto"/>
            <w:noWrap/>
            <w:vAlign w:val="center"/>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Alternative Urea Source</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4.74</w:t>
            </w:r>
          </w:p>
        </w:tc>
        <w:tc>
          <w:tcPr>
            <w:tcW w:w="782" w:type="pct"/>
            <w:tcBorders>
              <w:top w:val="nil"/>
              <w:left w:val="nil"/>
              <w:bottom w:val="nil"/>
              <w:right w:val="nil"/>
            </w:tcBorders>
            <w:shd w:val="clear" w:color="000000" w:fill="F9FAFC"/>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-0.8%</w:t>
            </w:r>
          </w:p>
        </w:tc>
      </w:tr>
      <w:tr w:rsidR="00F022C1" w:rsidRPr="00F022C1" w:rsidTr="00CF7567">
        <w:trPr>
          <w:trHeight w:val="199"/>
        </w:trPr>
        <w:tc>
          <w:tcPr>
            <w:tcW w:w="1193" w:type="pct"/>
            <w:vMerge/>
            <w:tcBorders>
              <w:left w:val="nil"/>
              <w:right w:val="nil"/>
            </w:tcBorders>
            <w:shd w:val="clear" w:color="auto" w:fill="auto"/>
            <w:noWrap/>
            <w:vAlign w:val="center"/>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Recovered CO</w:t>
            </w:r>
            <w:r w:rsidRPr="00F022C1">
              <w:rPr>
                <w:b/>
                <w:bCs/>
                <w:i/>
                <w:iCs/>
                <w:color w:val="000000" w:themeColor="text1"/>
                <w:sz w:val="16"/>
                <w:szCs w:val="16"/>
                <w:vertAlign w:val="subscript"/>
              </w:rPr>
              <w:t>2</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4.44</w:t>
            </w:r>
          </w:p>
        </w:tc>
        <w:tc>
          <w:tcPr>
            <w:tcW w:w="782" w:type="pct"/>
            <w:tcBorders>
              <w:top w:val="nil"/>
              <w:left w:val="nil"/>
              <w:bottom w:val="nil"/>
              <w:right w:val="nil"/>
            </w:tcBorders>
            <w:shd w:val="clear" w:color="000000" w:fill="E2F1E9"/>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-7.0%</w:t>
            </w:r>
          </w:p>
        </w:tc>
      </w:tr>
      <w:tr w:rsidR="00F022C1" w:rsidRPr="00F022C1" w:rsidTr="00CF7567">
        <w:trPr>
          <w:trHeight w:val="199"/>
        </w:trPr>
        <w:tc>
          <w:tcPr>
            <w:tcW w:w="1193" w:type="pct"/>
            <w:vMerge/>
            <w:tcBorders>
              <w:left w:val="nil"/>
              <w:right w:val="nil"/>
            </w:tcBorders>
            <w:shd w:val="clear" w:color="auto" w:fill="auto"/>
            <w:noWrap/>
            <w:vAlign w:val="center"/>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Wastewater treatment costs</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4.68</w:t>
            </w:r>
          </w:p>
        </w:tc>
        <w:tc>
          <w:tcPr>
            <w:tcW w:w="782" w:type="pct"/>
            <w:tcBorders>
              <w:top w:val="nil"/>
              <w:left w:val="nil"/>
              <w:bottom w:val="nil"/>
              <w:right w:val="nil"/>
            </w:tcBorders>
            <w:shd w:val="clear" w:color="000000" w:fill="F4F9F8"/>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-2.0%</w:t>
            </w:r>
          </w:p>
        </w:tc>
      </w:tr>
      <w:tr w:rsidR="00F022C1" w:rsidRPr="00F022C1" w:rsidTr="00CF7567">
        <w:trPr>
          <w:trHeight w:val="199"/>
        </w:trPr>
        <w:tc>
          <w:tcPr>
            <w:tcW w:w="1193" w:type="pct"/>
            <w:vMerge/>
            <w:tcBorders>
              <w:left w:val="nil"/>
              <w:bottom w:val="single" w:sz="4" w:space="0" w:color="auto"/>
              <w:right w:val="nil"/>
            </w:tcBorders>
            <w:shd w:val="clear" w:color="auto" w:fill="auto"/>
            <w:noWrap/>
            <w:vAlign w:val="center"/>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Electricity costs</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4.71</w:t>
            </w:r>
          </w:p>
        </w:tc>
        <w:tc>
          <w:tcPr>
            <w:tcW w:w="782" w:type="pct"/>
            <w:tcBorders>
              <w:top w:val="nil"/>
              <w:left w:val="nil"/>
              <w:bottom w:val="single" w:sz="4" w:space="0" w:color="auto"/>
              <w:right w:val="nil"/>
            </w:tcBorders>
            <w:shd w:val="clear" w:color="000000" w:fill="F7F9FA"/>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-1.4%</w:t>
            </w:r>
          </w:p>
        </w:tc>
      </w:tr>
      <w:tr w:rsidR="00F022C1" w:rsidRPr="00F022C1" w:rsidTr="00CF7567">
        <w:trPr>
          <w:trHeight w:val="199"/>
        </w:trPr>
        <w:tc>
          <w:tcPr>
            <w:tcW w:w="1193" w:type="pct"/>
            <w:vMerge w:val="restart"/>
            <w:tcBorders>
              <w:top w:val="nil"/>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Vertical Stacked Tubular</w:t>
            </w: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Photosynthetic efficiency</w:t>
            </w:r>
          </w:p>
        </w:tc>
        <w:tc>
          <w:tcPr>
            <w:tcW w:w="627" w:type="pct"/>
            <w:vMerge w:val="restart"/>
            <w:tcBorders>
              <w:top w:val="nil"/>
              <w:left w:val="nil"/>
              <w:bottom w:val="single" w:sz="4" w:space="0" w:color="000000"/>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4.53</w:t>
            </w: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3.04</w:t>
            </w:r>
          </w:p>
        </w:tc>
        <w:tc>
          <w:tcPr>
            <w:tcW w:w="782" w:type="pct"/>
            <w:tcBorders>
              <w:top w:val="nil"/>
              <w:left w:val="nil"/>
              <w:bottom w:val="nil"/>
              <w:right w:val="nil"/>
            </w:tcBorders>
            <w:shd w:val="clear" w:color="000000" w:fill="85CC99"/>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-32.9%</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Temperature Optima</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3.80</w:t>
            </w:r>
          </w:p>
        </w:tc>
        <w:tc>
          <w:tcPr>
            <w:tcW w:w="782" w:type="pct"/>
            <w:tcBorders>
              <w:top w:val="nil"/>
              <w:left w:val="nil"/>
              <w:bottom w:val="nil"/>
              <w:right w:val="nil"/>
            </w:tcBorders>
            <w:shd w:val="clear" w:color="000000" w:fill="C2E4CD"/>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-16.1%</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Harvesting</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4.31</w:t>
            </w:r>
          </w:p>
        </w:tc>
        <w:tc>
          <w:tcPr>
            <w:tcW w:w="782" w:type="pct"/>
            <w:tcBorders>
              <w:top w:val="nil"/>
              <w:left w:val="nil"/>
              <w:bottom w:val="nil"/>
              <w:right w:val="nil"/>
            </w:tcBorders>
            <w:shd w:val="clear" w:color="000000" w:fill="EAF4EF"/>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-4.9%</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Operational Days</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4.20</w:t>
            </w:r>
          </w:p>
        </w:tc>
        <w:tc>
          <w:tcPr>
            <w:tcW w:w="782" w:type="pct"/>
            <w:tcBorders>
              <w:top w:val="nil"/>
              <w:left w:val="nil"/>
              <w:bottom w:val="nil"/>
              <w:right w:val="nil"/>
            </w:tcBorders>
            <w:shd w:val="clear" w:color="000000" w:fill="E1F1E8"/>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-7.3%</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Alternative Urea Source</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4.50</w:t>
            </w:r>
          </w:p>
        </w:tc>
        <w:tc>
          <w:tcPr>
            <w:tcW w:w="782" w:type="pct"/>
            <w:tcBorders>
              <w:top w:val="nil"/>
              <w:left w:val="nil"/>
              <w:bottom w:val="nil"/>
              <w:right w:val="nil"/>
            </w:tcBorders>
            <w:shd w:val="clear" w:color="000000" w:fill="F9FAFC"/>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-0.7%</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Recovered CO</w:t>
            </w:r>
            <w:r w:rsidRPr="00F022C1">
              <w:rPr>
                <w:b/>
                <w:bCs/>
                <w:i/>
                <w:iCs/>
                <w:color w:val="000000" w:themeColor="text1"/>
                <w:sz w:val="16"/>
                <w:szCs w:val="16"/>
                <w:vertAlign w:val="subscript"/>
              </w:rPr>
              <w:t>2</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4.20</w:t>
            </w:r>
          </w:p>
        </w:tc>
        <w:tc>
          <w:tcPr>
            <w:tcW w:w="782" w:type="pct"/>
            <w:tcBorders>
              <w:top w:val="nil"/>
              <w:left w:val="nil"/>
              <w:bottom w:val="nil"/>
              <w:right w:val="nil"/>
            </w:tcBorders>
            <w:shd w:val="clear" w:color="000000" w:fill="E1F1E8"/>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-7.3%</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Wastewater treatment costs</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4.40</w:t>
            </w:r>
          </w:p>
        </w:tc>
        <w:tc>
          <w:tcPr>
            <w:tcW w:w="782" w:type="pct"/>
            <w:tcBorders>
              <w:top w:val="nil"/>
              <w:left w:val="nil"/>
              <w:bottom w:val="nil"/>
              <w:right w:val="nil"/>
            </w:tcBorders>
            <w:shd w:val="clear" w:color="000000" w:fill="F1F7F6"/>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-2.9%</w:t>
            </w:r>
          </w:p>
        </w:tc>
      </w:tr>
      <w:tr w:rsidR="00F022C1" w:rsidRPr="00F022C1" w:rsidTr="00CF7567">
        <w:trPr>
          <w:trHeight w:val="199"/>
        </w:trPr>
        <w:tc>
          <w:tcPr>
            <w:tcW w:w="1193" w:type="pct"/>
            <w:vMerge/>
            <w:tcBorders>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Electricity costs</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4.47</w:t>
            </w:r>
          </w:p>
        </w:tc>
        <w:tc>
          <w:tcPr>
            <w:tcW w:w="782" w:type="pct"/>
            <w:tcBorders>
              <w:top w:val="nil"/>
              <w:left w:val="nil"/>
              <w:bottom w:val="single" w:sz="4" w:space="0" w:color="auto"/>
              <w:right w:val="nil"/>
            </w:tcBorders>
            <w:shd w:val="clear" w:color="000000" w:fill="F7FAFA"/>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-1.4%</w:t>
            </w:r>
          </w:p>
        </w:tc>
      </w:tr>
      <w:tr w:rsidR="00F022C1" w:rsidRPr="00F022C1" w:rsidTr="00CF7567">
        <w:trPr>
          <w:trHeight w:val="199"/>
        </w:trPr>
        <w:tc>
          <w:tcPr>
            <w:tcW w:w="1193" w:type="pct"/>
            <w:vMerge w:val="restart"/>
            <w:tcBorders>
              <w:top w:val="nil"/>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Flat Panel</w:t>
            </w: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Photosynthetic efficiency</w:t>
            </w:r>
          </w:p>
        </w:tc>
        <w:tc>
          <w:tcPr>
            <w:tcW w:w="627" w:type="pct"/>
            <w:vMerge w:val="restart"/>
            <w:tcBorders>
              <w:top w:val="nil"/>
              <w:left w:val="nil"/>
              <w:bottom w:val="single" w:sz="4" w:space="0" w:color="000000"/>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3.19</w:t>
            </w: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1.83</w:t>
            </w:r>
          </w:p>
        </w:tc>
        <w:tc>
          <w:tcPr>
            <w:tcW w:w="782" w:type="pct"/>
            <w:tcBorders>
              <w:top w:val="single" w:sz="4" w:space="0" w:color="auto"/>
              <w:left w:val="nil"/>
              <w:bottom w:val="nil"/>
              <w:right w:val="nil"/>
            </w:tcBorders>
            <w:shd w:val="clear" w:color="000000" w:fill="63BE7B"/>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-42.7%</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Temperature Optima</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2.53</w:t>
            </w:r>
          </w:p>
        </w:tc>
        <w:tc>
          <w:tcPr>
            <w:tcW w:w="782" w:type="pct"/>
            <w:tcBorders>
              <w:top w:val="nil"/>
              <w:left w:val="nil"/>
              <w:bottom w:val="nil"/>
              <w:right w:val="nil"/>
            </w:tcBorders>
            <w:shd w:val="clear" w:color="000000" w:fill="B1DDBE"/>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-20.7%</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Harvesting</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3.04</w:t>
            </w:r>
          </w:p>
        </w:tc>
        <w:tc>
          <w:tcPr>
            <w:tcW w:w="782" w:type="pct"/>
            <w:tcBorders>
              <w:top w:val="nil"/>
              <w:left w:val="nil"/>
              <w:bottom w:val="nil"/>
              <w:right w:val="nil"/>
            </w:tcBorders>
            <w:shd w:val="clear" w:color="000000" w:fill="EAF5F0"/>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-4.8%</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Operational Days</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2.98</w:t>
            </w:r>
          </w:p>
        </w:tc>
        <w:tc>
          <w:tcPr>
            <w:tcW w:w="782" w:type="pct"/>
            <w:tcBorders>
              <w:top w:val="nil"/>
              <w:left w:val="nil"/>
              <w:bottom w:val="nil"/>
              <w:right w:val="nil"/>
            </w:tcBorders>
            <w:shd w:val="clear" w:color="000000" w:fill="E4F2EA"/>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-6.6%</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Alternative Urea Source</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3.16</w:t>
            </w:r>
          </w:p>
        </w:tc>
        <w:tc>
          <w:tcPr>
            <w:tcW w:w="782" w:type="pct"/>
            <w:tcBorders>
              <w:top w:val="nil"/>
              <w:left w:val="nil"/>
              <w:bottom w:val="nil"/>
              <w:right w:val="nil"/>
            </w:tcBorders>
            <w:shd w:val="clear" w:color="000000" w:fill="F8FAFB"/>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-1.0%</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Recovered CO</w:t>
            </w:r>
            <w:r w:rsidRPr="00F022C1">
              <w:rPr>
                <w:b/>
                <w:bCs/>
                <w:i/>
                <w:iCs/>
                <w:color w:val="000000" w:themeColor="text1"/>
                <w:sz w:val="16"/>
                <w:szCs w:val="16"/>
                <w:vertAlign w:val="subscript"/>
              </w:rPr>
              <w:t>2</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2.86</w:t>
            </w:r>
          </w:p>
        </w:tc>
        <w:tc>
          <w:tcPr>
            <w:tcW w:w="782" w:type="pct"/>
            <w:tcBorders>
              <w:top w:val="nil"/>
              <w:left w:val="nil"/>
              <w:bottom w:val="nil"/>
              <w:right w:val="nil"/>
            </w:tcBorders>
            <w:shd w:val="clear" w:color="000000" w:fill="D6ECDE"/>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-10.4%</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Wastewater treatment costs</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3.10</w:t>
            </w:r>
          </w:p>
        </w:tc>
        <w:tc>
          <w:tcPr>
            <w:tcW w:w="782" w:type="pct"/>
            <w:tcBorders>
              <w:top w:val="nil"/>
              <w:left w:val="nil"/>
              <w:bottom w:val="nil"/>
              <w:right w:val="nil"/>
            </w:tcBorders>
            <w:shd w:val="clear" w:color="000000" w:fill="F1F7F6"/>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-2.9%</w:t>
            </w:r>
          </w:p>
        </w:tc>
      </w:tr>
      <w:tr w:rsidR="00F022C1" w:rsidRPr="00F022C1" w:rsidTr="00CF7567">
        <w:trPr>
          <w:trHeight w:val="199"/>
        </w:trPr>
        <w:tc>
          <w:tcPr>
            <w:tcW w:w="1193" w:type="pct"/>
            <w:vMerge/>
            <w:tcBorders>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Electricity costs</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3.13</w:t>
            </w:r>
          </w:p>
        </w:tc>
        <w:tc>
          <w:tcPr>
            <w:tcW w:w="782" w:type="pct"/>
            <w:tcBorders>
              <w:top w:val="nil"/>
              <w:left w:val="nil"/>
              <w:bottom w:val="single" w:sz="4" w:space="0" w:color="auto"/>
              <w:right w:val="nil"/>
            </w:tcBorders>
            <w:shd w:val="clear" w:color="000000" w:fill="F5F9F8"/>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-1.9%</w:t>
            </w:r>
          </w:p>
        </w:tc>
      </w:tr>
      <w:tr w:rsidR="00F022C1" w:rsidRPr="00F022C1" w:rsidTr="00CF7567">
        <w:trPr>
          <w:trHeight w:val="199"/>
        </w:trPr>
        <w:tc>
          <w:tcPr>
            <w:tcW w:w="1193" w:type="pct"/>
            <w:vMerge w:val="restart"/>
            <w:tcBorders>
              <w:top w:val="nil"/>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Raceway Pond</w:t>
            </w: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Photosynthetic efficiency</w:t>
            </w:r>
          </w:p>
        </w:tc>
        <w:tc>
          <w:tcPr>
            <w:tcW w:w="627" w:type="pct"/>
            <w:vMerge w:val="restart"/>
            <w:tcBorders>
              <w:top w:val="nil"/>
              <w:left w:val="nil"/>
              <w:bottom w:val="single" w:sz="4" w:space="0" w:color="000000"/>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2.95</w:t>
            </w: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1.70</w:t>
            </w:r>
          </w:p>
        </w:tc>
        <w:tc>
          <w:tcPr>
            <w:tcW w:w="782" w:type="pct"/>
            <w:tcBorders>
              <w:top w:val="single" w:sz="4" w:space="0" w:color="auto"/>
              <w:left w:val="nil"/>
              <w:bottom w:val="nil"/>
              <w:right w:val="nil"/>
            </w:tcBorders>
            <w:shd w:val="clear" w:color="000000" w:fill="64BE7C"/>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-42.3%</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Temperature Optima</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2.95</w:t>
            </w:r>
          </w:p>
        </w:tc>
        <w:tc>
          <w:tcPr>
            <w:tcW w:w="782" w:type="pct"/>
            <w:tcBorders>
              <w:top w:val="nil"/>
              <w:left w:val="nil"/>
              <w:bottom w:val="nil"/>
              <w:right w:val="nil"/>
            </w:tcBorders>
            <w:shd w:val="clear" w:color="000000" w:fill="FCFCFF"/>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0.0%</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Harvesting</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2.45</w:t>
            </w:r>
          </w:p>
        </w:tc>
        <w:tc>
          <w:tcPr>
            <w:tcW w:w="782" w:type="pct"/>
            <w:tcBorders>
              <w:top w:val="nil"/>
              <w:left w:val="nil"/>
              <w:bottom w:val="nil"/>
              <w:right w:val="nil"/>
            </w:tcBorders>
            <w:shd w:val="clear" w:color="000000" w:fill="BFE3CA"/>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-16.9%</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Operational Days</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2.80</w:t>
            </w:r>
          </w:p>
        </w:tc>
        <w:tc>
          <w:tcPr>
            <w:tcW w:w="782" w:type="pct"/>
            <w:tcBorders>
              <w:top w:val="nil"/>
              <w:left w:val="nil"/>
              <w:bottom w:val="nil"/>
              <w:right w:val="nil"/>
            </w:tcBorders>
            <w:shd w:val="clear" w:color="000000" w:fill="EAF4EF"/>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-5.0%</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Alternative Urea Source</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2.91</w:t>
            </w:r>
          </w:p>
        </w:tc>
        <w:tc>
          <w:tcPr>
            <w:tcW w:w="782" w:type="pct"/>
            <w:tcBorders>
              <w:top w:val="nil"/>
              <w:left w:val="nil"/>
              <w:bottom w:val="nil"/>
              <w:right w:val="nil"/>
            </w:tcBorders>
            <w:shd w:val="clear" w:color="000000" w:fill="F7FAFB"/>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-1.3%</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Recovered CO</w:t>
            </w:r>
            <w:r w:rsidRPr="00F022C1">
              <w:rPr>
                <w:b/>
                <w:bCs/>
                <w:i/>
                <w:iCs/>
                <w:color w:val="000000" w:themeColor="text1"/>
                <w:sz w:val="16"/>
                <w:szCs w:val="16"/>
                <w:vertAlign w:val="subscript"/>
              </w:rPr>
              <w:t>2</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2.61</w:t>
            </w:r>
          </w:p>
        </w:tc>
        <w:tc>
          <w:tcPr>
            <w:tcW w:w="782" w:type="pct"/>
            <w:tcBorders>
              <w:top w:val="nil"/>
              <w:left w:val="nil"/>
              <w:bottom w:val="nil"/>
              <w:right w:val="nil"/>
            </w:tcBorders>
            <w:shd w:val="clear" w:color="000000" w:fill="D2EBDB"/>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-11.5%</w:t>
            </w:r>
          </w:p>
        </w:tc>
      </w:tr>
      <w:tr w:rsidR="00F022C1" w:rsidRPr="00F022C1" w:rsidTr="00CF7567">
        <w:trPr>
          <w:trHeight w:val="199"/>
        </w:trPr>
        <w:tc>
          <w:tcPr>
            <w:tcW w:w="1193" w:type="pct"/>
            <w:vMerge/>
            <w:tcBorders>
              <w:left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Wastewater treatment costs</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nil"/>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2.54</w:t>
            </w:r>
          </w:p>
        </w:tc>
        <w:tc>
          <w:tcPr>
            <w:tcW w:w="782" w:type="pct"/>
            <w:tcBorders>
              <w:top w:val="nil"/>
              <w:left w:val="nil"/>
              <w:bottom w:val="nil"/>
              <w:right w:val="nil"/>
            </w:tcBorders>
            <w:shd w:val="clear" w:color="000000" w:fill="CAE7D4"/>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-13.8%</w:t>
            </w:r>
          </w:p>
        </w:tc>
      </w:tr>
      <w:tr w:rsidR="00F022C1" w:rsidRPr="00F022C1" w:rsidTr="00CF7567">
        <w:trPr>
          <w:trHeight w:val="199"/>
        </w:trPr>
        <w:tc>
          <w:tcPr>
            <w:tcW w:w="1193" w:type="pct"/>
            <w:vMerge/>
            <w:tcBorders>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p>
        </w:tc>
        <w:tc>
          <w:tcPr>
            <w:tcW w:w="1193" w:type="pct"/>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b/>
                <w:bCs/>
                <w:i/>
                <w:iCs/>
                <w:color w:val="000000" w:themeColor="text1"/>
                <w:sz w:val="16"/>
                <w:szCs w:val="16"/>
              </w:rPr>
            </w:pPr>
            <w:r w:rsidRPr="00F022C1">
              <w:rPr>
                <w:b/>
                <w:bCs/>
                <w:i/>
                <w:iCs/>
                <w:color w:val="000000" w:themeColor="text1"/>
                <w:sz w:val="16"/>
                <w:szCs w:val="16"/>
              </w:rPr>
              <w:t>Electricity costs</w:t>
            </w:r>
          </w:p>
        </w:tc>
        <w:tc>
          <w:tcPr>
            <w:tcW w:w="627" w:type="pct"/>
            <w:vMerge/>
            <w:tcBorders>
              <w:top w:val="nil"/>
              <w:left w:val="nil"/>
              <w:bottom w:val="single" w:sz="4" w:space="0" w:color="000000"/>
              <w:right w:val="nil"/>
            </w:tcBorders>
            <w:vAlign w:val="center"/>
            <w:hideMark/>
          </w:tcPr>
          <w:p w:rsidR="0041185B" w:rsidRPr="00F022C1" w:rsidRDefault="0041185B" w:rsidP="00CF7567">
            <w:pPr>
              <w:spacing w:line="240" w:lineRule="auto"/>
              <w:jc w:val="left"/>
              <w:rPr>
                <w:color w:val="000000" w:themeColor="text1"/>
                <w:sz w:val="16"/>
                <w:szCs w:val="16"/>
              </w:rPr>
            </w:pPr>
          </w:p>
        </w:tc>
        <w:tc>
          <w:tcPr>
            <w:tcW w:w="1205" w:type="pct"/>
            <w:tcBorders>
              <w:top w:val="nil"/>
              <w:left w:val="nil"/>
              <w:bottom w:val="single" w:sz="4" w:space="0" w:color="auto"/>
              <w:right w:val="nil"/>
            </w:tcBorders>
            <w:shd w:val="clear" w:color="auto" w:fill="auto"/>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2.93</w:t>
            </w:r>
          </w:p>
        </w:tc>
        <w:tc>
          <w:tcPr>
            <w:tcW w:w="782" w:type="pct"/>
            <w:tcBorders>
              <w:top w:val="nil"/>
              <w:left w:val="nil"/>
              <w:bottom w:val="single" w:sz="4" w:space="0" w:color="auto"/>
              <w:right w:val="nil"/>
            </w:tcBorders>
            <w:shd w:val="clear" w:color="000000" w:fill="F9FBFD"/>
            <w:noWrap/>
            <w:vAlign w:val="center"/>
            <w:hideMark/>
          </w:tcPr>
          <w:p w:rsidR="0041185B" w:rsidRPr="00F022C1" w:rsidRDefault="0041185B" w:rsidP="00CF7567">
            <w:pPr>
              <w:spacing w:line="240" w:lineRule="auto"/>
              <w:jc w:val="left"/>
              <w:rPr>
                <w:color w:val="000000" w:themeColor="text1"/>
                <w:sz w:val="16"/>
                <w:szCs w:val="16"/>
              </w:rPr>
            </w:pPr>
            <w:r w:rsidRPr="00F022C1">
              <w:rPr>
                <w:color w:val="000000" w:themeColor="text1"/>
                <w:sz w:val="16"/>
                <w:szCs w:val="16"/>
              </w:rPr>
              <w:t>-0.6%</w:t>
            </w:r>
          </w:p>
        </w:tc>
      </w:tr>
    </w:tbl>
    <w:p w:rsidR="0041185B" w:rsidRPr="00F022C1" w:rsidRDefault="0041185B" w:rsidP="0041185B">
      <w:pPr>
        <w:jc w:val="left"/>
        <w:rPr>
          <w:color w:val="000000" w:themeColor="text1"/>
        </w:rPr>
      </w:pPr>
    </w:p>
    <w:p w:rsidR="0041185B" w:rsidRPr="00F022C1" w:rsidRDefault="0041185B" w:rsidP="0041185B">
      <w:pPr>
        <w:jc w:val="left"/>
        <w:rPr>
          <w:color w:val="000000" w:themeColor="text1"/>
        </w:rPr>
      </w:pPr>
    </w:p>
    <w:p w:rsidR="00506D81" w:rsidRPr="00F022C1" w:rsidRDefault="00C10B3F">
      <w:pPr>
        <w:rPr>
          <w:color w:val="000000" w:themeColor="text1"/>
        </w:rPr>
      </w:pPr>
    </w:p>
    <w:sectPr w:rsidR="00506D81" w:rsidRPr="00F022C1" w:rsidSect="008B3DF7">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10B3F" w:rsidRDefault="00C10B3F">
      <w:pPr>
        <w:spacing w:line="240" w:lineRule="auto"/>
      </w:pPr>
      <w:r>
        <w:separator/>
      </w:r>
    </w:p>
  </w:endnote>
  <w:endnote w:type="continuationSeparator" w:id="0">
    <w:p w:rsidR="00C10B3F" w:rsidRDefault="00C10B3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altName w:val="Arial Rounded MT Bold"/>
    <w:panose1 w:val="020F0502020204030204"/>
    <w:charset w:val="00"/>
    <w:family w:val="swiss"/>
    <w:pitch w:val="variable"/>
    <w:sig w:usb0="A00002EF" w:usb1="4000207B" w:usb2="00000000" w:usb3="00000000" w:csb0="0000009F" w:csb1="00000000"/>
  </w:font>
  <w:font w:name="Arial">
    <w:altName w:val="Arial"/>
    <w:panose1 w:val="020B0604020202020204"/>
    <w:charset w:val="00"/>
    <w:family w:val="swiss"/>
    <w:pitch w:val="variable"/>
    <w:sig w:usb0="E0002AFF" w:usb1="C0007843" w:usb2="00000009" w:usb3="00000000" w:csb0="000001FF" w:csb1="00000000"/>
  </w:font>
  <w:font w:name="Minion Pro">
    <w:panose1 w:val="02040503050306020203"/>
    <w:charset w:val="00"/>
    <w:family w:val="roman"/>
    <w:notTrueType/>
    <w:pitch w:val="variable"/>
    <w:sig w:usb0="60000287" w:usb1="00000001" w:usb2="00000000" w:usb3="00000000" w:csb0="0000019F" w:csb1="00000000"/>
  </w:font>
  <w:font w:name="Times New Roman">
    <w:altName w:val="Times New Roman"/>
    <w:panose1 w:val="02020603050405020304"/>
    <w:charset w:val="00"/>
    <w:family w:val="roman"/>
    <w:pitch w:val="variable"/>
    <w:sig w:usb0="20002A87" w:usb1="80000000" w:usb2="00000008" w:usb3="00000000" w:csb0="000001FF" w:csb1="00000000"/>
  </w:font>
  <w:font w:name="Futura">
    <w:panose1 w:val="020B0602020204020303"/>
    <w:charset w:val="00"/>
    <w:family w:val="swiss"/>
    <w:pitch w:val="variable"/>
    <w:sig w:usb0="A0000AAF" w:usb1="5000214A" w:usb2="00000000" w:usb3="00000000" w:csb0="000000BF" w:csb1="00000000"/>
  </w:font>
  <w:font w:name="Times">
    <w:panose1 w:val="00000500000000020000"/>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006409447"/>
      <w:docPartObj>
        <w:docPartGallery w:val="Page Numbers (Bottom of Page)"/>
        <w:docPartUnique/>
      </w:docPartObj>
    </w:sdtPr>
    <w:sdtEndPr>
      <w:rPr>
        <w:rStyle w:val="PageNumber"/>
      </w:rPr>
    </w:sdtEndPr>
    <w:sdtContent>
      <w:p w:rsidR="00A85864" w:rsidRDefault="0041185B" w:rsidP="005F670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A85864" w:rsidRDefault="00C10B3F" w:rsidP="0013458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824507614"/>
      <w:docPartObj>
        <w:docPartGallery w:val="Page Numbers (Bottom of Page)"/>
        <w:docPartUnique/>
      </w:docPartObj>
    </w:sdtPr>
    <w:sdtEndPr>
      <w:rPr>
        <w:rStyle w:val="PageNumber"/>
      </w:rPr>
    </w:sdtEndPr>
    <w:sdtContent>
      <w:p w:rsidR="00A85864" w:rsidRDefault="0041185B" w:rsidP="005F670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rsidR="00A85864" w:rsidRDefault="00C10B3F" w:rsidP="00134585">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10B3F" w:rsidRDefault="00C10B3F">
      <w:pPr>
        <w:spacing w:line="240" w:lineRule="auto"/>
      </w:pPr>
      <w:r>
        <w:separator/>
      </w:r>
    </w:p>
  </w:footnote>
  <w:footnote w:type="continuationSeparator" w:id="0">
    <w:p w:rsidR="00C10B3F" w:rsidRDefault="00C10B3F">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3"/>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185B"/>
    <w:rsid w:val="00242842"/>
    <w:rsid w:val="0034166C"/>
    <w:rsid w:val="0041185B"/>
    <w:rsid w:val="004B334B"/>
    <w:rsid w:val="004F1430"/>
    <w:rsid w:val="00782721"/>
    <w:rsid w:val="00837692"/>
    <w:rsid w:val="008B3DF7"/>
    <w:rsid w:val="009C5CC9"/>
    <w:rsid w:val="00AE4488"/>
    <w:rsid w:val="00B10DE4"/>
    <w:rsid w:val="00C10B3F"/>
    <w:rsid w:val="00DD6EE9"/>
    <w:rsid w:val="00E039F7"/>
    <w:rsid w:val="00F022C1"/>
    <w:rsid w:val="00F268F8"/>
    <w:rsid w:val="00F60642"/>
    <w:rsid w:val="00FF61E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D44299"/>
  <w15:chartTrackingRefBased/>
  <w15:docId w15:val="{9FD1430B-AFB3-5843-B5A1-D01CCE022C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1185B"/>
    <w:pPr>
      <w:spacing w:line="360" w:lineRule="auto"/>
      <w:jc w:val="both"/>
    </w:pPr>
    <w:rPr>
      <w:rFonts w:ascii="Minion Pro" w:eastAsia="Times New Roman" w:hAnsi="Minion Pro" w:cs="Times New Roman"/>
      <w:sz w:val="20"/>
      <w:szCs w:val="20"/>
    </w:rPr>
  </w:style>
  <w:style w:type="paragraph" w:styleId="Heading2">
    <w:name w:val="heading 2"/>
    <w:basedOn w:val="Normal"/>
    <w:next w:val="Normal"/>
    <w:link w:val="Heading2Char"/>
    <w:uiPriority w:val="9"/>
    <w:unhideWhenUsed/>
    <w:qFormat/>
    <w:rsid w:val="0041185B"/>
    <w:pPr>
      <w:keepNext/>
      <w:keepLines/>
      <w:spacing w:before="240" w:after="240"/>
      <w:ind w:left="709" w:hanging="709"/>
      <w:jc w:val="left"/>
      <w:outlineLvl w:val="1"/>
    </w:pPr>
    <w:rPr>
      <w:rFonts w:cs="Futura"/>
      <w:b/>
      <w:bCs/>
      <w:noProof/>
      <w:color w:val="000000" w:themeColor="text1"/>
      <w:sz w:val="28"/>
      <w:szCs w:val="28"/>
    </w:rPr>
  </w:style>
  <w:style w:type="paragraph" w:styleId="Heading3">
    <w:name w:val="heading 3"/>
    <w:basedOn w:val="Heading2"/>
    <w:next w:val="Normal"/>
    <w:link w:val="Heading3Char"/>
    <w:uiPriority w:val="9"/>
    <w:unhideWhenUsed/>
    <w:qFormat/>
    <w:rsid w:val="0041185B"/>
    <w:pPr>
      <w:numPr>
        <w:ilvl w:val="1"/>
      </w:numPr>
      <w:spacing w:after="120"/>
      <w:ind w:left="709" w:hanging="709"/>
      <w:outlineLvl w:val="2"/>
    </w:pPr>
    <w:rPr>
      <w:i/>
      <w:iCs/>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41185B"/>
    <w:rPr>
      <w:rFonts w:ascii="Minion Pro" w:eastAsia="Times New Roman" w:hAnsi="Minion Pro" w:cs="Futura"/>
      <w:b/>
      <w:bCs/>
      <w:noProof/>
      <w:color w:val="000000" w:themeColor="text1"/>
      <w:sz w:val="28"/>
      <w:szCs w:val="28"/>
    </w:rPr>
  </w:style>
  <w:style w:type="character" w:customStyle="1" w:styleId="Heading3Char">
    <w:name w:val="Heading 3 Char"/>
    <w:basedOn w:val="DefaultParagraphFont"/>
    <w:link w:val="Heading3"/>
    <w:uiPriority w:val="9"/>
    <w:rsid w:val="0041185B"/>
    <w:rPr>
      <w:rFonts w:ascii="Minion Pro" w:eastAsia="Times New Roman" w:hAnsi="Minion Pro" w:cs="Futura"/>
      <w:b/>
      <w:bCs/>
      <w:i/>
      <w:iCs/>
      <w:noProof/>
      <w:color w:val="000000" w:themeColor="text1"/>
      <w:sz w:val="22"/>
      <w:szCs w:val="22"/>
    </w:rPr>
  </w:style>
  <w:style w:type="paragraph" w:styleId="Caption">
    <w:name w:val="caption"/>
    <w:basedOn w:val="Normal"/>
    <w:next w:val="Normal"/>
    <w:uiPriority w:val="35"/>
    <w:unhideWhenUsed/>
    <w:qFormat/>
    <w:rsid w:val="0041185B"/>
    <w:pPr>
      <w:keepNext/>
      <w:spacing w:after="200" w:line="240" w:lineRule="auto"/>
    </w:pPr>
    <w:rPr>
      <w:rFonts w:eastAsiaTheme="minorHAnsi" w:cstheme="minorBidi"/>
      <w:b/>
      <w:bCs/>
      <w:color w:val="254478"/>
      <w:sz w:val="18"/>
      <w:szCs w:val="18"/>
    </w:rPr>
  </w:style>
  <w:style w:type="paragraph" w:styleId="Footer">
    <w:name w:val="footer"/>
    <w:basedOn w:val="Normal"/>
    <w:link w:val="FooterChar"/>
    <w:uiPriority w:val="99"/>
    <w:unhideWhenUsed/>
    <w:rsid w:val="0041185B"/>
    <w:pPr>
      <w:tabs>
        <w:tab w:val="center" w:pos="4680"/>
        <w:tab w:val="right" w:pos="9360"/>
      </w:tabs>
      <w:spacing w:line="240" w:lineRule="auto"/>
    </w:pPr>
  </w:style>
  <w:style w:type="character" w:customStyle="1" w:styleId="FooterChar">
    <w:name w:val="Footer Char"/>
    <w:basedOn w:val="DefaultParagraphFont"/>
    <w:link w:val="Footer"/>
    <w:uiPriority w:val="99"/>
    <w:rsid w:val="0041185B"/>
    <w:rPr>
      <w:rFonts w:ascii="Minion Pro" w:eastAsia="Times New Roman" w:hAnsi="Minion Pro" w:cs="Times New Roman"/>
      <w:sz w:val="20"/>
      <w:szCs w:val="20"/>
    </w:rPr>
  </w:style>
  <w:style w:type="character" w:styleId="PageNumber">
    <w:name w:val="page number"/>
    <w:basedOn w:val="DefaultParagraphFont"/>
    <w:uiPriority w:val="99"/>
    <w:semiHidden/>
    <w:unhideWhenUsed/>
    <w:rsid w:val="004118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emf"/><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4</Pages>
  <Words>680</Words>
  <Characters>3880</Characters>
  <Application>Microsoft Office Word</Application>
  <DocSecurity>0</DocSecurity>
  <Lines>32</Lines>
  <Paragraphs>9</Paragraphs>
  <ScaleCrop>false</ScaleCrop>
  <Company/>
  <LinksUpToDate>false</LinksUpToDate>
  <CharactersWithSpaces>4551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Kira Schipper</dc:creator>
  <cp:keywords/>
  <dc:description/>
  <cp:lastModifiedBy>Kira Schipper</cp:lastModifiedBy>
  <cp:revision>5</cp:revision>
  <dcterms:created xsi:type="dcterms:W3CDTF">2021-03-11T10:39:00Z</dcterms:created>
  <dcterms:modified xsi:type="dcterms:W3CDTF">2021-03-11T10:43:00Z</dcterms:modified>
</cp:coreProperties>
</file>