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878D6" w14:textId="32AA13F2" w:rsidR="000F60E1" w:rsidRDefault="00C56B94" w:rsidP="006E139A">
      <w:pPr>
        <w:rPr>
          <w:b/>
          <w:color w:val="000000" w:themeColor="text1"/>
          <w:sz w:val="20"/>
          <w:szCs w:val="20"/>
        </w:rPr>
      </w:pPr>
      <w:r w:rsidRPr="00E63BED">
        <w:rPr>
          <w:b/>
          <w:color w:val="000000" w:themeColor="text1"/>
          <w:sz w:val="20"/>
          <w:szCs w:val="20"/>
        </w:rPr>
        <w:t xml:space="preserve">Table 1 - Cohort study demographics, presentation and outcomes of COVID-19-associated cardiovascular </w:t>
      </w:r>
      <w:r w:rsidR="00E85340" w:rsidRPr="00E63BED">
        <w:rPr>
          <w:b/>
          <w:color w:val="000000" w:themeColor="text1"/>
          <w:sz w:val="20"/>
          <w:szCs w:val="20"/>
        </w:rPr>
        <w:t>injury</w:t>
      </w:r>
    </w:p>
    <w:p w14:paraId="41CBEE5A" w14:textId="77777777" w:rsidR="005E0D97" w:rsidRPr="00E63BED" w:rsidRDefault="005E0D97" w:rsidP="006E139A">
      <w:pPr>
        <w:rPr>
          <w:color w:val="000000" w:themeColor="text1"/>
          <w:sz w:val="20"/>
          <w:szCs w:val="20"/>
        </w:rPr>
      </w:pPr>
    </w:p>
    <w:tbl>
      <w:tblPr>
        <w:tblStyle w:val="ListTable2"/>
        <w:tblW w:w="13887" w:type="dxa"/>
        <w:tblLayout w:type="fixed"/>
        <w:tblLook w:val="0600" w:firstRow="0" w:lastRow="0" w:firstColumn="0" w:lastColumn="0" w:noHBand="1" w:noVBand="1"/>
      </w:tblPr>
      <w:tblGrid>
        <w:gridCol w:w="1129"/>
        <w:gridCol w:w="1418"/>
        <w:gridCol w:w="992"/>
        <w:gridCol w:w="704"/>
        <w:gridCol w:w="708"/>
        <w:gridCol w:w="993"/>
        <w:gridCol w:w="992"/>
        <w:gridCol w:w="850"/>
        <w:gridCol w:w="714"/>
        <w:gridCol w:w="1985"/>
        <w:gridCol w:w="1134"/>
        <w:gridCol w:w="1276"/>
        <w:gridCol w:w="992"/>
      </w:tblGrid>
      <w:tr w:rsidR="00275C3C" w:rsidRPr="00E63BED" w14:paraId="687315C2" w14:textId="7ACF8479" w:rsidTr="00E94DB9">
        <w:trPr>
          <w:trHeight w:val="575"/>
        </w:trPr>
        <w:tc>
          <w:tcPr>
            <w:tcW w:w="1129" w:type="dxa"/>
            <w:vMerge w:val="restart"/>
          </w:tcPr>
          <w:p w14:paraId="2E508049" w14:textId="4A2A9333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Author</w:t>
            </w:r>
          </w:p>
        </w:tc>
        <w:tc>
          <w:tcPr>
            <w:tcW w:w="1418" w:type="dxa"/>
            <w:vMerge w:val="restart"/>
          </w:tcPr>
          <w:p w14:paraId="1E7A6B02" w14:textId="77777777" w:rsidR="00275C3C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Study type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</w:p>
          <w:p w14:paraId="6156427D" w14:textId="64FB79BE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Country</w:t>
            </w:r>
          </w:p>
        </w:tc>
        <w:tc>
          <w:tcPr>
            <w:tcW w:w="992" w:type="dxa"/>
            <w:vMerge w:val="restart"/>
          </w:tcPr>
          <w:p w14:paraId="033D6C98" w14:textId="32DAD53C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Total number of patients</w:t>
            </w:r>
          </w:p>
        </w:tc>
        <w:tc>
          <w:tcPr>
            <w:tcW w:w="1412" w:type="dxa"/>
            <w:gridSpan w:val="2"/>
          </w:tcPr>
          <w:p w14:paraId="3139B211" w14:textId="77777777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Number of patients</w:t>
            </w:r>
          </w:p>
        </w:tc>
        <w:tc>
          <w:tcPr>
            <w:tcW w:w="1985" w:type="dxa"/>
            <w:gridSpan w:val="2"/>
          </w:tcPr>
          <w:p w14:paraId="574E5DF8" w14:textId="7647FD1C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Age</w:t>
            </w:r>
          </w:p>
          <w:p w14:paraId="0D710202" w14:textId="61CF7837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Media (IQR) or Mean ±SD</w:t>
            </w:r>
          </w:p>
        </w:tc>
        <w:tc>
          <w:tcPr>
            <w:tcW w:w="1564" w:type="dxa"/>
            <w:gridSpan w:val="2"/>
          </w:tcPr>
          <w:p w14:paraId="4366B34F" w14:textId="77777777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Sex (M= male, F = female)</w:t>
            </w:r>
          </w:p>
        </w:tc>
        <w:tc>
          <w:tcPr>
            <w:tcW w:w="1985" w:type="dxa"/>
            <w:vMerge w:val="restart"/>
          </w:tcPr>
          <w:p w14:paraId="61D94F18" w14:textId="3868A9BB" w:rsidR="00275C3C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Definition </w:t>
            </w:r>
            <w:proofErr w:type="gramStart"/>
            <w:r>
              <w:rPr>
                <w:b/>
                <w:bCs/>
                <w:color w:val="000000" w:themeColor="text1"/>
                <w:sz w:val="20"/>
                <w:szCs w:val="20"/>
              </w:rPr>
              <w:t>of</w:t>
            </w: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CI</w:t>
            </w:r>
            <w:proofErr w:type="gramEnd"/>
            <w:r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</w:p>
          <w:p w14:paraId="29EFDB13" w14:textId="2244393C" w:rsidR="00275C3C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abnormality </w:t>
            </w: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in the CI group</w:t>
            </w:r>
          </w:p>
          <w:p w14:paraId="2CDE314D" w14:textId="70D30862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14:paraId="55F9BA76" w14:textId="00252A8E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Outcome (%)</w:t>
            </w:r>
          </w:p>
        </w:tc>
        <w:tc>
          <w:tcPr>
            <w:tcW w:w="992" w:type="dxa"/>
          </w:tcPr>
          <w:p w14:paraId="061A0E5F" w14:textId="76FE0D6D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P</w:t>
            </w:r>
          </w:p>
        </w:tc>
      </w:tr>
      <w:tr w:rsidR="00275C3C" w:rsidRPr="00E63BED" w14:paraId="11B5BC6C" w14:textId="30A60218" w:rsidTr="00E94DB9">
        <w:trPr>
          <w:trHeight w:val="444"/>
        </w:trPr>
        <w:tc>
          <w:tcPr>
            <w:tcW w:w="1129" w:type="dxa"/>
            <w:vMerge/>
          </w:tcPr>
          <w:p w14:paraId="2216ABF7" w14:textId="18E5FD13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ACFD934" w14:textId="53EEB1F7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9B4691E" w14:textId="5DBCE645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dxa"/>
          </w:tcPr>
          <w:p w14:paraId="45760999" w14:textId="1EE11387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Non-CI</w:t>
            </w:r>
          </w:p>
        </w:tc>
        <w:tc>
          <w:tcPr>
            <w:tcW w:w="708" w:type="dxa"/>
          </w:tcPr>
          <w:p w14:paraId="5C5B0E38" w14:textId="12EBBE46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CI</w:t>
            </w:r>
          </w:p>
        </w:tc>
        <w:tc>
          <w:tcPr>
            <w:tcW w:w="993" w:type="dxa"/>
          </w:tcPr>
          <w:p w14:paraId="2C3D59CE" w14:textId="7D056ED7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Non-CI</w:t>
            </w:r>
          </w:p>
        </w:tc>
        <w:tc>
          <w:tcPr>
            <w:tcW w:w="992" w:type="dxa"/>
          </w:tcPr>
          <w:p w14:paraId="48AAF70C" w14:textId="62BB5581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CI</w:t>
            </w:r>
          </w:p>
        </w:tc>
        <w:tc>
          <w:tcPr>
            <w:tcW w:w="850" w:type="dxa"/>
          </w:tcPr>
          <w:p w14:paraId="61D45E93" w14:textId="61E94A47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Non-CI</w:t>
            </w:r>
          </w:p>
        </w:tc>
        <w:tc>
          <w:tcPr>
            <w:tcW w:w="714" w:type="dxa"/>
          </w:tcPr>
          <w:p w14:paraId="2B3D17BA" w14:textId="460A1E47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CI</w:t>
            </w:r>
          </w:p>
        </w:tc>
        <w:tc>
          <w:tcPr>
            <w:tcW w:w="1985" w:type="dxa"/>
            <w:vMerge/>
          </w:tcPr>
          <w:p w14:paraId="61286BFD" w14:textId="77777777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C40ABE" w14:textId="631614CA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Non-CI</w:t>
            </w:r>
          </w:p>
        </w:tc>
        <w:tc>
          <w:tcPr>
            <w:tcW w:w="1276" w:type="dxa"/>
          </w:tcPr>
          <w:p w14:paraId="38DD0280" w14:textId="369F7F09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3BED">
              <w:rPr>
                <w:b/>
                <w:bCs/>
                <w:color w:val="000000" w:themeColor="text1"/>
                <w:sz w:val="20"/>
                <w:szCs w:val="20"/>
              </w:rPr>
              <w:t>CI</w:t>
            </w:r>
          </w:p>
        </w:tc>
        <w:tc>
          <w:tcPr>
            <w:tcW w:w="992" w:type="dxa"/>
          </w:tcPr>
          <w:p w14:paraId="6BAB134E" w14:textId="6F886AE6" w:rsidR="00275C3C" w:rsidRPr="00E63BED" w:rsidRDefault="00275C3C" w:rsidP="001C7175">
            <w:pPr>
              <w:widowControl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75C3C" w:rsidRPr="00E63BED" w14:paraId="151466B6" w14:textId="1D108735" w:rsidTr="00E94DB9">
        <w:trPr>
          <w:trHeight w:val="675"/>
        </w:trPr>
        <w:tc>
          <w:tcPr>
            <w:tcW w:w="1129" w:type="dxa"/>
          </w:tcPr>
          <w:p w14:paraId="5C420253" w14:textId="557879EC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Barman et al, 2020</w:t>
            </w:r>
            <w:r w:rsidRPr="00E63BED">
              <w:rPr>
                <w:color w:val="000000" w:themeColor="text1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1418" w:type="dxa"/>
          </w:tcPr>
          <w:p w14:paraId="79E56739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Retrospective cohort</w:t>
            </w:r>
          </w:p>
          <w:p w14:paraId="6B600530" w14:textId="70B5E18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Turkey</w:t>
            </w:r>
          </w:p>
        </w:tc>
        <w:tc>
          <w:tcPr>
            <w:tcW w:w="992" w:type="dxa"/>
          </w:tcPr>
          <w:p w14:paraId="5C12D3B4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491</w:t>
            </w:r>
          </w:p>
        </w:tc>
        <w:tc>
          <w:tcPr>
            <w:tcW w:w="704" w:type="dxa"/>
          </w:tcPr>
          <w:p w14:paraId="5950828C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397</w:t>
            </w:r>
          </w:p>
        </w:tc>
        <w:tc>
          <w:tcPr>
            <w:tcW w:w="708" w:type="dxa"/>
          </w:tcPr>
          <w:p w14:paraId="00AD0CC1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993" w:type="dxa"/>
          </w:tcPr>
          <w:p w14:paraId="09CEFE11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55.3 years ±15.2</w:t>
            </w:r>
          </w:p>
        </w:tc>
        <w:tc>
          <w:tcPr>
            <w:tcW w:w="992" w:type="dxa"/>
          </w:tcPr>
          <w:p w14:paraId="64F57D42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66 years ±14.5</w:t>
            </w:r>
          </w:p>
        </w:tc>
        <w:tc>
          <w:tcPr>
            <w:tcW w:w="850" w:type="dxa"/>
          </w:tcPr>
          <w:p w14:paraId="38D34354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210 M, 187 F</w:t>
            </w:r>
          </w:p>
        </w:tc>
        <w:tc>
          <w:tcPr>
            <w:tcW w:w="714" w:type="dxa"/>
          </w:tcPr>
          <w:p w14:paraId="1BCAB05B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51 M, 43 F</w:t>
            </w:r>
          </w:p>
        </w:tc>
        <w:tc>
          <w:tcPr>
            <w:tcW w:w="1985" w:type="dxa"/>
          </w:tcPr>
          <w:p w14:paraId="5D04B34D" w14:textId="2E548585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Myocardial </w:t>
            </w:r>
            <w:r w:rsidRPr="00E63BED">
              <w:rPr>
                <w:color w:val="000000" w:themeColor="text1"/>
                <w:sz w:val="20"/>
                <w:szCs w:val="20"/>
              </w:rPr>
              <w:t xml:space="preserve"> injury</w:t>
            </w:r>
            <w:proofErr w:type="gramEnd"/>
          </w:p>
          <w:p w14:paraId="49DC476F" w14:textId="52785899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(Elevated troponin I)</w:t>
            </w:r>
          </w:p>
        </w:tc>
        <w:tc>
          <w:tcPr>
            <w:tcW w:w="1134" w:type="dxa"/>
          </w:tcPr>
          <w:p w14:paraId="22AD45E4" w14:textId="2F9F4261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ICU: 17 ARDs: 16, Death: 7</w:t>
            </w:r>
          </w:p>
        </w:tc>
        <w:tc>
          <w:tcPr>
            <w:tcW w:w="1276" w:type="dxa"/>
          </w:tcPr>
          <w:p w14:paraId="6C5F0A20" w14:textId="37D0589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ICU: 68, ARDs: 68, Death: 37</w:t>
            </w:r>
          </w:p>
        </w:tc>
        <w:tc>
          <w:tcPr>
            <w:tcW w:w="992" w:type="dxa"/>
          </w:tcPr>
          <w:p w14:paraId="3412B3AF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&lt;0.001*</w:t>
            </w:r>
          </w:p>
          <w:p w14:paraId="69DFDD9E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&lt;0.001*</w:t>
            </w:r>
          </w:p>
          <w:p w14:paraId="1E1FB713" w14:textId="4C45F8FF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&lt;0.001*</w:t>
            </w:r>
          </w:p>
        </w:tc>
      </w:tr>
      <w:tr w:rsidR="00275C3C" w:rsidRPr="00E63BED" w14:paraId="2CB151B0" w14:textId="41BF1DEF" w:rsidTr="00E94DB9">
        <w:trPr>
          <w:trHeight w:val="675"/>
        </w:trPr>
        <w:tc>
          <w:tcPr>
            <w:tcW w:w="1129" w:type="dxa"/>
          </w:tcPr>
          <w:p w14:paraId="4AB51BF9" w14:textId="66301F3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 xml:space="preserve">Guo et al, 2020 </w:t>
            </w:r>
            <w:r w:rsidRPr="00E63BED">
              <w:rPr>
                <w:color w:val="000000" w:themeColor="text1"/>
                <w:sz w:val="20"/>
                <w:szCs w:val="20"/>
                <w:vertAlign w:val="superscript"/>
              </w:rPr>
              <w:t>13</w:t>
            </w:r>
          </w:p>
        </w:tc>
        <w:tc>
          <w:tcPr>
            <w:tcW w:w="1418" w:type="dxa"/>
          </w:tcPr>
          <w:p w14:paraId="410BCABB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Retrospective cohort</w:t>
            </w:r>
          </w:p>
          <w:p w14:paraId="20FF00B7" w14:textId="7C6D4C42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China</w:t>
            </w:r>
          </w:p>
        </w:tc>
        <w:tc>
          <w:tcPr>
            <w:tcW w:w="992" w:type="dxa"/>
          </w:tcPr>
          <w:p w14:paraId="1D0258B9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187</w:t>
            </w:r>
          </w:p>
        </w:tc>
        <w:tc>
          <w:tcPr>
            <w:tcW w:w="704" w:type="dxa"/>
          </w:tcPr>
          <w:p w14:paraId="7E127E28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708" w:type="dxa"/>
          </w:tcPr>
          <w:p w14:paraId="267EB347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993" w:type="dxa"/>
          </w:tcPr>
          <w:p w14:paraId="65B07040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53.53 years ± 13.22</w:t>
            </w:r>
          </w:p>
        </w:tc>
        <w:tc>
          <w:tcPr>
            <w:tcW w:w="992" w:type="dxa"/>
          </w:tcPr>
          <w:p w14:paraId="3CCF2FB3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71.40 years ± 9.43</w:t>
            </w:r>
          </w:p>
        </w:tc>
        <w:tc>
          <w:tcPr>
            <w:tcW w:w="850" w:type="dxa"/>
          </w:tcPr>
          <w:p w14:paraId="7365C7CE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57M, 78F</w:t>
            </w:r>
          </w:p>
        </w:tc>
        <w:tc>
          <w:tcPr>
            <w:tcW w:w="714" w:type="dxa"/>
          </w:tcPr>
          <w:p w14:paraId="22AF2B9D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34M, 18F</w:t>
            </w:r>
          </w:p>
        </w:tc>
        <w:tc>
          <w:tcPr>
            <w:tcW w:w="1985" w:type="dxa"/>
          </w:tcPr>
          <w:p w14:paraId="2293C3BB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Myocardial </w:t>
            </w:r>
            <w:r w:rsidRPr="00E63BED">
              <w:rPr>
                <w:color w:val="000000" w:themeColor="text1"/>
                <w:sz w:val="20"/>
                <w:szCs w:val="20"/>
              </w:rPr>
              <w:t xml:space="preserve"> injury</w:t>
            </w:r>
            <w:proofErr w:type="gramEnd"/>
          </w:p>
          <w:p w14:paraId="3528F097" w14:textId="7B93072B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(Elevated troponin T)</w:t>
            </w:r>
          </w:p>
        </w:tc>
        <w:tc>
          <w:tcPr>
            <w:tcW w:w="1134" w:type="dxa"/>
          </w:tcPr>
          <w:p w14:paraId="7EA2A06D" w14:textId="63A95AC4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Death: 8.89</w:t>
            </w:r>
          </w:p>
        </w:tc>
        <w:tc>
          <w:tcPr>
            <w:tcW w:w="1276" w:type="dxa"/>
          </w:tcPr>
          <w:p w14:paraId="3FF1720E" w14:textId="339382C4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Death: 59.62</w:t>
            </w:r>
          </w:p>
        </w:tc>
        <w:tc>
          <w:tcPr>
            <w:tcW w:w="992" w:type="dxa"/>
          </w:tcPr>
          <w:p w14:paraId="5BEC1EFB" w14:textId="3D0C6F4C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&lt;0.001*</w:t>
            </w:r>
          </w:p>
        </w:tc>
      </w:tr>
      <w:tr w:rsidR="00275C3C" w:rsidRPr="00E63BED" w14:paraId="2FE38F59" w14:textId="0C6D7621" w:rsidTr="00E94DB9">
        <w:trPr>
          <w:trHeight w:val="675"/>
        </w:trPr>
        <w:tc>
          <w:tcPr>
            <w:tcW w:w="1129" w:type="dxa"/>
          </w:tcPr>
          <w:p w14:paraId="2997952C" w14:textId="768F805F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 xml:space="preserve">Li et al, 2020 (a) </w:t>
            </w:r>
            <w:r w:rsidRPr="00E63BED">
              <w:rPr>
                <w:color w:val="000000" w:themeColor="text1"/>
                <w:sz w:val="20"/>
                <w:szCs w:val="20"/>
                <w:vertAlign w:val="superscript"/>
              </w:rPr>
              <w:t>14</w:t>
            </w:r>
            <w:r w:rsidRPr="00E63BE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EE386E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Retrospective cohort</w:t>
            </w:r>
          </w:p>
          <w:p w14:paraId="3742705B" w14:textId="44F7CC98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China</w:t>
            </w:r>
          </w:p>
        </w:tc>
        <w:tc>
          <w:tcPr>
            <w:tcW w:w="992" w:type="dxa"/>
          </w:tcPr>
          <w:p w14:paraId="636655D6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182</w:t>
            </w:r>
          </w:p>
        </w:tc>
        <w:tc>
          <w:tcPr>
            <w:tcW w:w="704" w:type="dxa"/>
          </w:tcPr>
          <w:p w14:paraId="67F7D472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708" w:type="dxa"/>
          </w:tcPr>
          <w:p w14:paraId="299E1439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993" w:type="dxa"/>
          </w:tcPr>
          <w:p w14:paraId="307A9D62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60 years (48-68)</w:t>
            </w:r>
          </w:p>
        </w:tc>
        <w:tc>
          <w:tcPr>
            <w:tcW w:w="992" w:type="dxa"/>
          </w:tcPr>
          <w:p w14:paraId="6AF487CC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71 years (66-83)</w:t>
            </w:r>
          </w:p>
        </w:tc>
        <w:tc>
          <w:tcPr>
            <w:tcW w:w="850" w:type="dxa"/>
          </w:tcPr>
          <w:p w14:paraId="420A9D16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75M 68F</w:t>
            </w:r>
          </w:p>
        </w:tc>
        <w:tc>
          <w:tcPr>
            <w:tcW w:w="714" w:type="dxa"/>
          </w:tcPr>
          <w:p w14:paraId="2C393820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24M 15F</w:t>
            </w:r>
          </w:p>
        </w:tc>
        <w:tc>
          <w:tcPr>
            <w:tcW w:w="1985" w:type="dxa"/>
          </w:tcPr>
          <w:p w14:paraId="2ABBD291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Myocardial </w:t>
            </w:r>
            <w:r w:rsidRPr="00E63BED">
              <w:rPr>
                <w:color w:val="000000" w:themeColor="text1"/>
                <w:sz w:val="20"/>
                <w:szCs w:val="20"/>
              </w:rPr>
              <w:t xml:space="preserve"> injury</w:t>
            </w:r>
            <w:proofErr w:type="gramEnd"/>
          </w:p>
          <w:p w14:paraId="2A2AE304" w14:textId="5287043E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(Elevated troponin I)</w:t>
            </w:r>
          </w:p>
        </w:tc>
        <w:tc>
          <w:tcPr>
            <w:tcW w:w="1134" w:type="dxa"/>
          </w:tcPr>
          <w:p w14:paraId="4A53DD8E" w14:textId="2460FBD9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0E6766E8" w14:textId="37AA70E6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E597587" w14:textId="20BA02D2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5C3C" w:rsidRPr="00E63BED" w14:paraId="7B49B7F2" w14:textId="28FE95F5" w:rsidTr="00E94DB9">
        <w:trPr>
          <w:trHeight w:val="675"/>
        </w:trPr>
        <w:tc>
          <w:tcPr>
            <w:tcW w:w="1129" w:type="dxa"/>
          </w:tcPr>
          <w:p w14:paraId="47FF2498" w14:textId="7A3CC2EE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 xml:space="preserve">Li et al, 2020 (b) </w:t>
            </w:r>
            <w:r w:rsidRPr="00E63BED">
              <w:rPr>
                <w:color w:val="000000" w:themeColor="text1"/>
                <w:sz w:val="20"/>
                <w:szCs w:val="20"/>
                <w:vertAlign w:val="superscript"/>
              </w:rPr>
              <w:t xml:space="preserve">15 </w:t>
            </w:r>
          </w:p>
        </w:tc>
        <w:tc>
          <w:tcPr>
            <w:tcW w:w="1418" w:type="dxa"/>
          </w:tcPr>
          <w:p w14:paraId="04CDD257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Retrospective cohort</w:t>
            </w:r>
          </w:p>
          <w:p w14:paraId="222BBE33" w14:textId="670B10BF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China</w:t>
            </w:r>
          </w:p>
        </w:tc>
        <w:tc>
          <w:tcPr>
            <w:tcW w:w="992" w:type="dxa"/>
          </w:tcPr>
          <w:p w14:paraId="5D913F50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704" w:type="dxa"/>
          </w:tcPr>
          <w:p w14:paraId="2836B5A2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708" w:type="dxa"/>
          </w:tcPr>
          <w:p w14:paraId="55E2E2F7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93" w:type="dxa"/>
          </w:tcPr>
          <w:p w14:paraId="7C29F2C5" w14:textId="0079D1A1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§</w:t>
            </w:r>
          </w:p>
        </w:tc>
        <w:tc>
          <w:tcPr>
            <w:tcW w:w="992" w:type="dxa"/>
          </w:tcPr>
          <w:p w14:paraId="705375FC" w14:textId="2CA2D7BC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§</w:t>
            </w:r>
          </w:p>
        </w:tc>
        <w:tc>
          <w:tcPr>
            <w:tcW w:w="850" w:type="dxa"/>
          </w:tcPr>
          <w:p w14:paraId="4CE23FA7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29M, 19F</w:t>
            </w:r>
          </w:p>
        </w:tc>
        <w:tc>
          <w:tcPr>
            <w:tcW w:w="714" w:type="dxa"/>
          </w:tcPr>
          <w:p w14:paraId="1EB0D44B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23M, 11F</w:t>
            </w:r>
          </w:p>
        </w:tc>
        <w:tc>
          <w:tcPr>
            <w:tcW w:w="1985" w:type="dxa"/>
          </w:tcPr>
          <w:p w14:paraId="7430DBF1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Myocardial </w:t>
            </w:r>
            <w:r w:rsidRPr="00E63BED">
              <w:rPr>
                <w:color w:val="000000" w:themeColor="text1"/>
                <w:sz w:val="20"/>
                <w:szCs w:val="20"/>
              </w:rPr>
              <w:t xml:space="preserve"> injury</w:t>
            </w:r>
            <w:proofErr w:type="gramEnd"/>
          </w:p>
          <w:p w14:paraId="00CD06EF" w14:textId="20BA8FAC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(Elevated troponin I)</w:t>
            </w:r>
          </w:p>
        </w:tc>
        <w:tc>
          <w:tcPr>
            <w:tcW w:w="1134" w:type="dxa"/>
          </w:tcPr>
          <w:p w14:paraId="548FAF74" w14:textId="0977EE74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 xml:space="preserve">Death:41.7 </w:t>
            </w:r>
          </w:p>
        </w:tc>
        <w:tc>
          <w:tcPr>
            <w:tcW w:w="1276" w:type="dxa"/>
          </w:tcPr>
          <w:p w14:paraId="274ACA90" w14:textId="1FDAEF94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Death: 88.23</w:t>
            </w:r>
          </w:p>
        </w:tc>
        <w:tc>
          <w:tcPr>
            <w:tcW w:w="992" w:type="dxa"/>
          </w:tcPr>
          <w:p w14:paraId="49CBB0A5" w14:textId="2ECAC32E" w:rsidR="00275C3C" w:rsidRPr="00E63BED" w:rsidRDefault="005C24BA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5C3C" w:rsidRPr="00E63BED" w14:paraId="1B70DFD6" w14:textId="26447F36" w:rsidTr="00E94DB9">
        <w:trPr>
          <w:trHeight w:val="675"/>
        </w:trPr>
        <w:tc>
          <w:tcPr>
            <w:tcW w:w="1129" w:type="dxa"/>
          </w:tcPr>
          <w:p w14:paraId="5622C39C" w14:textId="183755C2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Mahmoud-</w:t>
            </w:r>
            <w:proofErr w:type="spellStart"/>
            <w:r w:rsidRPr="00E63BED">
              <w:rPr>
                <w:color w:val="000000" w:themeColor="text1"/>
                <w:sz w:val="20"/>
                <w:szCs w:val="20"/>
              </w:rPr>
              <w:t>Elsayed</w:t>
            </w:r>
            <w:proofErr w:type="spellEnd"/>
            <w:r w:rsidRPr="00E63BED">
              <w:rPr>
                <w:color w:val="000000" w:themeColor="text1"/>
                <w:sz w:val="20"/>
                <w:szCs w:val="20"/>
              </w:rPr>
              <w:t xml:space="preserve"> et al, 2020 </w:t>
            </w:r>
            <w:r w:rsidRPr="00E63BED">
              <w:rPr>
                <w:color w:val="000000" w:themeColor="text1"/>
                <w:sz w:val="20"/>
                <w:szCs w:val="20"/>
                <w:vertAlign w:val="superscript"/>
              </w:rPr>
              <w:t>16</w:t>
            </w:r>
          </w:p>
        </w:tc>
        <w:tc>
          <w:tcPr>
            <w:tcW w:w="1418" w:type="dxa"/>
          </w:tcPr>
          <w:p w14:paraId="7C92A660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Retrospective cohort</w:t>
            </w:r>
          </w:p>
          <w:p w14:paraId="0EB72BE4" w14:textId="21059D4C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UK</w:t>
            </w:r>
          </w:p>
        </w:tc>
        <w:tc>
          <w:tcPr>
            <w:tcW w:w="992" w:type="dxa"/>
          </w:tcPr>
          <w:p w14:paraId="4C0D9D3E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704" w:type="dxa"/>
          </w:tcPr>
          <w:p w14:paraId="41563288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14:paraId="22DD7189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14:paraId="24595E5A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59 years ± 13</w:t>
            </w:r>
          </w:p>
        </w:tc>
        <w:tc>
          <w:tcPr>
            <w:tcW w:w="992" w:type="dxa"/>
          </w:tcPr>
          <w:p w14:paraId="13856469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58 years ± 13</w:t>
            </w:r>
          </w:p>
        </w:tc>
        <w:tc>
          <w:tcPr>
            <w:tcW w:w="850" w:type="dxa"/>
          </w:tcPr>
          <w:p w14:paraId="7F69CF15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40 M, 14 F</w:t>
            </w:r>
          </w:p>
        </w:tc>
        <w:tc>
          <w:tcPr>
            <w:tcW w:w="714" w:type="dxa"/>
          </w:tcPr>
          <w:p w14:paraId="193A48A6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18 M, 2 F</w:t>
            </w:r>
          </w:p>
        </w:tc>
        <w:tc>
          <w:tcPr>
            <w:tcW w:w="1985" w:type="dxa"/>
          </w:tcPr>
          <w:p w14:paraId="500B43FB" w14:textId="30268876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RV dilation and dysfunction</w:t>
            </w:r>
          </w:p>
          <w:p w14:paraId="6C01D10F" w14:textId="52947533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(TTE)</w:t>
            </w:r>
          </w:p>
        </w:tc>
        <w:tc>
          <w:tcPr>
            <w:tcW w:w="1134" w:type="dxa"/>
          </w:tcPr>
          <w:p w14:paraId="1CBE149A" w14:textId="24B97676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Death: 39</w:t>
            </w:r>
          </w:p>
        </w:tc>
        <w:tc>
          <w:tcPr>
            <w:tcW w:w="1276" w:type="dxa"/>
          </w:tcPr>
          <w:p w14:paraId="43291E01" w14:textId="578F80F9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Death: 35</w:t>
            </w:r>
          </w:p>
        </w:tc>
        <w:tc>
          <w:tcPr>
            <w:tcW w:w="992" w:type="dxa"/>
          </w:tcPr>
          <w:p w14:paraId="2CD10938" w14:textId="33AE79C1" w:rsidR="00275C3C" w:rsidRPr="00E63BED" w:rsidRDefault="005C24BA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5C3C" w:rsidRPr="00E63BED" w14:paraId="042ACB8E" w14:textId="6A5B7193" w:rsidTr="00E94DB9">
        <w:trPr>
          <w:trHeight w:val="675"/>
        </w:trPr>
        <w:tc>
          <w:tcPr>
            <w:tcW w:w="1129" w:type="dxa"/>
          </w:tcPr>
          <w:p w14:paraId="0479CDAD" w14:textId="772D3506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 xml:space="preserve">Shi et al, 2020 (a) </w:t>
            </w:r>
            <w:r w:rsidRPr="00E63BED">
              <w:rPr>
                <w:color w:val="000000" w:themeColor="text1"/>
                <w:sz w:val="20"/>
                <w:szCs w:val="20"/>
                <w:vertAlign w:val="superscript"/>
              </w:rPr>
              <w:t>17</w:t>
            </w:r>
          </w:p>
          <w:p w14:paraId="5447D58E" w14:textId="38746DB6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FC405F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Retrospective cohort</w:t>
            </w:r>
          </w:p>
          <w:p w14:paraId="62D886FE" w14:textId="563E4DBC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China</w:t>
            </w:r>
          </w:p>
        </w:tc>
        <w:tc>
          <w:tcPr>
            <w:tcW w:w="992" w:type="dxa"/>
          </w:tcPr>
          <w:p w14:paraId="0137A8CA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671</w:t>
            </w:r>
          </w:p>
        </w:tc>
        <w:tc>
          <w:tcPr>
            <w:tcW w:w="704" w:type="dxa"/>
          </w:tcPr>
          <w:p w14:paraId="4F530C19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565</w:t>
            </w:r>
          </w:p>
        </w:tc>
        <w:tc>
          <w:tcPr>
            <w:tcW w:w="708" w:type="dxa"/>
          </w:tcPr>
          <w:p w14:paraId="4003F632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993" w:type="dxa"/>
          </w:tcPr>
          <w:p w14:paraId="7308BCAB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57 years (43-70)</w:t>
            </w:r>
          </w:p>
        </w:tc>
        <w:tc>
          <w:tcPr>
            <w:tcW w:w="992" w:type="dxa"/>
          </w:tcPr>
          <w:p w14:paraId="313AEA87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73 years (66-80)</w:t>
            </w:r>
          </w:p>
        </w:tc>
        <w:tc>
          <w:tcPr>
            <w:tcW w:w="850" w:type="dxa"/>
          </w:tcPr>
          <w:p w14:paraId="3C440101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264M 301F</w:t>
            </w:r>
          </w:p>
        </w:tc>
        <w:tc>
          <w:tcPr>
            <w:tcW w:w="714" w:type="dxa"/>
          </w:tcPr>
          <w:p w14:paraId="17E7538A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58M 48F</w:t>
            </w:r>
          </w:p>
        </w:tc>
        <w:tc>
          <w:tcPr>
            <w:tcW w:w="1985" w:type="dxa"/>
          </w:tcPr>
          <w:p w14:paraId="349D795D" w14:textId="77777777" w:rsidR="00175A0F" w:rsidRDefault="00175A0F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Myocardial </w:t>
            </w:r>
            <w:r w:rsidRPr="00E63BED">
              <w:rPr>
                <w:color w:val="000000" w:themeColor="text1"/>
                <w:sz w:val="20"/>
                <w:szCs w:val="20"/>
              </w:rPr>
              <w:t xml:space="preserve"> injury</w:t>
            </w:r>
            <w:proofErr w:type="gramEnd"/>
          </w:p>
          <w:p w14:paraId="207C963F" w14:textId="755D8E56" w:rsidR="00275C3C" w:rsidRPr="00E63BED" w:rsidRDefault="00175A0F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(Elevated troponin I)</w:t>
            </w:r>
          </w:p>
        </w:tc>
        <w:tc>
          <w:tcPr>
            <w:tcW w:w="1134" w:type="dxa"/>
          </w:tcPr>
          <w:p w14:paraId="669CC2CE" w14:textId="1B0AEEE9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6EA4376" w14:textId="0D7C121A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120F223" w14:textId="6BCF1E6C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5C3C" w:rsidRPr="00E63BED" w14:paraId="5FE5AADE" w14:textId="77F60B78" w:rsidTr="00E94DB9">
        <w:trPr>
          <w:trHeight w:val="675"/>
        </w:trPr>
        <w:tc>
          <w:tcPr>
            <w:tcW w:w="1129" w:type="dxa"/>
          </w:tcPr>
          <w:p w14:paraId="5CF0B999" w14:textId="79063925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 xml:space="preserve">Shi et al, 2020 (b) </w:t>
            </w:r>
            <w:r w:rsidRPr="00E63BED">
              <w:rPr>
                <w:color w:val="000000" w:themeColor="text1"/>
                <w:sz w:val="20"/>
                <w:szCs w:val="20"/>
                <w:vertAlign w:val="superscript"/>
              </w:rPr>
              <w:t>18</w:t>
            </w:r>
          </w:p>
          <w:p w14:paraId="78CFB736" w14:textId="65A1A2A0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B7F017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Retrospective cohort</w:t>
            </w:r>
          </w:p>
          <w:p w14:paraId="53B48E66" w14:textId="0882454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China</w:t>
            </w:r>
          </w:p>
        </w:tc>
        <w:tc>
          <w:tcPr>
            <w:tcW w:w="992" w:type="dxa"/>
          </w:tcPr>
          <w:p w14:paraId="19747636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416</w:t>
            </w:r>
          </w:p>
        </w:tc>
        <w:tc>
          <w:tcPr>
            <w:tcW w:w="704" w:type="dxa"/>
          </w:tcPr>
          <w:p w14:paraId="23E7ADBE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334</w:t>
            </w:r>
          </w:p>
        </w:tc>
        <w:tc>
          <w:tcPr>
            <w:tcW w:w="708" w:type="dxa"/>
          </w:tcPr>
          <w:p w14:paraId="0A010760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993" w:type="dxa"/>
          </w:tcPr>
          <w:p w14:paraId="6484ADF0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60 years (21-90)</w:t>
            </w:r>
          </w:p>
        </w:tc>
        <w:tc>
          <w:tcPr>
            <w:tcW w:w="992" w:type="dxa"/>
          </w:tcPr>
          <w:p w14:paraId="5111B5A4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74 years (34-95)</w:t>
            </w:r>
          </w:p>
        </w:tc>
        <w:tc>
          <w:tcPr>
            <w:tcW w:w="850" w:type="dxa"/>
          </w:tcPr>
          <w:p w14:paraId="2F722C2C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161 M, 173 F</w:t>
            </w:r>
          </w:p>
        </w:tc>
        <w:tc>
          <w:tcPr>
            <w:tcW w:w="714" w:type="dxa"/>
          </w:tcPr>
          <w:p w14:paraId="4A15546C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44 M, 38 F</w:t>
            </w:r>
          </w:p>
        </w:tc>
        <w:tc>
          <w:tcPr>
            <w:tcW w:w="1985" w:type="dxa"/>
          </w:tcPr>
          <w:p w14:paraId="2FE825D6" w14:textId="77777777" w:rsidR="00175A0F" w:rsidRDefault="00175A0F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Myocardial </w:t>
            </w:r>
            <w:r w:rsidRPr="00E63BED">
              <w:rPr>
                <w:color w:val="000000" w:themeColor="text1"/>
                <w:sz w:val="20"/>
                <w:szCs w:val="20"/>
              </w:rPr>
              <w:t xml:space="preserve"> injury</w:t>
            </w:r>
            <w:proofErr w:type="gramEnd"/>
          </w:p>
          <w:p w14:paraId="2F54952B" w14:textId="212A76AD" w:rsidR="00275C3C" w:rsidRPr="00E63BED" w:rsidRDefault="00175A0F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(Elevated troponin I)</w:t>
            </w:r>
          </w:p>
        </w:tc>
        <w:tc>
          <w:tcPr>
            <w:tcW w:w="1134" w:type="dxa"/>
          </w:tcPr>
          <w:p w14:paraId="5AEB559B" w14:textId="4A79181F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Death: 4.5</w:t>
            </w:r>
          </w:p>
        </w:tc>
        <w:tc>
          <w:tcPr>
            <w:tcW w:w="1276" w:type="dxa"/>
          </w:tcPr>
          <w:p w14:paraId="114003FD" w14:textId="67EC3F50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Death: 51.2</w:t>
            </w:r>
          </w:p>
        </w:tc>
        <w:tc>
          <w:tcPr>
            <w:tcW w:w="992" w:type="dxa"/>
          </w:tcPr>
          <w:p w14:paraId="3522E3DE" w14:textId="6D45C31E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&lt;0.001*</w:t>
            </w:r>
          </w:p>
        </w:tc>
      </w:tr>
      <w:tr w:rsidR="00275C3C" w:rsidRPr="00E63BED" w14:paraId="106966D8" w14:textId="168C9D6F" w:rsidTr="00E94DB9">
        <w:trPr>
          <w:trHeight w:val="675"/>
        </w:trPr>
        <w:tc>
          <w:tcPr>
            <w:tcW w:w="1129" w:type="dxa"/>
          </w:tcPr>
          <w:p w14:paraId="08D8FC11" w14:textId="57FFDA4E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 xml:space="preserve">Wei et al, 2020 </w:t>
            </w:r>
            <w:r w:rsidRPr="00E63BED">
              <w:rPr>
                <w:color w:val="000000" w:themeColor="text1"/>
                <w:sz w:val="20"/>
                <w:szCs w:val="20"/>
                <w:vertAlign w:val="superscript"/>
              </w:rPr>
              <w:t>19</w:t>
            </w:r>
          </w:p>
        </w:tc>
        <w:tc>
          <w:tcPr>
            <w:tcW w:w="1418" w:type="dxa"/>
          </w:tcPr>
          <w:p w14:paraId="04A71516" w14:textId="77777777" w:rsidR="00275C3C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Prospective cohort</w:t>
            </w:r>
          </w:p>
          <w:p w14:paraId="074ABD7E" w14:textId="18E09083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China</w:t>
            </w:r>
          </w:p>
        </w:tc>
        <w:tc>
          <w:tcPr>
            <w:tcW w:w="992" w:type="dxa"/>
          </w:tcPr>
          <w:p w14:paraId="128590AA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704" w:type="dxa"/>
          </w:tcPr>
          <w:p w14:paraId="290B778A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708" w:type="dxa"/>
          </w:tcPr>
          <w:p w14:paraId="37F5C24C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14:paraId="6A2BBD4A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47 years (33–55)</w:t>
            </w:r>
          </w:p>
        </w:tc>
        <w:tc>
          <w:tcPr>
            <w:tcW w:w="992" w:type="dxa"/>
          </w:tcPr>
          <w:p w14:paraId="2B09BE5D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67 years (61.0–80.5)</w:t>
            </w:r>
          </w:p>
        </w:tc>
        <w:tc>
          <w:tcPr>
            <w:tcW w:w="850" w:type="dxa"/>
          </w:tcPr>
          <w:p w14:paraId="2FD8C0A4" w14:textId="77777777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47M, 38F</w:t>
            </w:r>
          </w:p>
        </w:tc>
        <w:tc>
          <w:tcPr>
            <w:tcW w:w="714" w:type="dxa"/>
          </w:tcPr>
          <w:p w14:paraId="296318AA" w14:textId="575FC7EB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7M,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63BED">
              <w:rPr>
                <w:color w:val="000000" w:themeColor="text1"/>
                <w:sz w:val="20"/>
                <w:szCs w:val="20"/>
              </w:rPr>
              <w:t>9F</w:t>
            </w:r>
          </w:p>
        </w:tc>
        <w:tc>
          <w:tcPr>
            <w:tcW w:w="1985" w:type="dxa"/>
          </w:tcPr>
          <w:p w14:paraId="51FE1C0F" w14:textId="77777777" w:rsidR="00175A0F" w:rsidRDefault="00175A0F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Myocardial </w:t>
            </w:r>
            <w:r w:rsidRPr="00E63BED">
              <w:rPr>
                <w:color w:val="000000" w:themeColor="text1"/>
                <w:sz w:val="20"/>
                <w:szCs w:val="20"/>
              </w:rPr>
              <w:t xml:space="preserve"> injury</w:t>
            </w:r>
            <w:proofErr w:type="gramEnd"/>
          </w:p>
          <w:p w14:paraId="59B5F75D" w14:textId="75178105" w:rsidR="00275C3C" w:rsidRPr="00E63BED" w:rsidRDefault="00175A0F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(Elevated troponin T)</w:t>
            </w:r>
          </w:p>
        </w:tc>
        <w:tc>
          <w:tcPr>
            <w:tcW w:w="1134" w:type="dxa"/>
          </w:tcPr>
          <w:p w14:paraId="34DFA12C" w14:textId="70EA0453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Death</w:t>
            </w:r>
            <w:r w:rsidRPr="00E63BED">
              <w:rPr>
                <w:color w:val="000000" w:themeColor="text1"/>
                <w:sz w:val="20"/>
                <w:szCs w:val="20"/>
              </w:rPr>
              <w:t>: 0</w:t>
            </w:r>
          </w:p>
        </w:tc>
        <w:tc>
          <w:tcPr>
            <w:tcW w:w="1276" w:type="dxa"/>
          </w:tcPr>
          <w:p w14:paraId="0236EE87" w14:textId="5ABD47FD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D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eath</w:t>
            </w:r>
            <w:proofErr w:type="spellEnd"/>
            <w:r w:rsidRPr="00E63BED">
              <w:rPr>
                <w:color w:val="000000" w:themeColor="text1"/>
                <w:sz w:val="20"/>
                <w:szCs w:val="20"/>
              </w:rPr>
              <w:t>: 18.8</w:t>
            </w:r>
          </w:p>
        </w:tc>
        <w:tc>
          <w:tcPr>
            <w:tcW w:w="992" w:type="dxa"/>
          </w:tcPr>
          <w:p w14:paraId="2B806060" w14:textId="285B34AF" w:rsidR="00275C3C" w:rsidRPr="00E63BED" w:rsidRDefault="00275C3C" w:rsidP="001C717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E63BED">
              <w:rPr>
                <w:color w:val="000000" w:themeColor="text1"/>
                <w:sz w:val="20"/>
                <w:szCs w:val="20"/>
              </w:rPr>
              <w:t>&lt;0.001*</w:t>
            </w:r>
          </w:p>
        </w:tc>
      </w:tr>
    </w:tbl>
    <w:p w14:paraId="5CAE85DD" w14:textId="77777777" w:rsidR="000F60E1" w:rsidRPr="00E63BED" w:rsidRDefault="000F60E1" w:rsidP="001B23A3">
      <w:pPr>
        <w:jc w:val="center"/>
        <w:rPr>
          <w:color w:val="000000" w:themeColor="text1"/>
          <w:sz w:val="20"/>
          <w:szCs w:val="20"/>
        </w:rPr>
      </w:pPr>
    </w:p>
    <w:p w14:paraId="6E5F49CC" w14:textId="45E1D9DB" w:rsidR="0041334F" w:rsidRDefault="00E074C9" w:rsidP="005640D3">
      <w:pPr>
        <w:rPr>
          <w:bCs/>
          <w:color w:val="000000" w:themeColor="text1"/>
          <w:sz w:val="20"/>
          <w:szCs w:val="20"/>
        </w:rPr>
      </w:pPr>
      <w:r w:rsidRPr="00E63BED">
        <w:rPr>
          <w:b/>
          <w:color w:val="000000" w:themeColor="text1"/>
          <w:sz w:val="20"/>
          <w:szCs w:val="20"/>
        </w:rPr>
        <w:t>CI</w:t>
      </w:r>
      <w:r w:rsidR="004A3772" w:rsidRPr="00E63BED">
        <w:rPr>
          <w:b/>
          <w:color w:val="000000" w:themeColor="text1"/>
          <w:sz w:val="20"/>
          <w:szCs w:val="20"/>
        </w:rPr>
        <w:t>:</w:t>
      </w:r>
      <w:r w:rsidR="004A3772" w:rsidRPr="00E63BED">
        <w:rPr>
          <w:bCs/>
          <w:color w:val="000000" w:themeColor="text1"/>
          <w:sz w:val="20"/>
          <w:szCs w:val="20"/>
        </w:rPr>
        <w:t xml:space="preserve"> </w:t>
      </w:r>
      <w:r w:rsidRPr="00E63BED">
        <w:rPr>
          <w:bCs/>
          <w:color w:val="000000" w:themeColor="text1"/>
          <w:sz w:val="20"/>
          <w:szCs w:val="20"/>
        </w:rPr>
        <w:t>Cardi</w:t>
      </w:r>
      <w:r w:rsidR="001658B7">
        <w:rPr>
          <w:bCs/>
          <w:color w:val="000000" w:themeColor="text1"/>
          <w:sz w:val="20"/>
          <w:szCs w:val="20"/>
        </w:rPr>
        <w:t>ac</w:t>
      </w:r>
      <w:r w:rsidRPr="00E63BED">
        <w:rPr>
          <w:bCs/>
          <w:color w:val="000000" w:themeColor="text1"/>
          <w:sz w:val="20"/>
          <w:szCs w:val="20"/>
        </w:rPr>
        <w:t xml:space="preserve"> </w:t>
      </w:r>
      <w:r w:rsidR="004A3772" w:rsidRPr="00E63BED">
        <w:rPr>
          <w:bCs/>
          <w:color w:val="000000" w:themeColor="text1"/>
          <w:sz w:val="20"/>
          <w:szCs w:val="20"/>
        </w:rPr>
        <w:t>Injury</w:t>
      </w:r>
      <w:r w:rsidR="00530701">
        <w:rPr>
          <w:bCs/>
          <w:color w:val="000000" w:themeColor="text1"/>
          <w:sz w:val="20"/>
          <w:szCs w:val="20"/>
        </w:rPr>
        <w:t xml:space="preserve">; </w:t>
      </w:r>
      <w:r w:rsidR="00530701" w:rsidRPr="003C5059">
        <w:rPr>
          <w:b/>
          <w:color w:val="000000" w:themeColor="text1"/>
          <w:sz w:val="20"/>
          <w:szCs w:val="20"/>
        </w:rPr>
        <w:t>RV:</w:t>
      </w:r>
      <w:r w:rsidR="00530701">
        <w:rPr>
          <w:bCs/>
          <w:color w:val="000000" w:themeColor="text1"/>
          <w:sz w:val="20"/>
          <w:szCs w:val="20"/>
        </w:rPr>
        <w:t xml:space="preserve"> Right Ventricle; TTE: Transthoracic Echocardiography</w:t>
      </w:r>
      <w:r w:rsidR="00B42108">
        <w:rPr>
          <w:bCs/>
          <w:color w:val="000000" w:themeColor="text1"/>
          <w:sz w:val="20"/>
          <w:szCs w:val="20"/>
        </w:rPr>
        <w:t>.</w:t>
      </w:r>
    </w:p>
    <w:p w14:paraId="38F820FD" w14:textId="16BFBB45" w:rsidR="00FA09DF" w:rsidRPr="00E63BED" w:rsidRDefault="00FA09DF" w:rsidP="005640D3">
      <w:pPr>
        <w:rPr>
          <w:bCs/>
          <w:color w:val="000000" w:themeColor="text1"/>
          <w:sz w:val="20"/>
          <w:szCs w:val="20"/>
        </w:rPr>
      </w:pPr>
      <w:r w:rsidRPr="00E63BED">
        <w:rPr>
          <w:bCs/>
          <w:color w:val="000000" w:themeColor="text1"/>
          <w:sz w:val="20"/>
          <w:szCs w:val="20"/>
        </w:rPr>
        <w:t>§: Non-C</w:t>
      </w:r>
      <w:r w:rsidR="00961FDD" w:rsidRPr="00E63BED">
        <w:rPr>
          <w:bCs/>
          <w:color w:val="000000" w:themeColor="text1"/>
          <w:sz w:val="20"/>
          <w:szCs w:val="20"/>
        </w:rPr>
        <w:t>I</w:t>
      </w:r>
      <w:r w:rsidRPr="00E63BED">
        <w:rPr>
          <w:bCs/>
          <w:color w:val="000000" w:themeColor="text1"/>
          <w:sz w:val="20"/>
          <w:szCs w:val="20"/>
        </w:rPr>
        <w:t xml:space="preserve">: 37.5% &gt; 70 years and 62.5% </w:t>
      </w:r>
      <w:r w:rsidR="00B42108">
        <w:rPr>
          <w:bCs/>
          <w:color w:val="000000" w:themeColor="text1"/>
          <w:sz w:val="20"/>
          <w:szCs w:val="20"/>
        </w:rPr>
        <w:t>&lt;</w:t>
      </w:r>
      <w:r w:rsidRPr="00E63BED">
        <w:rPr>
          <w:bCs/>
          <w:color w:val="000000" w:themeColor="text1"/>
          <w:sz w:val="20"/>
          <w:szCs w:val="20"/>
        </w:rPr>
        <w:t xml:space="preserve"> 70 years, CI: 70.59% &gt; 70 years and 29.41% </w:t>
      </w:r>
      <w:r w:rsidR="00B42108">
        <w:rPr>
          <w:bCs/>
          <w:color w:val="000000" w:themeColor="text1"/>
          <w:sz w:val="20"/>
          <w:szCs w:val="20"/>
        </w:rPr>
        <w:t>&lt;</w:t>
      </w:r>
      <w:r w:rsidRPr="00E63BED">
        <w:rPr>
          <w:bCs/>
          <w:color w:val="000000" w:themeColor="text1"/>
          <w:sz w:val="20"/>
          <w:szCs w:val="20"/>
        </w:rPr>
        <w:t>70 years.</w:t>
      </w:r>
    </w:p>
    <w:p w14:paraId="249A5065" w14:textId="77777777" w:rsidR="00B7591F" w:rsidRPr="00E63BED" w:rsidRDefault="00B7591F" w:rsidP="005640D3">
      <w:pPr>
        <w:rPr>
          <w:b/>
          <w:color w:val="000000" w:themeColor="text1"/>
          <w:sz w:val="20"/>
          <w:szCs w:val="20"/>
        </w:rPr>
      </w:pPr>
    </w:p>
    <w:p w14:paraId="16156431" w14:textId="77777777" w:rsidR="005E0D97" w:rsidRDefault="005E0D97" w:rsidP="005640D3">
      <w:pPr>
        <w:rPr>
          <w:b/>
          <w:color w:val="000000" w:themeColor="text1"/>
          <w:sz w:val="20"/>
          <w:szCs w:val="20"/>
        </w:rPr>
      </w:pPr>
    </w:p>
    <w:p w14:paraId="67185652" w14:textId="77777777" w:rsidR="00275C3C" w:rsidRDefault="00275C3C" w:rsidP="005640D3">
      <w:pPr>
        <w:rPr>
          <w:b/>
          <w:color w:val="000000" w:themeColor="text1"/>
          <w:sz w:val="20"/>
          <w:szCs w:val="20"/>
        </w:rPr>
      </w:pPr>
    </w:p>
    <w:p w14:paraId="62D8A207" w14:textId="77777777" w:rsidR="00254E48" w:rsidRDefault="00254E48" w:rsidP="005640D3">
      <w:pPr>
        <w:rPr>
          <w:b/>
          <w:color w:val="000000" w:themeColor="text1"/>
          <w:sz w:val="20"/>
          <w:szCs w:val="20"/>
        </w:rPr>
      </w:pPr>
    </w:p>
    <w:sectPr w:rsidR="00254E48" w:rsidSect="008A6DA5">
      <w:footerReference w:type="even" r:id="rId8"/>
      <w:footerReference w:type="default" r:id="rId9"/>
      <w:pgSz w:w="16840" w:h="1190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CE8D3" w14:textId="77777777" w:rsidR="00696892" w:rsidRDefault="00696892" w:rsidP="001C7175">
      <w:r>
        <w:separator/>
      </w:r>
    </w:p>
  </w:endnote>
  <w:endnote w:type="continuationSeparator" w:id="0">
    <w:p w14:paraId="1D25523A" w14:textId="77777777" w:rsidR="00696892" w:rsidRDefault="00696892" w:rsidP="001C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408633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8CFB395" w14:textId="4EBF6151" w:rsidR="0055686A" w:rsidRDefault="0055686A" w:rsidP="009B09B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B2BC273" w14:textId="77777777" w:rsidR="0055686A" w:rsidRDefault="0055686A" w:rsidP="001C71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4442632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C1B29D" w14:textId="023E6BCE" w:rsidR="0055686A" w:rsidRDefault="0055686A" w:rsidP="009B09B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12CFBB9" w14:textId="77777777" w:rsidR="0055686A" w:rsidRDefault="0055686A" w:rsidP="001C71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149D2" w14:textId="77777777" w:rsidR="00696892" w:rsidRDefault="00696892" w:rsidP="001C7175">
      <w:r>
        <w:separator/>
      </w:r>
    </w:p>
  </w:footnote>
  <w:footnote w:type="continuationSeparator" w:id="0">
    <w:p w14:paraId="5E1E9C85" w14:textId="77777777" w:rsidR="00696892" w:rsidRDefault="00696892" w:rsidP="001C7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0A03E3"/>
    <w:multiLevelType w:val="hybridMultilevel"/>
    <w:tmpl w:val="A580C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0E1"/>
    <w:rsid w:val="00012707"/>
    <w:rsid w:val="00016C0B"/>
    <w:rsid w:val="0002370E"/>
    <w:rsid w:val="00024172"/>
    <w:rsid w:val="000269F3"/>
    <w:rsid w:val="00060CB3"/>
    <w:rsid w:val="00061011"/>
    <w:rsid w:val="000A1610"/>
    <w:rsid w:val="000E329F"/>
    <w:rsid w:val="000F60E1"/>
    <w:rsid w:val="001027A8"/>
    <w:rsid w:val="001131F8"/>
    <w:rsid w:val="0012641A"/>
    <w:rsid w:val="00151057"/>
    <w:rsid w:val="001641A7"/>
    <w:rsid w:val="001658B7"/>
    <w:rsid w:val="00171FA9"/>
    <w:rsid w:val="00175A0F"/>
    <w:rsid w:val="001935CA"/>
    <w:rsid w:val="00194161"/>
    <w:rsid w:val="001B23A3"/>
    <w:rsid w:val="001C1CD9"/>
    <w:rsid w:val="001C7175"/>
    <w:rsid w:val="001D010C"/>
    <w:rsid w:val="00225703"/>
    <w:rsid w:val="0024044A"/>
    <w:rsid w:val="00241907"/>
    <w:rsid w:val="00254E48"/>
    <w:rsid w:val="002573DC"/>
    <w:rsid w:val="00275C3C"/>
    <w:rsid w:val="00284237"/>
    <w:rsid w:val="002967FA"/>
    <w:rsid w:val="002B0A25"/>
    <w:rsid w:val="002C16E0"/>
    <w:rsid w:val="002D2190"/>
    <w:rsid w:val="002E61B9"/>
    <w:rsid w:val="002F5290"/>
    <w:rsid w:val="00304D8E"/>
    <w:rsid w:val="003157D6"/>
    <w:rsid w:val="00323357"/>
    <w:rsid w:val="00336F8D"/>
    <w:rsid w:val="00342909"/>
    <w:rsid w:val="0039131B"/>
    <w:rsid w:val="0039520A"/>
    <w:rsid w:val="00395BA7"/>
    <w:rsid w:val="003A62D9"/>
    <w:rsid w:val="003A6A63"/>
    <w:rsid w:val="003B1D1A"/>
    <w:rsid w:val="003C5059"/>
    <w:rsid w:val="003C50E6"/>
    <w:rsid w:val="003D6751"/>
    <w:rsid w:val="004038E9"/>
    <w:rsid w:val="00410BE0"/>
    <w:rsid w:val="0041334F"/>
    <w:rsid w:val="00424522"/>
    <w:rsid w:val="0042610F"/>
    <w:rsid w:val="00432B85"/>
    <w:rsid w:val="00435242"/>
    <w:rsid w:val="00442B3F"/>
    <w:rsid w:val="00444C81"/>
    <w:rsid w:val="00456229"/>
    <w:rsid w:val="004604E7"/>
    <w:rsid w:val="004610D4"/>
    <w:rsid w:val="004648AB"/>
    <w:rsid w:val="00496702"/>
    <w:rsid w:val="004A3772"/>
    <w:rsid w:val="004E182D"/>
    <w:rsid w:val="004F717A"/>
    <w:rsid w:val="0050156C"/>
    <w:rsid w:val="00502A54"/>
    <w:rsid w:val="00507F1C"/>
    <w:rsid w:val="00530701"/>
    <w:rsid w:val="00531324"/>
    <w:rsid w:val="005425A5"/>
    <w:rsid w:val="0055686A"/>
    <w:rsid w:val="005611B5"/>
    <w:rsid w:val="005640D3"/>
    <w:rsid w:val="00572608"/>
    <w:rsid w:val="00586448"/>
    <w:rsid w:val="00591CC9"/>
    <w:rsid w:val="005A69B1"/>
    <w:rsid w:val="005B14C8"/>
    <w:rsid w:val="005B2AA4"/>
    <w:rsid w:val="005C24BA"/>
    <w:rsid w:val="005D685D"/>
    <w:rsid w:val="005E0D97"/>
    <w:rsid w:val="005E3063"/>
    <w:rsid w:val="005E45FF"/>
    <w:rsid w:val="005F5E2D"/>
    <w:rsid w:val="0060685F"/>
    <w:rsid w:val="00635D48"/>
    <w:rsid w:val="00637EDD"/>
    <w:rsid w:val="0065157E"/>
    <w:rsid w:val="00676167"/>
    <w:rsid w:val="00677DCE"/>
    <w:rsid w:val="006850FC"/>
    <w:rsid w:val="00696892"/>
    <w:rsid w:val="006D2D92"/>
    <w:rsid w:val="006E139A"/>
    <w:rsid w:val="006F36AD"/>
    <w:rsid w:val="006F50F6"/>
    <w:rsid w:val="00717F5F"/>
    <w:rsid w:val="0072295A"/>
    <w:rsid w:val="007269DB"/>
    <w:rsid w:val="00726CF8"/>
    <w:rsid w:val="00735DA0"/>
    <w:rsid w:val="00762B78"/>
    <w:rsid w:val="00763194"/>
    <w:rsid w:val="00763AFB"/>
    <w:rsid w:val="007A1BC2"/>
    <w:rsid w:val="007A4CBE"/>
    <w:rsid w:val="007B64EB"/>
    <w:rsid w:val="007C375D"/>
    <w:rsid w:val="007D15E2"/>
    <w:rsid w:val="007D5D7B"/>
    <w:rsid w:val="00814355"/>
    <w:rsid w:val="008166BB"/>
    <w:rsid w:val="0082238B"/>
    <w:rsid w:val="00831D03"/>
    <w:rsid w:val="008453A0"/>
    <w:rsid w:val="0084707F"/>
    <w:rsid w:val="00874AA4"/>
    <w:rsid w:val="008A2693"/>
    <w:rsid w:val="008A6DA5"/>
    <w:rsid w:val="008B5A30"/>
    <w:rsid w:val="008C17DD"/>
    <w:rsid w:val="008C2AF6"/>
    <w:rsid w:val="008D0BB1"/>
    <w:rsid w:val="008D1584"/>
    <w:rsid w:val="008F0497"/>
    <w:rsid w:val="008F3F57"/>
    <w:rsid w:val="008F69B4"/>
    <w:rsid w:val="00900DB1"/>
    <w:rsid w:val="00903CDA"/>
    <w:rsid w:val="00925352"/>
    <w:rsid w:val="0092653C"/>
    <w:rsid w:val="00934FE7"/>
    <w:rsid w:val="00943E6A"/>
    <w:rsid w:val="00961FDD"/>
    <w:rsid w:val="00976535"/>
    <w:rsid w:val="00992152"/>
    <w:rsid w:val="009A4A2F"/>
    <w:rsid w:val="009B09B4"/>
    <w:rsid w:val="009B55F0"/>
    <w:rsid w:val="009B7DA2"/>
    <w:rsid w:val="009F340F"/>
    <w:rsid w:val="00A23A92"/>
    <w:rsid w:val="00A25409"/>
    <w:rsid w:val="00A30FCA"/>
    <w:rsid w:val="00A451D2"/>
    <w:rsid w:val="00A50BA9"/>
    <w:rsid w:val="00A54C8A"/>
    <w:rsid w:val="00A66909"/>
    <w:rsid w:val="00A8676E"/>
    <w:rsid w:val="00A94BCA"/>
    <w:rsid w:val="00AB12F7"/>
    <w:rsid w:val="00AB277C"/>
    <w:rsid w:val="00AC0D54"/>
    <w:rsid w:val="00AD64FC"/>
    <w:rsid w:val="00AE5098"/>
    <w:rsid w:val="00AF0F70"/>
    <w:rsid w:val="00AF7826"/>
    <w:rsid w:val="00B42108"/>
    <w:rsid w:val="00B74895"/>
    <w:rsid w:val="00B7591F"/>
    <w:rsid w:val="00BA420F"/>
    <w:rsid w:val="00BB0AF4"/>
    <w:rsid w:val="00BB737F"/>
    <w:rsid w:val="00BC1C21"/>
    <w:rsid w:val="00BC6CE9"/>
    <w:rsid w:val="00BE4084"/>
    <w:rsid w:val="00C12808"/>
    <w:rsid w:val="00C17BA3"/>
    <w:rsid w:val="00C27A3C"/>
    <w:rsid w:val="00C413EB"/>
    <w:rsid w:val="00C50116"/>
    <w:rsid w:val="00C56B94"/>
    <w:rsid w:val="00C633C7"/>
    <w:rsid w:val="00C66711"/>
    <w:rsid w:val="00C70E7A"/>
    <w:rsid w:val="00C724F7"/>
    <w:rsid w:val="00C91715"/>
    <w:rsid w:val="00CA0300"/>
    <w:rsid w:val="00CB3241"/>
    <w:rsid w:val="00CB3526"/>
    <w:rsid w:val="00CD7713"/>
    <w:rsid w:val="00CF6CD7"/>
    <w:rsid w:val="00D01A9D"/>
    <w:rsid w:val="00D53786"/>
    <w:rsid w:val="00D6192B"/>
    <w:rsid w:val="00D62F49"/>
    <w:rsid w:val="00D7266B"/>
    <w:rsid w:val="00DA4493"/>
    <w:rsid w:val="00DD6A9C"/>
    <w:rsid w:val="00DE0F4B"/>
    <w:rsid w:val="00E074C9"/>
    <w:rsid w:val="00E17507"/>
    <w:rsid w:val="00E2582A"/>
    <w:rsid w:val="00E446C1"/>
    <w:rsid w:val="00E63BED"/>
    <w:rsid w:val="00E84FE2"/>
    <w:rsid w:val="00E85340"/>
    <w:rsid w:val="00E87D28"/>
    <w:rsid w:val="00E90021"/>
    <w:rsid w:val="00E94DB9"/>
    <w:rsid w:val="00EA182B"/>
    <w:rsid w:val="00EC1C2B"/>
    <w:rsid w:val="00F31973"/>
    <w:rsid w:val="00F33E51"/>
    <w:rsid w:val="00F35418"/>
    <w:rsid w:val="00F4216A"/>
    <w:rsid w:val="00F55157"/>
    <w:rsid w:val="00F90FB1"/>
    <w:rsid w:val="00F966BE"/>
    <w:rsid w:val="00FA09DF"/>
    <w:rsid w:val="00FE1713"/>
    <w:rsid w:val="00FE1801"/>
    <w:rsid w:val="00FE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85050"/>
  <w15:docId w15:val="{D8E950C9-09D8-C04E-971C-4DDE7D3A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17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6B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B94"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B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B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B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94"/>
    <w:rPr>
      <w:rFonts w:eastAsia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94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56B9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6B9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56B9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56B94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56B94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56B9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17F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D1584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254E4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1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C7175"/>
  </w:style>
  <w:style w:type="table" w:styleId="ListTable2">
    <w:name w:val="List Table 2"/>
    <w:basedOn w:val="TableNormal"/>
    <w:uiPriority w:val="47"/>
    <w:rsid w:val="00E94DB9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565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8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8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3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8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2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6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7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2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0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2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4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D2C062-5AFE-9841-93A7-8AC63458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Dalia E. M.  Zakaria</cp:lastModifiedBy>
  <cp:revision>3</cp:revision>
  <cp:lastPrinted>2020-12-20T11:02:00Z</cp:lastPrinted>
  <dcterms:created xsi:type="dcterms:W3CDTF">2021-04-27T10:16:00Z</dcterms:created>
  <dcterms:modified xsi:type="dcterms:W3CDTF">2021-04-27T10:16:00Z</dcterms:modified>
</cp:coreProperties>
</file>