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FB9E" w14:textId="70C6919E" w:rsidR="00D27EB9" w:rsidRPr="004A0885" w:rsidRDefault="00D27EB9" w:rsidP="00D27EB9">
      <w:pPr>
        <w:jc w:val="center"/>
        <w:rPr>
          <w:rFonts w:ascii="Book Antiqua" w:hAnsi="Book Antiqua" w:cs="Times New Roman"/>
          <w:b/>
          <w:sz w:val="28"/>
          <w:szCs w:val="28"/>
        </w:rPr>
      </w:pPr>
      <w:r w:rsidRPr="004A0885">
        <w:rPr>
          <w:rFonts w:ascii="Book Antiqua" w:hAnsi="Book Antiqua" w:cs="Times New Roman"/>
          <w:b/>
          <w:sz w:val="28"/>
          <w:szCs w:val="28"/>
        </w:rPr>
        <w:t xml:space="preserve">Supplementary Information File </w:t>
      </w:r>
      <w:r w:rsidR="00500305">
        <w:rPr>
          <w:rFonts w:ascii="Book Antiqua" w:hAnsi="Book Antiqua" w:cs="Times New Roman"/>
          <w:b/>
          <w:sz w:val="28"/>
          <w:szCs w:val="28"/>
        </w:rPr>
        <w:t>2.</w:t>
      </w:r>
    </w:p>
    <w:p w14:paraId="1074AF33" w14:textId="77777777" w:rsidR="00D27EB9" w:rsidRPr="004A0885" w:rsidRDefault="00D27EB9" w:rsidP="00D27EB9">
      <w:pPr>
        <w:jc w:val="center"/>
        <w:rPr>
          <w:rFonts w:ascii="Book Antiqua" w:hAnsi="Book Antiqua" w:cs="Times New Roman"/>
          <w:b/>
          <w:sz w:val="28"/>
          <w:szCs w:val="28"/>
        </w:rPr>
      </w:pPr>
      <w:r w:rsidRPr="004A0885">
        <w:rPr>
          <w:rFonts w:ascii="Book Antiqua" w:hAnsi="Book Antiqua" w:cs="Times New Roman"/>
          <w:b/>
          <w:sz w:val="28"/>
          <w:szCs w:val="28"/>
        </w:rPr>
        <w:t>For</w:t>
      </w:r>
    </w:p>
    <w:p w14:paraId="6771DFFD" w14:textId="77777777" w:rsidR="00D27EB9" w:rsidRDefault="00D27EB9" w:rsidP="00D27EB9">
      <w:pPr>
        <w:spacing w:line="360" w:lineRule="auto"/>
        <w:jc w:val="center"/>
        <w:rPr>
          <w:rFonts w:ascii="Book Antiqua" w:hAnsi="Book Antiqua" w:cstheme="majorBidi"/>
          <w:b/>
          <w:bCs/>
          <w:sz w:val="28"/>
          <w:szCs w:val="28"/>
        </w:rPr>
      </w:pPr>
    </w:p>
    <w:p w14:paraId="3115FFBC" w14:textId="429EEB6C" w:rsidR="00D27EB9" w:rsidRDefault="00C66388" w:rsidP="006C5F45">
      <w:pPr>
        <w:spacing w:line="360" w:lineRule="auto"/>
        <w:jc w:val="center"/>
        <w:rPr>
          <w:rFonts w:ascii="Book Antiqua" w:hAnsi="Book Antiqua" w:cstheme="majorBidi"/>
          <w:b/>
          <w:bCs/>
          <w:sz w:val="28"/>
          <w:szCs w:val="28"/>
        </w:rPr>
      </w:pPr>
      <w:r w:rsidRPr="00C66388">
        <w:rPr>
          <w:rFonts w:ascii="Book Antiqua" w:hAnsi="Book Antiqua" w:cstheme="majorBidi"/>
          <w:b/>
          <w:bCs/>
          <w:sz w:val="28"/>
          <w:szCs w:val="28"/>
        </w:rPr>
        <w:t>A Systematic Review of the Sustainability of Global Liquified Natural Gas Industry: A 10-years Update</w:t>
      </w:r>
    </w:p>
    <w:p w14:paraId="0CFA0622" w14:textId="77777777" w:rsidR="006C5F45" w:rsidRPr="006C5F45" w:rsidRDefault="006C5F45" w:rsidP="006C5F45">
      <w:pPr>
        <w:spacing w:line="360" w:lineRule="auto"/>
        <w:jc w:val="center"/>
        <w:rPr>
          <w:rFonts w:ascii="Book Antiqua" w:hAnsi="Book Antiqua" w:cstheme="majorBidi"/>
          <w:b/>
          <w:bCs/>
          <w:sz w:val="28"/>
          <w:szCs w:val="28"/>
        </w:rPr>
      </w:pPr>
    </w:p>
    <w:p w14:paraId="6D313A82" w14:textId="6A301FBD" w:rsidR="006C5F45" w:rsidRPr="006E5866" w:rsidRDefault="006C5F45" w:rsidP="006C5F45">
      <w:pPr>
        <w:pStyle w:val="MDPI13authornames"/>
        <w:jc w:val="center"/>
        <w:rPr>
          <w:sz w:val="22"/>
          <w:szCs w:val="24"/>
        </w:rPr>
      </w:pPr>
      <w:r w:rsidRPr="006E5866">
        <w:rPr>
          <w:sz w:val="22"/>
          <w:szCs w:val="24"/>
        </w:rPr>
        <w:t xml:space="preserve">Hussein Al-Yafei </w:t>
      </w:r>
      <w:r w:rsidRPr="006E5866">
        <w:rPr>
          <w:sz w:val="22"/>
          <w:szCs w:val="24"/>
          <w:vertAlign w:val="superscript"/>
        </w:rPr>
        <w:t>1</w:t>
      </w:r>
      <w:r w:rsidRPr="006E5866">
        <w:rPr>
          <w:sz w:val="22"/>
          <w:szCs w:val="24"/>
        </w:rPr>
        <w:t xml:space="preserve">, Saleh Aseel </w:t>
      </w:r>
      <w:r w:rsidRPr="006E5866">
        <w:rPr>
          <w:sz w:val="22"/>
          <w:szCs w:val="24"/>
          <w:vertAlign w:val="superscript"/>
        </w:rPr>
        <w:t>1</w:t>
      </w:r>
      <w:r w:rsidRPr="006E5866">
        <w:rPr>
          <w:sz w:val="22"/>
          <w:szCs w:val="24"/>
        </w:rPr>
        <w:t xml:space="preserve">, Murat Kucukvar </w:t>
      </w:r>
      <w:r w:rsidRPr="006E5866">
        <w:rPr>
          <w:sz w:val="22"/>
          <w:szCs w:val="24"/>
          <w:vertAlign w:val="superscript"/>
        </w:rPr>
        <w:t>2,*</w:t>
      </w:r>
      <w:r w:rsidRPr="006E5866">
        <w:rPr>
          <w:sz w:val="22"/>
          <w:szCs w:val="24"/>
        </w:rPr>
        <w:t>, Nuri C. Onat</w:t>
      </w:r>
      <w:r w:rsidR="00C5011A">
        <w:rPr>
          <w:sz w:val="22"/>
          <w:szCs w:val="24"/>
        </w:rPr>
        <w:t xml:space="preserve"> </w:t>
      </w:r>
      <w:r w:rsidRPr="006E5866">
        <w:rPr>
          <w:sz w:val="22"/>
          <w:szCs w:val="24"/>
          <w:vertAlign w:val="superscript"/>
        </w:rPr>
        <w:t>3</w:t>
      </w:r>
      <w:r w:rsidRPr="006E5866">
        <w:rPr>
          <w:sz w:val="22"/>
          <w:szCs w:val="24"/>
        </w:rPr>
        <w:t xml:space="preserve">, Ahmed Al-Sulaiti </w:t>
      </w:r>
      <w:r w:rsidRPr="006E5866">
        <w:rPr>
          <w:sz w:val="22"/>
          <w:szCs w:val="24"/>
          <w:vertAlign w:val="superscript"/>
        </w:rPr>
        <w:t>1</w:t>
      </w:r>
      <w:r w:rsidRPr="006E5866">
        <w:rPr>
          <w:sz w:val="22"/>
          <w:szCs w:val="24"/>
        </w:rPr>
        <w:t>, Abdulla Al-</w:t>
      </w:r>
      <w:proofErr w:type="spellStart"/>
      <w:r w:rsidRPr="006E5866">
        <w:rPr>
          <w:sz w:val="22"/>
          <w:szCs w:val="24"/>
        </w:rPr>
        <w:t>Hajri</w:t>
      </w:r>
      <w:proofErr w:type="spellEnd"/>
      <w:r w:rsidRPr="006E5866">
        <w:rPr>
          <w:sz w:val="22"/>
          <w:szCs w:val="24"/>
        </w:rPr>
        <w:t xml:space="preserve"> </w:t>
      </w:r>
      <w:r w:rsidRPr="006E5866">
        <w:rPr>
          <w:sz w:val="22"/>
          <w:szCs w:val="24"/>
          <w:vertAlign w:val="superscript"/>
        </w:rPr>
        <w:t>1</w:t>
      </w:r>
    </w:p>
    <w:p w14:paraId="1426E646" w14:textId="77777777" w:rsidR="00D27EB9" w:rsidRDefault="00D27EB9" w:rsidP="00D27EB9">
      <w:pPr>
        <w:spacing w:after="0" w:line="480" w:lineRule="auto"/>
        <w:jc w:val="center"/>
        <w:rPr>
          <w:rFonts w:ascii="Book Antiqua" w:hAnsi="Book Antiqua" w:cstheme="majorBidi"/>
          <w:b/>
          <w:bCs/>
          <w:szCs w:val="24"/>
        </w:rPr>
      </w:pPr>
    </w:p>
    <w:p w14:paraId="335CD5AF" w14:textId="65BA6513" w:rsidR="00D27EB9" w:rsidRDefault="00D27EB9" w:rsidP="00D27EB9">
      <w:pPr>
        <w:pStyle w:val="MDPI16affiliation"/>
        <w:rPr>
          <w:rFonts w:ascii="Book Antiqua" w:eastAsiaTheme="minorHAnsi" w:hAnsi="Book Antiqua" w:cstheme="majorBidi"/>
          <w:bCs/>
          <w:i/>
          <w:iCs/>
          <w:color w:val="auto"/>
          <w:sz w:val="20"/>
          <w:szCs w:val="24"/>
          <w:lang w:eastAsia="en-US" w:bidi="ar-SA"/>
        </w:rPr>
      </w:pPr>
      <w:r w:rsidRPr="005B6C5F">
        <w:rPr>
          <w:rFonts w:ascii="Book Antiqua" w:hAnsi="Book Antiqua" w:cstheme="majorBidi"/>
          <w:bCs/>
          <w:i/>
          <w:iCs/>
          <w:sz w:val="20"/>
          <w:szCs w:val="24"/>
          <w:vertAlign w:val="superscript"/>
        </w:rPr>
        <w:t>1</w:t>
      </w:r>
      <w:r w:rsidRPr="005B6C5F">
        <w:rPr>
          <w:rFonts w:ascii="Book Antiqua" w:hAnsi="Book Antiqua" w:cstheme="majorBidi"/>
          <w:bCs/>
          <w:i/>
          <w:iCs/>
          <w:sz w:val="20"/>
          <w:szCs w:val="24"/>
        </w:rPr>
        <w:t xml:space="preserve"> </w:t>
      </w:r>
      <w:r w:rsidRPr="00D27EB9">
        <w:rPr>
          <w:rFonts w:ascii="Book Antiqua" w:eastAsiaTheme="minorHAnsi" w:hAnsi="Book Antiqua" w:cstheme="majorBidi"/>
          <w:bCs/>
          <w:i/>
          <w:iCs/>
          <w:color w:val="auto"/>
          <w:sz w:val="20"/>
          <w:szCs w:val="24"/>
          <w:lang w:eastAsia="en-US" w:bidi="ar-SA"/>
        </w:rPr>
        <w:t>Engineering Management, College of Engineering, Qatar University, Doha, Qatar</w:t>
      </w:r>
    </w:p>
    <w:p w14:paraId="0B7E74A4" w14:textId="716D15A2" w:rsidR="00D27EB9" w:rsidRDefault="00D27EB9" w:rsidP="00D27EB9">
      <w:pPr>
        <w:pStyle w:val="MDPI16affiliation"/>
        <w:rPr>
          <w:rFonts w:ascii="Book Antiqua" w:hAnsi="Book Antiqua" w:cstheme="majorBidi"/>
          <w:bCs/>
          <w:i/>
          <w:iCs/>
          <w:sz w:val="20"/>
          <w:szCs w:val="24"/>
        </w:rPr>
      </w:pPr>
      <w:r>
        <w:rPr>
          <w:rFonts w:ascii="Book Antiqua" w:hAnsi="Book Antiqua" w:cstheme="majorBidi"/>
          <w:bCs/>
          <w:i/>
          <w:iCs/>
          <w:sz w:val="20"/>
          <w:szCs w:val="24"/>
          <w:vertAlign w:val="superscript"/>
        </w:rPr>
        <w:t xml:space="preserve">2 </w:t>
      </w:r>
      <w:r w:rsidRPr="005B6C5F">
        <w:rPr>
          <w:rFonts w:ascii="Book Antiqua" w:hAnsi="Book Antiqua" w:cstheme="majorBidi"/>
          <w:bCs/>
          <w:i/>
          <w:iCs/>
          <w:sz w:val="20"/>
          <w:szCs w:val="24"/>
        </w:rPr>
        <w:t>Mechanical and Industrial Engineering, College of Engineering, Qatar University, Doha, Qatar</w:t>
      </w:r>
    </w:p>
    <w:p w14:paraId="6061A449" w14:textId="69D8AA22" w:rsidR="006C5F45" w:rsidRPr="006C5F45" w:rsidRDefault="006C5F45" w:rsidP="006C5F45">
      <w:pPr>
        <w:pStyle w:val="MDPI16affiliation"/>
        <w:rPr>
          <w:rFonts w:ascii="Book Antiqua" w:eastAsiaTheme="minorHAnsi" w:hAnsi="Book Antiqua" w:cstheme="majorBidi"/>
          <w:bCs/>
          <w:i/>
          <w:iCs/>
          <w:color w:val="auto"/>
          <w:sz w:val="20"/>
          <w:szCs w:val="24"/>
          <w:lang w:eastAsia="en-US" w:bidi="ar-SA"/>
        </w:rPr>
      </w:pPr>
      <w:r>
        <w:rPr>
          <w:rFonts w:ascii="Book Antiqua" w:hAnsi="Book Antiqua" w:cstheme="majorBidi"/>
          <w:bCs/>
          <w:i/>
          <w:iCs/>
          <w:sz w:val="20"/>
          <w:szCs w:val="24"/>
          <w:vertAlign w:val="superscript"/>
        </w:rPr>
        <w:t>3</w:t>
      </w:r>
      <w:r w:rsidRPr="006C5F45">
        <w:rPr>
          <w:rFonts w:ascii="Book Antiqua" w:eastAsiaTheme="minorHAnsi" w:hAnsi="Book Antiqua" w:cstheme="majorBidi"/>
          <w:bCs/>
          <w:i/>
          <w:iCs/>
          <w:color w:val="auto"/>
          <w:sz w:val="20"/>
          <w:szCs w:val="24"/>
          <w:lang w:eastAsia="en-US" w:bidi="ar-SA"/>
        </w:rPr>
        <w:t>Qatar Transportation and Traffic Safety Center, College of Engineering, Qatar University, Doha, Qatar</w:t>
      </w:r>
    </w:p>
    <w:p w14:paraId="1CE87716" w14:textId="77777777" w:rsidR="006C5F45" w:rsidRPr="006C5F45" w:rsidRDefault="006C5F45" w:rsidP="006C5F45">
      <w:pPr>
        <w:pStyle w:val="MDPI16affiliation"/>
        <w:rPr>
          <w:rFonts w:ascii="Book Antiqua" w:eastAsiaTheme="minorHAnsi" w:hAnsi="Book Antiqua" w:cstheme="majorBidi"/>
          <w:bCs/>
          <w:i/>
          <w:iCs/>
          <w:color w:val="auto"/>
          <w:sz w:val="20"/>
          <w:szCs w:val="24"/>
          <w:lang w:eastAsia="en-US" w:bidi="ar-SA"/>
        </w:rPr>
      </w:pPr>
      <w:r w:rsidRPr="006C5F45">
        <w:rPr>
          <w:rFonts w:ascii="Book Antiqua" w:eastAsiaTheme="minorHAnsi" w:hAnsi="Book Antiqua" w:cstheme="majorBidi"/>
          <w:bCs/>
          <w:i/>
          <w:iCs/>
          <w:color w:val="auto"/>
          <w:sz w:val="20"/>
          <w:szCs w:val="24"/>
          <w:lang w:eastAsia="en-US" w:bidi="ar-SA"/>
        </w:rPr>
        <w:t>*</w:t>
      </w:r>
      <w:r w:rsidRPr="006C5F45">
        <w:rPr>
          <w:rFonts w:ascii="Book Antiqua" w:eastAsiaTheme="minorHAnsi" w:hAnsi="Book Antiqua" w:cstheme="majorBidi"/>
          <w:bCs/>
          <w:i/>
          <w:iCs/>
          <w:color w:val="auto"/>
          <w:sz w:val="20"/>
          <w:szCs w:val="24"/>
          <w:lang w:eastAsia="en-US" w:bidi="ar-SA"/>
        </w:rPr>
        <w:tab/>
        <w:t xml:space="preserve">Corresponding author: </w:t>
      </w:r>
      <w:hyperlink r:id="rId8" w:history="1">
        <w:r w:rsidRPr="006C5F45">
          <w:rPr>
            <w:rFonts w:ascii="Book Antiqua" w:eastAsiaTheme="minorHAnsi" w:hAnsi="Book Antiqua"/>
            <w:bCs/>
            <w:i/>
            <w:iCs/>
            <w:color w:val="auto"/>
            <w:szCs w:val="24"/>
            <w:lang w:eastAsia="en-US" w:bidi="ar-SA"/>
          </w:rPr>
          <w:t>mkucukvar@qu.edu.qa</w:t>
        </w:r>
      </w:hyperlink>
    </w:p>
    <w:p w14:paraId="00E3CE95" w14:textId="77777777" w:rsidR="006C5F45" w:rsidRPr="005B6C5F" w:rsidRDefault="006C5F45" w:rsidP="00D27EB9">
      <w:pPr>
        <w:pStyle w:val="MDPI16affiliation"/>
        <w:rPr>
          <w:rFonts w:ascii="Book Antiqua" w:hAnsi="Book Antiqua" w:cstheme="majorBidi"/>
          <w:bCs/>
          <w:i/>
          <w:iCs/>
          <w:sz w:val="20"/>
          <w:szCs w:val="24"/>
        </w:rPr>
      </w:pPr>
    </w:p>
    <w:p w14:paraId="0D4D77CC" w14:textId="77777777" w:rsidR="00D27EB9" w:rsidRDefault="00D27EB9" w:rsidP="00D27EB9">
      <w:pPr>
        <w:spacing w:line="360" w:lineRule="auto"/>
        <w:jc w:val="center"/>
        <w:rPr>
          <w:rFonts w:ascii="Book Antiqua" w:hAnsi="Book Antiqua" w:cstheme="majorBidi"/>
          <w:b/>
          <w:bCs/>
          <w:sz w:val="28"/>
          <w:szCs w:val="28"/>
        </w:rPr>
      </w:pPr>
    </w:p>
    <w:p w14:paraId="6FF973C5" w14:textId="77777777" w:rsidR="00D27EB9" w:rsidRDefault="00D27EB9" w:rsidP="00D27EB9">
      <w:pPr>
        <w:rPr>
          <w:rFonts w:ascii="Book Antiqua" w:hAnsi="Book Antiqua" w:cstheme="majorBidi"/>
          <w:bCs/>
          <w:szCs w:val="24"/>
          <w:vertAlign w:val="superscript"/>
        </w:rPr>
      </w:pPr>
    </w:p>
    <w:p w14:paraId="4FDB4247" w14:textId="77777777" w:rsidR="00D27EB9" w:rsidRDefault="00D27EB9" w:rsidP="00D27EB9">
      <w:pPr>
        <w:rPr>
          <w:rFonts w:ascii="Book Antiqua" w:hAnsi="Book Antiqua" w:cstheme="majorBidi"/>
          <w:bCs/>
          <w:szCs w:val="24"/>
          <w:vertAlign w:val="superscript"/>
        </w:rPr>
      </w:pPr>
    </w:p>
    <w:p w14:paraId="298A856C" w14:textId="77777777" w:rsidR="00D27EB9" w:rsidRDefault="00D27EB9" w:rsidP="00D27EB9">
      <w:pPr>
        <w:rPr>
          <w:rFonts w:ascii="Book Antiqua" w:hAnsi="Book Antiqua" w:cstheme="majorBidi"/>
          <w:bCs/>
          <w:szCs w:val="24"/>
          <w:vertAlign w:val="superscript"/>
        </w:rPr>
      </w:pPr>
    </w:p>
    <w:p w14:paraId="422D3BBA" w14:textId="77777777" w:rsidR="00D27EB9" w:rsidRDefault="00D27EB9" w:rsidP="00D27EB9">
      <w:pPr>
        <w:rPr>
          <w:rFonts w:ascii="Book Antiqua" w:hAnsi="Book Antiqua" w:cstheme="majorBidi"/>
          <w:bCs/>
          <w:szCs w:val="24"/>
          <w:vertAlign w:val="superscript"/>
        </w:rPr>
      </w:pPr>
    </w:p>
    <w:p w14:paraId="5C5930F3" w14:textId="77777777" w:rsidR="00D27EB9" w:rsidRDefault="00D27EB9" w:rsidP="00D27EB9">
      <w:pPr>
        <w:rPr>
          <w:rFonts w:ascii="Book Antiqua" w:hAnsi="Book Antiqua" w:cstheme="majorBidi"/>
          <w:bCs/>
          <w:szCs w:val="24"/>
          <w:vertAlign w:val="superscript"/>
        </w:rPr>
      </w:pPr>
    </w:p>
    <w:p w14:paraId="64B7C712" w14:textId="77777777" w:rsidR="00D27EB9" w:rsidRDefault="00D27EB9" w:rsidP="00D27EB9">
      <w:pPr>
        <w:rPr>
          <w:rFonts w:ascii="Book Antiqua" w:hAnsi="Book Antiqua" w:cstheme="majorBidi"/>
          <w:bCs/>
          <w:szCs w:val="24"/>
          <w:vertAlign w:val="superscript"/>
        </w:rPr>
      </w:pPr>
    </w:p>
    <w:p w14:paraId="795CF3D9" w14:textId="77777777" w:rsidR="00D27EB9" w:rsidRDefault="00D27EB9" w:rsidP="00D27EB9"/>
    <w:p w14:paraId="7E03C4C3" w14:textId="77777777" w:rsidR="00D27EB9" w:rsidRDefault="00D27EB9" w:rsidP="00D27EB9"/>
    <w:p w14:paraId="71A073A2" w14:textId="77777777" w:rsidR="00D27EB9" w:rsidRDefault="00D27EB9" w:rsidP="00D27EB9"/>
    <w:p w14:paraId="3381055D" w14:textId="77777777" w:rsidR="00D27EB9" w:rsidRDefault="00D27EB9" w:rsidP="00D27EB9"/>
    <w:p w14:paraId="77B78FD5" w14:textId="77777777" w:rsidR="00D27EB9" w:rsidRDefault="00D27EB9" w:rsidP="00D27EB9"/>
    <w:p w14:paraId="5815D06B" w14:textId="77777777" w:rsidR="00D27EB9" w:rsidRDefault="00D27EB9" w:rsidP="00D27EB9"/>
    <w:p w14:paraId="57E98464" w14:textId="77777777" w:rsidR="00D27EB9" w:rsidRDefault="00D27EB9" w:rsidP="00D27EB9"/>
    <w:p w14:paraId="3488E345" w14:textId="77777777" w:rsidR="00D27EB9" w:rsidRDefault="00D27EB9" w:rsidP="00D27EB9"/>
    <w:p w14:paraId="028399F9" w14:textId="77777777" w:rsidR="00D27EB9" w:rsidRDefault="00D27EB9" w:rsidP="00D27EB9"/>
    <w:p w14:paraId="0DB69903" w14:textId="77777777" w:rsidR="00D27EB9" w:rsidRDefault="00D27EB9" w:rsidP="00D27EB9"/>
    <w:p w14:paraId="3118BA5F" w14:textId="77777777" w:rsidR="00D27EB9" w:rsidRDefault="00D27EB9" w:rsidP="00D27EB9"/>
    <w:p w14:paraId="1CB2946C" w14:textId="77777777" w:rsidR="00D27EB9" w:rsidRDefault="00D27EB9" w:rsidP="00D27EB9"/>
    <w:sdt>
      <w:sdtPr>
        <w:rPr>
          <w:rFonts w:asciiTheme="majorBidi" w:eastAsiaTheme="minorHAnsi" w:hAnsiTheme="majorBidi" w:cstheme="minorBidi"/>
          <w:b/>
          <w:bCs/>
          <w:color w:val="auto"/>
          <w:sz w:val="22"/>
          <w:szCs w:val="22"/>
        </w:rPr>
        <w:id w:val="885299998"/>
        <w:docPartObj>
          <w:docPartGallery w:val="Table of Contents"/>
          <w:docPartUnique/>
        </w:docPartObj>
      </w:sdtPr>
      <w:sdtEndPr>
        <w:rPr>
          <w:rFonts w:ascii="Book Antiqua" w:hAnsi="Book Antiqua"/>
          <w:b w:val="0"/>
          <w:bCs w:val="0"/>
        </w:rPr>
      </w:sdtEndPr>
      <w:sdtContent>
        <w:p w14:paraId="09F4B8C5" w14:textId="77777777" w:rsidR="00D27EB9" w:rsidRPr="00855F84" w:rsidRDefault="00D27EB9" w:rsidP="00D27EB9">
          <w:pPr>
            <w:pStyle w:val="TOCHeading"/>
            <w:jc w:val="center"/>
            <w:rPr>
              <w:rFonts w:ascii="Book Antiqua" w:hAnsi="Book Antiqua"/>
              <w:b/>
              <w:bCs/>
              <w:color w:val="auto"/>
            </w:rPr>
          </w:pPr>
          <w:r w:rsidRPr="00855F84">
            <w:rPr>
              <w:rFonts w:ascii="Book Antiqua" w:hAnsi="Book Antiqua"/>
              <w:b/>
              <w:bCs/>
              <w:color w:val="auto"/>
            </w:rPr>
            <w:t>TABLE OF CONTENTS</w:t>
          </w:r>
        </w:p>
        <w:p w14:paraId="0C6126A0" w14:textId="77777777" w:rsidR="00D27EB9" w:rsidRPr="00855F84" w:rsidRDefault="00D27EB9" w:rsidP="00D27EB9">
          <w:pPr>
            <w:rPr>
              <w:rFonts w:ascii="Book Antiqua" w:hAnsi="Book Antiqua" w:cstheme="majorBidi"/>
            </w:rPr>
          </w:pPr>
        </w:p>
        <w:p w14:paraId="610FAE8D" w14:textId="27669A93" w:rsidR="00364CDE" w:rsidRPr="00364CDE" w:rsidRDefault="00D27EB9">
          <w:pPr>
            <w:pStyle w:val="TOC1"/>
            <w:tabs>
              <w:tab w:val="left" w:pos="440"/>
              <w:tab w:val="right" w:leader="dot" w:pos="8296"/>
            </w:tabs>
            <w:rPr>
              <w:rFonts w:ascii="Book Antiqua" w:eastAsiaTheme="minorEastAsia" w:hAnsi="Book Antiqua"/>
              <w:noProof/>
              <w:lang w:val="en-GB" w:eastAsia="en-GB"/>
            </w:rPr>
          </w:pPr>
          <w:r w:rsidRPr="00855F84">
            <w:rPr>
              <w:rFonts w:ascii="Book Antiqua" w:hAnsi="Book Antiqua" w:cstheme="majorBidi"/>
              <w:b/>
              <w:bCs/>
              <w:noProof/>
            </w:rPr>
            <w:fldChar w:fldCharType="begin"/>
          </w:r>
          <w:r w:rsidRPr="00855F84">
            <w:rPr>
              <w:rFonts w:ascii="Book Antiqua" w:hAnsi="Book Antiqua" w:cstheme="majorBidi"/>
              <w:b/>
              <w:bCs/>
              <w:noProof/>
            </w:rPr>
            <w:instrText xml:space="preserve"> TOC \o "1-3" \h \z \u </w:instrText>
          </w:r>
          <w:r w:rsidRPr="00855F84">
            <w:rPr>
              <w:rFonts w:ascii="Book Antiqua" w:hAnsi="Book Antiqua" w:cstheme="majorBidi"/>
              <w:b/>
              <w:bCs/>
              <w:noProof/>
            </w:rPr>
            <w:fldChar w:fldCharType="separate"/>
          </w:r>
          <w:hyperlink w:anchor="_Toc52635260" w:history="1">
            <w:r w:rsidR="00364CDE" w:rsidRPr="00364CDE">
              <w:rPr>
                <w:rStyle w:val="Hyperlink"/>
                <w:rFonts w:ascii="Book Antiqua" w:hAnsi="Book Antiqua"/>
                <w:noProof/>
              </w:rPr>
              <w:t>1.</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noProof/>
              </w:rPr>
              <w:t>Acronyms</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_Toc52635260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3</w:t>
            </w:r>
            <w:r w:rsidR="00364CDE" w:rsidRPr="00364CDE">
              <w:rPr>
                <w:rFonts w:ascii="Book Antiqua" w:hAnsi="Book Antiqua"/>
                <w:noProof/>
                <w:webHidden/>
              </w:rPr>
              <w:fldChar w:fldCharType="end"/>
            </w:r>
          </w:hyperlink>
        </w:p>
        <w:p w14:paraId="31A842AC" w14:textId="1A43E572" w:rsidR="00364CDE" w:rsidRPr="00364CDE" w:rsidRDefault="00F71475">
          <w:pPr>
            <w:pStyle w:val="TOC1"/>
            <w:tabs>
              <w:tab w:val="left" w:pos="440"/>
              <w:tab w:val="right" w:leader="dot" w:pos="8296"/>
            </w:tabs>
            <w:rPr>
              <w:rFonts w:ascii="Book Antiqua" w:eastAsiaTheme="minorEastAsia" w:hAnsi="Book Antiqua"/>
              <w:noProof/>
              <w:lang w:val="en-GB" w:eastAsia="en-GB"/>
            </w:rPr>
          </w:pPr>
          <w:hyperlink w:anchor="_Toc52635261" w:history="1">
            <w:r w:rsidR="00364CDE" w:rsidRPr="00364CDE">
              <w:rPr>
                <w:rStyle w:val="Hyperlink"/>
                <w:rFonts w:ascii="Book Antiqua" w:hAnsi="Book Antiqua"/>
                <w:noProof/>
              </w:rPr>
              <w:t>2.</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noProof/>
              </w:rPr>
              <w:t>Further Literature Review</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_Toc52635261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4</w:t>
            </w:r>
            <w:r w:rsidR="00364CDE" w:rsidRPr="00364CDE">
              <w:rPr>
                <w:rFonts w:ascii="Book Antiqua" w:hAnsi="Book Antiqua"/>
                <w:noProof/>
                <w:webHidden/>
              </w:rPr>
              <w:fldChar w:fldCharType="end"/>
            </w:r>
          </w:hyperlink>
        </w:p>
        <w:p w14:paraId="1F128618" w14:textId="2F8CC650" w:rsidR="00364CDE" w:rsidRPr="00364CDE" w:rsidRDefault="00F71475">
          <w:pPr>
            <w:pStyle w:val="TOC2"/>
            <w:tabs>
              <w:tab w:val="left" w:pos="880"/>
              <w:tab w:val="right" w:leader="dot" w:pos="8296"/>
            </w:tabs>
            <w:rPr>
              <w:rFonts w:ascii="Book Antiqua" w:eastAsiaTheme="minorEastAsia" w:hAnsi="Book Antiqua"/>
              <w:noProof/>
              <w:lang w:val="en-GB" w:eastAsia="en-GB"/>
            </w:rPr>
          </w:pPr>
          <w:hyperlink w:anchor="_Toc52635262" w:history="1">
            <w:r w:rsidR="00364CDE" w:rsidRPr="00364CDE">
              <w:rPr>
                <w:rStyle w:val="Hyperlink"/>
                <w:rFonts w:ascii="Book Antiqua" w:hAnsi="Book Antiqua"/>
                <w:i/>
                <w:iCs/>
                <w:noProof/>
              </w:rPr>
              <w:t>2.1.</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i/>
                <w:iCs/>
                <w:noProof/>
              </w:rPr>
              <w:t>Transportation of LNG product</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_Toc52635262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4</w:t>
            </w:r>
            <w:r w:rsidR="00364CDE" w:rsidRPr="00364CDE">
              <w:rPr>
                <w:rFonts w:ascii="Book Antiqua" w:hAnsi="Book Antiqua"/>
                <w:noProof/>
                <w:webHidden/>
              </w:rPr>
              <w:fldChar w:fldCharType="end"/>
            </w:r>
          </w:hyperlink>
        </w:p>
        <w:p w14:paraId="24AF16BF" w14:textId="1A59DF64" w:rsidR="00364CDE" w:rsidRPr="00364CDE" w:rsidRDefault="00F71475">
          <w:pPr>
            <w:pStyle w:val="TOC2"/>
            <w:tabs>
              <w:tab w:val="left" w:pos="880"/>
              <w:tab w:val="right" w:leader="dot" w:pos="8296"/>
            </w:tabs>
            <w:rPr>
              <w:rFonts w:ascii="Book Antiqua" w:eastAsiaTheme="minorEastAsia" w:hAnsi="Book Antiqua"/>
              <w:noProof/>
              <w:lang w:val="en-GB" w:eastAsia="en-GB"/>
            </w:rPr>
          </w:pPr>
          <w:hyperlink w:anchor="_Toc52635263" w:history="1">
            <w:r w:rsidR="00364CDE" w:rsidRPr="00364CDE">
              <w:rPr>
                <w:rStyle w:val="Hyperlink"/>
                <w:rFonts w:ascii="Book Antiqua" w:hAnsi="Book Antiqua"/>
                <w:i/>
                <w:iCs/>
                <w:noProof/>
              </w:rPr>
              <w:t>2.2.</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i/>
                <w:iCs/>
                <w:noProof/>
              </w:rPr>
              <w:t>Emissions of LNG against coal and oil</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_Toc52635263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4</w:t>
            </w:r>
            <w:r w:rsidR="00364CDE" w:rsidRPr="00364CDE">
              <w:rPr>
                <w:rFonts w:ascii="Book Antiqua" w:hAnsi="Book Antiqua"/>
                <w:noProof/>
                <w:webHidden/>
              </w:rPr>
              <w:fldChar w:fldCharType="end"/>
            </w:r>
          </w:hyperlink>
        </w:p>
        <w:p w14:paraId="6C08508F" w14:textId="2FD8C1EE" w:rsidR="00364CDE" w:rsidRPr="00364CDE" w:rsidRDefault="00F71475">
          <w:pPr>
            <w:pStyle w:val="TOC2"/>
            <w:tabs>
              <w:tab w:val="left" w:pos="880"/>
              <w:tab w:val="right" w:leader="dot" w:pos="8296"/>
            </w:tabs>
            <w:rPr>
              <w:rFonts w:ascii="Book Antiqua" w:eastAsiaTheme="minorEastAsia" w:hAnsi="Book Antiqua"/>
              <w:noProof/>
              <w:lang w:val="en-GB" w:eastAsia="en-GB"/>
            </w:rPr>
          </w:pPr>
          <w:hyperlink w:anchor="_Toc52635264" w:history="1">
            <w:r w:rsidR="00364CDE" w:rsidRPr="00364CDE">
              <w:rPr>
                <w:rStyle w:val="Hyperlink"/>
                <w:rFonts w:ascii="Book Antiqua" w:hAnsi="Book Antiqua"/>
                <w:i/>
                <w:iCs/>
                <w:noProof/>
              </w:rPr>
              <w:t>2.3.</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i/>
                <w:iCs/>
                <w:noProof/>
              </w:rPr>
              <w:t>LNG as an alternative for transportation</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_Toc52635264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5</w:t>
            </w:r>
            <w:r w:rsidR="00364CDE" w:rsidRPr="00364CDE">
              <w:rPr>
                <w:rFonts w:ascii="Book Antiqua" w:hAnsi="Book Antiqua"/>
                <w:noProof/>
                <w:webHidden/>
              </w:rPr>
              <w:fldChar w:fldCharType="end"/>
            </w:r>
          </w:hyperlink>
        </w:p>
        <w:p w14:paraId="1607807A" w14:textId="3998EC83" w:rsidR="00364CDE" w:rsidRPr="00364CDE" w:rsidRDefault="00F71475">
          <w:pPr>
            <w:pStyle w:val="TOC2"/>
            <w:tabs>
              <w:tab w:val="left" w:pos="880"/>
              <w:tab w:val="right" w:leader="dot" w:pos="8296"/>
            </w:tabs>
            <w:rPr>
              <w:rFonts w:ascii="Book Antiqua" w:eastAsiaTheme="minorEastAsia" w:hAnsi="Book Antiqua"/>
              <w:noProof/>
              <w:lang w:val="en-GB" w:eastAsia="en-GB"/>
            </w:rPr>
          </w:pPr>
          <w:hyperlink w:anchor="_Toc52635265" w:history="1">
            <w:r w:rsidR="00364CDE" w:rsidRPr="00364CDE">
              <w:rPr>
                <w:rStyle w:val="Hyperlink"/>
                <w:rFonts w:ascii="Book Antiqua" w:hAnsi="Book Antiqua"/>
                <w:i/>
                <w:iCs/>
                <w:noProof/>
              </w:rPr>
              <w:t>2.4.</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i/>
                <w:iCs/>
                <w:noProof/>
              </w:rPr>
              <w:t>LNG storage</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_Toc52635265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6</w:t>
            </w:r>
            <w:r w:rsidR="00364CDE" w:rsidRPr="00364CDE">
              <w:rPr>
                <w:rFonts w:ascii="Book Antiqua" w:hAnsi="Book Antiqua"/>
                <w:noProof/>
                <w:webHidden/>
              </w:rPr>
              <w:fldChar w:fldCharType="end"/>
            </w:r>
          </w:hyperlink>
        </w:p>
        <w:p w14:paraId="38D88BFB" w14:textId="3C71F9BF" w:rsidR="00364CDE" w:rsidRPr="00364CDE" w:rsidRDefault="00F71475">
          <w:pPr>
            <w:pStyle w:val="TOC2"/>
            <w:tabs>
              <w:tab w:val="left" w:pos="880"/>
              <w:tab w:val="right" w:leader="dot" w:pos="8296"/>
            </w:tabs>
            <w:rPr>
              <w:rFonts w:ascii="Book Antiqua" w:eastAsiaTheme="minorEastAsia" w:hAnsi="Book Antiqua"/>
              <w:noProof/>
              <w:lang w:val="en-GB" w:eastAsia="en-GB"/>
            </w:rPr>
          </w:pPr>
          <w:hyperlink w:anchor="_Toc52635266" w:history="1">
            <w:r w:rsidR="00364CDE" w:rsidRPr="00364CDE">
              <w:rPr>
                <w:rStyle w:val="Hyperlink"/>
                <w:rFonts w:ascii="Book Antiqua" w:hAnsi="Book Antiqua"/>
                <w:i/>
                <w:iCs/>
                <w:noProof/>
              </w:rPr>
              <w:t>2.5.</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i/>
                <w:iCs/>
                <w:noProof/>
              </w:rPr>
              <w:t>LNG Sustainability</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_Toc52635266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7</w:t>
            </w:r>
            <w:r w:rsidR="00364CDE" w:rsidRPr="00364CDE">
              <w:rPr>
                <w:rFonts w:ascii="Book Antiqua" w:hAnsi="Book Antiqua"/>
                <w:noProof/>
                <w:webHidden/>
              </w:rPr>
              <w:fldChar w:fldCharType="end"/>
            </w:r>
          </w:hyperlink>
        </w:p>
        <w:p w14:paraId="667EF6D8" w14:textId="6C87A730" w:rsidR="00364CDE" w:rsidRPr="00364CDE" w:rsidRDefault="00F71475">
          <w:pPr>
            <w:pStyle w:val="TOC1"/>
            <w:tabs>
              <w:tab w:val="left" w:pos="440"/>
              <w:tab w:val="right" w:leader="dot" w:pos="8296"/>
            </w:tabs>
            <w:rPr>
              <w:rFonts w:ascii="Book Antiqua" w:eastAsiaTheme="minorEastAsia" w:hAnsi="Book Antiqua"/>
              <w:noProof/>
              <w:lang w:val="en-GB" w:eastAsia="en-GB"/>
            </w:rPr>
          </w:pPr>
          <w:hyperlink w:anchor="_Toc52635267" w:history="1">
            <w:r w:rsidR="00364CDE" w:rsidRPr="00364CDE">
              <w:rPr>
                <w:rStyle w:val="Hyperlink"/>
                <w:rFonts w:ascii="Book Antiqua" w:hAnsi="Book Antiqua"/>
                <w:noProof/>
              </w:rPr>
              <w:t>3.</w:t>
            </w:r>
            <w:r w:rsidR="00364CDE" w:rsidRPr="00364CDE">
              <w:rPr>
                <w:rFonts w:ascii="Book Antiqua" w:eastAsiaTheme="minorEastAsia" w:hAnsi="Book Antiqua"/>
                <w:noProof/>
                <w:lang w:val="en-GB" w:eastAsia="en-GB"/>
              </w:rPr>
              <w:tab/>
            </w:r>
            <w:r w:rsidR="00364CDE" w:rsidRPr="00364CDE">
              <w:rPr>
                <w:rStyle w:val="Hyperlink"/>
                <w:rFonts w:ascii="Book Antiqua" w:hAnsi="Book Antiqua"/>
                <w:noProof/>
              </w:rPr>
              <w:t>References</w:t>
            </w:r>
            <w:r w:rsidR="00364CDE" w:rsidRPr="00364CDE">
              <w:rPr>
                <w:rFonts w:ascii="Book Antiqua" w:hAnsi="Book Antiqua"/>
                <w:noProof/>
                <w:webHidden/>
              </w:rPr>
              <w:tab/>
            </w:r>
            <w:r w:rsidR="00364CDE" w:rsidRPr="00364CDE">
              <w:rPr>
                <w:rFonts w:ascii="Book Antiqua" w:hAnsi="Book Antiqua"/>
                <w:noProof/>
                <w:webHidden/>
              </w:rPr>
              <w:fldChar w:fldCharType="begin"/>
            </w:r>
            <w:r w:rsidR="00364CDE" w:rsidRPr="00364CDE">
              <w:rPr>
                <w:rFonts w:ascii="Book Antiqua" w:hAnsi="Book Antiqua"/>
                <w:noProof/>
                <w:webHidden/>
              </w:rPr>
              <w:instrText xml:space="preserve"> PAGEREF _Toc52635267 \h </w:instrText>
            </w:r>
            <w:r w:rsidR="00364CDE" w:rsidRPr="00364CDE">
              <w:rPr>
                <w:rFonts w:ascii="Book Antiqua" w:hAnsi="Book Antiqua"/>
                <w:noProof/>
                <w:webHidden/>
              </w:rPr>
            </w:r>
            <w:r w:rsidR="00364CDE" w:rsidRPr="00364CDE">
              <w:rPr>
                <w:rFonts w:ascii="Book Antiqua" w:hAnsi="Book Antiqua"/>
                <w:noProof/>
                <w:webHidden/>
              </w:rPr>
              <w:fldChar w:fldCharType="separate"/>
            </w:r>
            <w:r w:rsidR="00364CDE" w:rsidRPr="00364CDE">
              <w:rPr>
                <w:rFonts w:ascii="Book Antiqua" w:hAnsi="Book Antiqua"/>
                <w:noProof/>
                <w:webHidden/>
              </w:rPr>
              <w:t>7</w:t>
            </w:r>
            <w:r w:rsidR="00364CDE" w:rsidRPr="00364CDE">
              <w:rPr>
                <w:rFonts w:ascii="Book Antiqua" w:hAnsi="Book Antiqua"/>
                <w:noProof/>
                <w:webHidden/>
              </w:rPr>
              <w:fldChar w:fldCharType="end"/>
            </w:r>
          </w:hyperlink>
        </w:p>
        <w:p w14:paraId="1E804244" w14:textId="2FD0B46E" w:rsidR="00D27EB9" w:rsidRPr="00855F84" w:rsidRDefault="00D27EB9" w:rsidP="00D27EB9">
          <w:pPr>
            <w:rPr>
              <w:rFonts w:ascii="Book Antiqua" w:hAnsi="Book Antiqua" w:cstheme="majorBidi"/>
            </w:rPr>
          </w:pPr>
          <w:r w:rsidRPr="00855F84">
            <w:rPr>
              <w:rFonts w:ascii="Book Antiqua" w:hAnsi="Book Antiqua" w:cstheme="majorBidi"/>
              <w:b/>
              <w:bCs/>
              <w:noProof/>
            </w:rPr>
            <w:fldChar w:fldCharType="end"/>
          </w:r>
        </w:p>
      </w:sdtContent>
    </w:sdt>
    <w:p w14:paraId="397ADA0F" w14:textId="77777777" w:rsidR="00D27EB9" w:rsidRPr="00855F84" w:rsidRDefault="00D27EB9" w:rsidP="00D27EB9">
      <w:pPr>
        <w:spacing w:after="0" w:line="276" w:lineRule="auto"/>
        <w:jc w:val="both"/>
        <w:rPr>
          <w:rFonts w:ascii="Book Antiqua" w:hAnsi="Book Antiqua" w:cstheme="majorBidi"/>
          <w:sz w:val="24"/>
          <w:szCs w:val="24"/>
        </w:rPr>
      </w:pPr>
    </w:p>
    <w:p w14:paraId="390C437F" w14:textId="77777777" w:rsidR="00D27EB9" w:rsidRPr="00855F84" w:rsidRDefault="00D27EB9" w:rsidP="00D27EB9">
      <w:pPr>
        <w:spacing w:after="0" w:line="276" w:lineRule="auto"/>
        <w:jc w:val="both"/>
        <w:rPr>
          <w:rFonts w:ascii="Book Antiqua" w:hAnsi="Book Antiqua" w:cstheme="majorBidi"/>
          <w:sz w:val="24"/>
          <w:szCs w:val="24"/>
        </w:rPr>
      </w:pPr>
    </w:p>
    <w:p w14:paraId="44FA38F9" w14:textId="77777777" w:rsidR="00D27EB9" w:rsidRPr="00855F84" w:rsidRDefault="00D27EB9" w:rsidP="00D27EB9">
      <w:pPr>
        <w:spacing w:after="0" w:line="276" w:lineRule="auto"/>
        <w:jc w:val="both"/>
        <w:rPr>
          <w:rFonts w:ascii="Book Antiqua" w:hAnsi="Book Antiqua" w:cstheme="majorBidi"/>
          <w:sz w:val="24"/>
          <w:szCs w:val="24"/>
        </w:rPr>
      </w:pPr>
    </w:p>
    <w:p w14:paraId="5E29A17F" w14:textId="0C015F7E" w:rsidR="00A66912" w:rsidRPr="00855F84" w:rsidRDefault="00A66912" w:rsidP="00855F84">
      <w:pPr>
        <w:pStyle w:val="TOCHeading"/>
        <w:jc w:val="center"/>
        <w:rPr>
          <w:rFonts w:ascii="Book Antiqua" w:hAnsi="Book Antiqua"/>
          <w:b/>
          <w:bCs/>
          <w:color w:val="auto"/>
        </w:rPr>
      </w:pPr>
      <w:r w:rsidRPr="00855F84">
        <w:rPr>
          <w:rFonts w:ascii="Book Antiqua" w:hAnsi="Book Antiqua"/>
          <w:b/>
          <w:bCs/>
          <w:color w:val="auto"/>
        </w:rPr>
        <w:t xml:space="preserve">LIST OF </w:t>
      </w:r>
      <w:r w:rsidR="00855F84">
        <w:rPr>
          <w:rFonts w:ascii="Book Antiqua" w:hAnsi="Book Antiqua"/>
          <w:b/>
          <w:bCs/>
          <w:color w:val="auto"/>
        </w:rPr>
        <w:t>TABLES</w:t>
      </w:r>
    </w:p>
    <w:p w14:paraId="485EBA9E" w14:textId="77777777" w:rsidR="00A66912" w:rsidRPr="00855F84" w:rsidRDefault="00A66912">
      <w:pPr>
        <w:pStyle w:val="TableofFigures"/>
        <w:tabs>
          <w:tab w:val="right" w:leader="dot" w:pos="8296"/>
        </w:tabs>
        <w:rPr>
          <w:rFonts w:ascii="Book Antiqua" w:hAnsi="Book Antiqua" w:cstheme="majorBidi"/>
          <w:sz w:val="24"/>
          <w:szCs w:val="24"/>
        </w:rPr>
      </w:pPr>
    </w:p>
    <w:p w14:paraId="1F8B5AFC" w14:textId="45C218C3" w:rsidR="00855F84" w:rsidRPr="00855F84" w:rsidRDefault="00855F84" w:rsidP="00855F84">
      <w:pPr>
        <w:pStyle w:val="TableofFigures"/>
        <w:tabs>
          <w:tab w:val="right" w:leader="dot" w:pos="8296"/>
        </w:tabs>
        <w:rPr>
          <w:rFonts w:ascii="Book Antiqua" w:eastAsiaTheme="minorEastAsia" w:hAnsi="Book Antiqua"/>
          <w:noProof/>
        </w:rPr>
      </w:pPr>
      <w:r w:rsidRPr="00855F84">
        <w:rPr>
          <w:rFonts w:ascii="Book Antiqua" w:hAnsi="Book Antiqua"/>
        </w:rPr>
        <w:fldChar w:fldCharType="begin"/>
      </w:r>
      <w:r w:rsidRPr="00855F84">
        <w:rPr>
          <w:rFonts w:ascii="Book Antiqua" w:hAnsi="Book Antiqua"/>
        </w:rPr>
        <w:instrText xml:space="preserve"> TOC \h \z \c "Table" </w:instrText>
      </w:r>
      <w:r w:rsidRPr="00855F84">
        <w:rPr>
          <w:rFonts w:ascii="Book Antiqua" w:hAnsi="Book Antiqua"/>
        </w:rPr>
        <w:fldChar w:fldCharType="separate"/>
      </w:r>
      <w:hyperlink w:anchor="_Toc42885834" w:history="1">
        <w:r w:rsidRPr="00855F84">
          <w:rPr>
            <w:rStyle w:val="Hyperlink"/>
            <w:rFonts w:ascii="Book Antiqua" w:hAnsi="Book Antiqua"/>
            <w:noProof/>
          </w:rPr>
          <w:t>Table 1. Comparison of LNG, Oil, and Coal emissions</w:t>
        </w:r>
        <w:r w:rsidRPr="00855F84">
          <w:rPr>
            <w:rFonts w:ascii="Book Antiqua" w:hAnsi="Book Antiqua"/>
            <w:noProof/>
            <w:webHidden/>
          </w:rPr>
          <w:tab/>
        </w:r>
        <w:r w:rsidRPr="00855F84">
          <w:rPr>
            <w:rFonts w:ascii="Book Antiqua" w:hAnsi="Book Antiqua"/>
            <w:noProof/>
            <w:webHidden/>
          </w:rPr>
          <w:fldChar w:fldCharType="begin"/>
        </w:r>
        <w:r w:rsidRPr="00855F84">
          <w:rPr>
            <w:rFonts w:ascii="Book Antiqua" w:hAnsi="Book Antiqua"/>
            <w:noProof/>
            <w:webHidden/>
          </w:rPr>
          <w:instrText xml:space="preserve"> PAGEREF _Toc42885834 \h </w:instrText>
        </w:r>
        <w:r w:rsidRPr="00855F84">
          <w:rPr>
            <w:rFonts w:ascii="Book Antiqua" w:hAnsi="Book Antiqua"/>
            <w:noProof/>
            <w:webHidden/>
          </w:rPr>
        </w:r>
        <w:r w:rsidRPr="00855F84">
          <w:rPr>
            <w:rFonts w:ascii="Book Antiqua" w:hAnsi="Book Antiqua"/>
            <w:noProof/>
            <w:webHidden/>
          </w:rPr>
          <w:fldChar w:fldCharType="separate"/>
        </w:r>
        <w:r w:rsidR="00364CDE">
          <w:rPr>
            <w:rFonts w:ascii="Book Antiqua" w:hAnsi="Book Antiqua"/>
            <w:noProof/>
            <w:webHidden/>
          </w:rPr>
          <w:t>5</w:t>
        </w:r>
        <w:r w:rsidRPr="00855F84">
          <w:rPr>
            <w:rFonts w:ascii="Book Antiqua" w:hAnsi="Book Antiqua"/>
            <w:noProof/>
            <w:webHidden/>
          </w:rPr>
          <w:fldChar w:fldCharType="end"/>
        </w:r>
      </w:hyperlink>
    </w:p>
    <w:p w14:paraId="50516C98" w14:textId="4C65F478" w:rsidR="00D27EB9" w:rsidRPr="00855F84" w:rsidRDefault="00855F84" w:rsidP="00D27EB9">
      <w:pPr>
        <w:pStyle w:val="NoSpacing"/>
        <w:rPr>
          <w:rFonts w:ascii="Book Antiqua" w:hAnsi="Book Antiqua"/>
        </w:rPr>
      </w:pPr>
      <w:r w:rsidRPr="00855F84">
        <w:rPr>
          <w:rFonts w:ascii="Book Antiqua" w:hAnsi="Book Antiqua"/>
        </w:rPr>
        <w:fldChar w:fldCharType="end"/>
      </w:r>
    </w:p>
    <w:p w14:paraId="5EBFE4C6" w14:textId="77777777" w:rsidR="00D27EB9" w:rsidRPr="00855F84" w:rsidRDefault="00D27EB9">
      <w:pPr>
        <w:rPr>
          <w:rFonts w:ascii="Book Antiqua" w:hAnsi="Book Antiqua" w:cstheme="majorBidi"/>
          <w:b/>
          <w:bCs/>
          <w:sz w:val="24"/>
          <w:szCs w:val="24"/>
        </w:rPr>
      </w:pPr>
      <w:r w:rsidRPr="00855F84">
        <w:rPr>
          <w:rFonts w:ascii="Book Antiqua" w:hAnsi="Book Antiqua"/>
        </w:rPr>
        <w:br w:type="page"/>
      </w:r>
    </w:p>
    <w:p w14:paraId="02B86CCE" w14:textId="77777777" w:rsidR="00D27EB9" w:rsidRDefault="00D27EB9" w:rsidP="00D27EB9">
      <w:pPr>
        <w:pStyle w:val="Head1"/>
        <w:numPr>
          <w:ilvl w:val="0"/>
          <w:numId w:val="4"/>
        </w:numPr>
      </w:pPr>
      <w:bookmarkStart w:id="0" w:name="_Toc52635260"/>
      <w:r w:rsidRPr="00BA48C1">
        <w:lastRenderedPageBreak/>
        <w:t>Acronyms</w:t>
      </w:r>
      <w:bookmarkEnd w:id="0"/>
    </w:p>
    <w:p w14:paraId="7832CB63" w14:textId="77777777" w:rsidR="00D27EB9" w:rsidRDefault="00D27EB9" w:rsidP="00D27EB9">
      <w:pPr>
        <w:pStyle w:val="Head1"/>
        <w:numPr>
          <w:ilvl w:val="0"/>
          <w:numId w:val="0"/>
        </w:numPr>
        <w:ind w:left="360" w:hanging="360"/>
      </w:pPr>
    </w:p>
    <w:tbl>
      <w:tblPr>
        <w:tblStyle w:val="TableGrid"/>
        <w:tblW w:w="8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0"/>
        <w:gridCol w:w="7500"/>
      </w:tblGrid>
      <w:tr w:rsidR="008F2EC2" w:rsidRPr="00855F84" w14:paraId="7843708A" w14:textId="77777777" w:rsidTr="008B426D">
        <w:trPr>
          <w:trHeight w:val="300"/>
        </w:trPr>
        <w:tc>
          <w:tcPr>
            <w:tcW w:w="1320" w:type="dxa"/>
            <w:noWrap/>
          </w:tcPr>
          <w:p w14:paraId="0DD37AB8" w14:textId="3AB070F3" w:rsidR="008F2EC2" w:rsidRPr="00855F84" w:rsidRDefault="00862460" w:rsidP="00D27EB9">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BOG</w:t>
            </w:r>
          </w:p>
        </w:tc>
        <w:tc>
          <w:tcPr>
            <w:tcW w:w="7500" w:type="dxa"/>
            <w:noWrap/>
          </w:tcPr>
          <w:p w14:paraId="0517AC8E" w14:textId="062901DC" w:rsidR="008F2EC2" w:rsidRPr="00855F84" w:rsidRDefault="00862460" w:rsidP="00D27EB9">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Boil-off Gas</w:t>
            </w:r>
          </w:p>
        </w:tc>
      </w:tr>
      <w:tr w:rsidR="009712D5" w:rsidRPr="00855F84" w14:paraId="65FC2FA5" w14:textId="77777777" w:rsidTr="008B426D">
        <w:trPr>
          <w:trHeight w:val="300"/>
        </w:trPr>
        <w:tc>
          <w:tcPr>
            <w:tcW w:w="1320" w:type="dxa"/>
            <w:noWrap/>
          </w:tcPr>
          <w:p w14:paraId="5B74D67E" w14:textId="16BCBDC9" w:rsidR="009712D5" w:rsidRPr="00855F84" w:rsidRDefault="009712D5" w:rsidP="00D27EB9">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CH4</w:t>
            </w:r>
          </w:p>
        </w:tc>
        <w:tc>
          <w:tcPr>
            <w:tcW w:w="7500" w:type="dxa"/>
            <w:noWrap/>
          </w:tcPr>
          <w:p w14:paraId="2C55787D" w14:textId="7E3F3CCD" w:rsidR="009712D5" w:rsidRPr="00855F84" w:rsidRDefault="009712D5" w:rsidP="00D27EB9">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Methane</w:t>
            </w:r>
          </w:p>
        </w:tc>
      </w:tr>
      <w:tr w:rsidR="00D27EB9" w:rsidRPr="00855F84" w14:paraId="52B32E51" w14:textId="77777777" w:rsidTr="008B426D">
        <w:trPr>
          <w:trHeight w:val="300"/>
        </w:trPr>
        <w:tc>
          <w:tcPr>
            <w:tcW w:w="1320" w:type="dxa"/>
            <w:noWrap/>
          </w:tcPr>
          <w:p w14:paraId="60C11B0D" w14:textId="23C0ED35" w:rsidR="00D27EB9" w:rsidRPr="00855F84" w:rsidRDefault="009712D5" w:rsidP="008D1DFB">
            <w:pPr>
              <w:rPr>
                <w:rFonts w:ascii="Book Antiqua" w:eastAsia="Times New Roman" w:hAnsi="Book Antiqua" w:cs="Times New Roman"/>
                <w:color w:val="000000"/>
                <w:sz w:val="20"/>
                <w:szCs w:val="20"/>
              </w:rPr>
            </w:pPr>
            <w:proofErr w:type="spellStart"/>
            <w:r w:rsidRPr="00855F84">
              <w:rPr>
                <w:rFonts w:ascii="Book Antiqua" w:eastAsia="Times New Roman" w:hAnsi="Book Antiqua" w:cs="Times New Roman"/>
                <w:color w:val="000000"/>
                <w:sz w:val="20"/>
                <w:szCs w:val="20"/>
              </w:rPr>
              <w:t>CO</w:t>
            </w:r>
            <w:r w:rsidR="008D1DFB" w:rsidRPr="00855F84">
              <w:rPr>
                <w:rFonts w:ascii="Book Antiqua" w:eastAsia="Times New Roman" w:hAnsi="Book Antiqua" w:cs="Times New Roman"/>
                <w:color w:val="000000"/>
                <w:sz w:val="20"/>
                <w:szCs w:val="20"/>
                <w:vertAlign w:val="subscript"/>
              </w:rPr>
              <w:t>x</w:t>
            </w:r>
            <w:proofErr w:type="spellEnd"/>
          </w:p>
        </w:tc>
        <w:tc>
          <w:tcPr>
            <w:tcW w:w="7500" w:type="dxa"/>
            <w:noWrap/>
          </w:tcPr>
          <w:p w14:paraId="6B37B1F7" w14:textId="267A396C" w:rsidR="00D27EB9" w:rsidRPr="00855F84" w:rsidRDefault="008D1DFB" w:rsidP="00D27EB9">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Carbon </w:t>
            </w:r>
            <w:r w:rsidR="009712D5" w:rsidRPr="00855F84">
              <w:rPr>
                <w:rFonts w:ascii="Book Antiqua" w:eastAsia="Times New Roman" w:hAnsi="Book Antiqua" w:cs="Times New Roman"/>
                <w:color w:val="000000"/>
                <w:sz w:val="20"/>
                <w:szCs w:val="20"/>
              </w:rPr>
              <w:t>oxide</w:t>
            </w:r>
            <w:r w:rsidRPr="00855F84">
              <w:rPr>
                <w:rFonts w:ascii="Book Antiqua" w:eastAsia="Times New Roman" w:hAnsi="Book Antiqua" w:cs="Times New Roman"/>
                <w:color w:val="000000"/>
                <w:sz w:val="20"/>
                <w:szCs w:val="20"/>
              </w:rPr>
              <w:t>s</w:t>
            </w:r>
          </w:p>
        </w:tc>
      </w:tr>
      <w:tr w:rsidR="00004EF8" w:rsidRPr="00855F84" w14:paraId="4964F9AC" w14:textId="77777777" w:rsidTr="008B426D">
        <w:trPr>
          <w:trHeight w:val="300"/>
        </w:trPr>
        <w:tc>
          <w:tcPr>
            <w:tcW w:w="1320" w:type="dxa"/>
            <w:noWrap/>
          </w:tcPr>
          <w:p w14:paraId="6646BCCF" w14:textId="1B698F1B"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CO</w:t>
            </w:r>
          </w:p>
        </w:tc>
        <w:tc>
          <w:tcPr>
            <w:tcW w:w="7500" w:type="dxa"/>
            <w:noWrap/>
          </w:tcPr>
          <w:p w14:paraId="42C63827" w14:textId="7427DFA3"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Carbon mono-oxide</w:t>
            </w:r>
          </w:p>
        </w:tc>
      </w:tr>
      <w:tr w:rsidR="00004EF8" w:rsidRPr="00855F84" w14:paraId="51811AC4" w14:textId="77777777" w:rsidTr="008B426D">
        <w:trPr>
          <w:trHeight w:val="300"/>
        </w:trPr>
        <w:tc>
          <w:tcPr>
            <w:tcW w:w="1320" w:type="dxa"/>
            <w:noWrap/>
          </w:tcPr>
          <w:p w14:paraId="4DCB50CD" w14:textId="6EBD80D2"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CO</w:t>
            </w:r>
            <w:r w:rsidRPr="00855F84">
              <w:rPr>
                <w:rFonts w:ascii="Book Antiqua" w:eastAsia="Times New Roman" w:hAnsi="Book Antiqua" w:cs="Times New Roman"/>
                <w:color w:val="000000"/>
                <w:sz w:val="20"/>
                <w:szCs w:val="20"/>
                <w:vertAlign w:val="subscript"/>
              </w:rPr>
              <w:t>2</w:t>
            </w:r>
          </w:p>
        </w:tc>
        <w:tc>
          <w:tcPr>
            <w:tcW w:w="7500" w:type="dxa"/>
            <w:noWrap/>
          </w:tcPr>
          <w:p w14:paraId="0BE7AA68" w14:textId="20DF8E62"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Carbon dioxide</w:t>
            </w:r>
          </w:p>
        </w:tc>
      </w:tr>
      <w:tr w:rsidR="00004EF8" w:rsidRPr="00855F84" w14:paraId="42CE8C39" w14:textId="77777777" w:rsidTr="008B426D">
        <w:trPr>
          <w:trHeight w:val="300"/>
        </w:trPr>
        <w:tc>
          <w:tcPr>
            <w:tcW w:w="1320" w:type="dxa"/>
            <w:noWrap/>
          </w:tcPr>
          <w:p w14:paraId="4A0AE2FB" w14:textId="3B5E9A20"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CNG</w:t>
            </w:r>
          </w:p>
        </w:tc>
        <w:tc>
          <w:tcPr>
            <w:tcW w:w="7500" w:type="dxa"/>
            <w:noWrap/>
          </w:tcPr>
          <w:p w14:paraId="1EB28CC1" w14:textId="0E743534"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Compressed Natural Gas </w:t>
            </w:r>
          </w:p>
        </w:tc>
      </w:tr>
      <w:tr w:rsidR="00004EF8" w:rsidRPr="00855F84" w14:paraId="4F64CE39" w14:textId="77777777" w:rsidTr="008B426D">
        <w:trPr>
          <w:trHeight w:val="300"/>
        </w:trPr>
        <w:tc>
          <w:tcPr>
            <w:tcW w:w="1320" w:type="dxa"/>
            <w:noWrap/>
          </w:tcPr>
          <w:p w14:paraId="4A2F968D" w14:textId="0B68016C"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GTL</w:t>
            </w:r>
          </w:p>
        </w:tc>
        <w:tc>
          <w:tcPr>
            <w:tcW w:w="7500" w:type="dxa"/>
            <w:noWrap/>
          </w:tcPr>
          <w:p w14:paraId="1EAF8A99" w14:textId="1ED5D189"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Gas to Liquid</w:t>
            </w:r>
          </w:p>
        </w:tc>
      </w:tr>
      <w:tr w:rsidR="00004EF8" w:rsidRPr="00855F84" w14:paraId="438CDA4C" w14:textId="77777777" w:rsidTr="008B426D">
        <w:trPr>
          <w:trHeight w:val="300"/>
        </w:trPr>
        <w:tc>
          <w:tcPr>
            <w:tcW w:w="1320" w:type="dxa"/>
            <w:noWrap/>
            <w:hideMark/>
          </w:tcPr>
          <w:p w14:paraId="583AFE89" w14:textId="08307646"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GHG </w:t>
            </w:r>
          </w:p>
        </w:tc>
        <w:tc>
          <w:tcPr>
            <w:tcW w:w="7500" w:type="dxa"/>
            <w:noWrap/>
            <w:hideMark/>
          </w:tcPr>
          <w:p w14:paraId="6A43BBE9" w14:textId="2564CF3F"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Greenhouse Gas</w:t>
            </w:r>
          </w:p>
        </w:tc>
      </w:tr>
      <w:tr w:rsidR="00004EF8" w:rsidRPr="00855F84" w14:paraId="65EC6475" w14:textId="77777777" w:rsidTr="008B426D">
        <w:trPr>
          <w:trHeight w:val="300"/>
        </w:trPr>
        <w:tc>
          <w:tcPr>
            <w:tcW w:w="1320" w:type="dxa"/>
            <w:noWrap/>
          </w:tcPr>
          <w:p w14:paraId="585B9997" w14:textId="53E918FF"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IEA</w:t>
            </w:r>
          </w:p>
        </w:tc>
        <w:tc>
          <w:tcPr>
            <w:tcW w:w="7500" w:type="dxa"/>
            <w:noWrap/>
          </w:tcPr>
          <w:p w14:paraId="4D2029B2" w14:textId="2C66620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International Energy Agency</w:t>
            </w:r>
          </w:p>
        </w:tc>
      </w:tr>
      <w:tr w:rsidR="00004EF8" w:rsidRPr="00855F84" w14:paraId="3DDDF94A" w14:textId="77777777" w:rsidTr="008B426D">
        <w:trPr>
          <w:trHeight w:val="300"/>
        </w:trPr>
        <w:tc>
          <w:tcPr>
            <w:tcW w:w="1320" w:type="dxa"/>
            <w:noWrap/>
          </w:tcPr>
          <w:p w14:paraId="10B1520A" w14:textId="6FD31462"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IMO</w:t>
            </w:r>
          </w:p>
        </w:tc>
        <w:tc>
          <w:tcPr>
            <w:tcW w:w="7500" w:type="dxa"/>
            <w:noWrap/>
          </w:tcPr>
          <w:p w14:paraId="7DA4FF2A" w14:textId="25E87A3A"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International Maritime Organization</w:t>
            </w:r>
          </w:p>
        </w:tc>
      </w:tr>
      <w:tr w:rsidR="00004EF8" w:rsidRPr="00855F84" w14:paraId="19CBD83E" w14:textId="77777777" w:rsidTr="008B426D">
        <w:trPr>
          <w:trHeight w:val="300"/>
        </w:trPr>
        <w:tc>
          <w:tcPr>
            <w:tcW w:w="1320" w:type="dxa"/>
            <w:noWrap/>
          </w:tcPr>
          <w:p w14:paraId="4CDB0ABD" w14:textId="6F127D9E"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ISO</w:t>
            </w:r>
          </w:p>
        </w:tc>
        <w:tc>
          <w:tcPr>
            <w:tcW w:w="7500" w:type="dxa"/>
            <w:noWrap/>
          </w:tcPr>
          <w:p w14:paraId="0A37CD4E" w14:textId="2F996A24"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International Organization for Standardization</w:t>
            </w:r>
          </w:p>
        </w:tc>
      </w:tr>
      <w:tr w:rsidR="00004EF8" w:rsidRPr="00855F84" w14:paraId="192D4DB5" w14:textId="77777777" w:rsidTr="008B426D">
        <w:trPr>
          <w:trHeight w:val="300"/>
        </w:trPr>
        <w:tc>
          <w:tcPr>
            <w:tcW w:w="1320" w:type="dxa"/>
            <w:noWrap/>
            <w:hideMark/>
          </w:tcPr>
          <w:p w14:paraId="27DA9940" w14:textId="7777777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LCA</w:t>
            </w:r>
          </w:p>
        </w:tc>
        <w:tc>
          <w:tcPr>
            <w:tcW w:w="7500" w:type="dxa"/>
            <w:noWrap/>
            <w:hideMark/>
          </w:tcPr>
          <w:p w14:paraId="0835F60F" w14:textId="7777777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Life Cycle Assessment</w:t>
            </w:r>
          </w:p>
        </w:tc>
      </w:tr>
      <w:tr w:rsidR="00004EF8" w:rsidRPr="00855F84" w14:paraId="344398E5" w14:textId="77777777" w:rsidTr="008B426D">
        <w:trPr>
          <w:trHeight w:val="300"/>
        </w:trPr>
        <w:tc>
          <w:tcPr>
            <w:tcW w:w="1320" w:type="dxa"/>
            <w:noWrap/>
            <w:hideMark/>
          </w:tcPr>
          <w:p w14:paraId="19044E10" w14:textId="7777777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LCSA</w:t>
            </w:r>
          </w:p>
        </w:tc>
        <w:tc>
          <w:tcPr>
            <w:tcW w:w="7500" w:type="dxa"/>
            <w:noWrap/>
            <w:hideMark/>
          </w:tcPr>
          <w:p w14:paraId="5533835E" w14:textId="7777777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Life Cycle Sustainability Assessment</w:t>
            </w:r>
          </w:p>
        </w:tc>
      </w:tr>
      <w:tr w:rsidR="00004EF8" w:rsidRPr="00855F84" w14:paraId="49E92BDE" w14:textId="77777777" w:rsidTr="008B426D">
        <w:trPr>
          <w:trHeight w:val="300"/>
        </w:trPr>
        <w:tc>
          <w:tcPr>
            <w:tcW w:w="1320" w:type="dxa"/>
            <w:noWrap/>
          </w:tcPr>
          <w:p w14:paraId="3D0E5F70" w14:textId="20EBB3DD"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LNG</w:t>
            </w:r>
          </w:p>
        </w:tc>
        <w:tc>
          <w:tcPr>
            <w:tcW w:w="7500" w:type="dxa"/>
            <w:noWrap/>
          </w:tcPr>
          <w:p w14:paraId="6B702FDD" w14:textId="0D5FF5D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Liquefied Natural Gas</w:t>
            </w:r>
          </w:p>
        </w:tc>
      </w:tr>
      <w:tr w:rsidR="00004EF8" w:rsidRPr="00855F84" w14:paraId="55391591" w14:textId="77777777" w:rsidTr="008B426D">
        <w:trPr>
          <w:trHeight w:val="300"/>
        </w:trPr>
        <w:tc>
          <w:tcPr>
            <w:tcW w:w="1320" w:type="dxa"/>
            <w:noWrap/>
          </w:tcPr>
          <w:p w14:paraId="61007857" w14:textId="745A5ECA"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MR-LCSA</w:t>
            </w:r>
          </w:p>
        </w:tc>
        <w:tc>
          <w:tcPr>
            <w:tcW w:w="7500" w:type="dxa"/>
            <w:noWrap/>
          </w:tcPr>
          <w:p w14:paraId="6A157BBE" w14:textId="7070986F"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Multiregional life cycle sustainability assessment </w:t>
            </w:r>
          </w:p>
        </w:tc>
      </w:tr>
      <w:tr w:rsidR="00004EF8" w:rsidRPr="00855F84" w14:paraId="3EC515E3" w14:textId="77777777" w:rsidTr="008B426D">
        <w:trPr>
          <w:trHeight w:val="300"/>
        </w:trPr>
        <w:tc>
          <w:tcPr>
            <w:tcW w:w="1320" w:type="dxa"/>
            <w:noWrap/>
          </w:tcPr>
          <w:p w14:paraId="5C13FD1A" w14:textId="573780F1"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NGL</w:t>
            </w:r>
          </w:p>
        </w:tc>
        <w:tc>
          <w:tcPr>
            <w:tcW w:w="7500" w:type="dxa"/>
            <w:noWrap/>
          </w:tcPr>
          <w:p w14:paraId="05E1B40D" w14:textId="25F196A2"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Natural Gas Liquid</w:t>
            </w:r>
          </w:p>
        </w:tc>
      </w:tr>
      <w:tr w:rsidR="00004EF8" w:rsidRPr="00855F84" w14:paraId="370AD2F0" w14:textId="77777777" w:rsidTr="008B426D">
        <w:trPr>
          <w:trHeight w:val="300"/>
        </w:trPr>
        <w:tc>
          <w:tcPr>
            <w:tcW w:w="1320" w:type="dxa"/>
            <w:noWrap/>
          </w:tcPr>
          <w:p w14:paraId="5E24FF54" w14:textId="62A7BCAC"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NGVs</w:t>
            </w:r>
          </w:p>
        </w:tc>
        <w:tc>
          <w:tcPr>
            <w:tcW w:w="7500" w:type="dxa"/>
            <w:noWrap/>
          </w:tcPr>
          <w:p w14:paraId="4C641873" w14:textId="33C5AD5D"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Natural Gas Vehicles </w:t>
            </w:r>
          </w:p>
        </w:tc>
      </w:tr>
      <w:tr w:rsidR="00004EF8" w:rsidRPr="00855F84" w14:paraId="6AE6C2ED" w14:textId="77777777" w:rsidTr="008B426D">
        <w:trPr>
          <w:trHeight w:val="300"/>
        </w:trPr>
        <w:tc>
          <w:tcPr>
            <w:tcW w:w="1320" w:type="dxa"/>
            <w:noWrap/>
          </w:tcPr>
          <w:p w14:paraId="28F9AD9C" w14:textId="0A6231CD"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NO</w:t>
            </w:r>
            <w:r w:rsidRPr="00855F84">
              <w:rPr>
                <w:rFonts w:ascii="Book Antiqua" w:eastAsia="Times New Roman" w:hAnsi="Book Antiqua" w:cs="Times New Roman"/>
                <w:color w:val="000000"/>
                <w:sz w:val="20"/>
                <w:szCs w:val="20"/>
                <w:vertAlign w:val="subscript"/>
              </w:rPr>
              <w:t>x</w:t>
            </w:r>
          </w:p>
        </w:tc>
        <w:tc>
          <w:tcPr>
            <w:tcW w:w="7500" w:type="dxa"/>
            <w:noWrap/>
          </w:tcPr>
          <w:p w14:paraId="0D860E7E" w14:textId="3DA16AE8"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Nitrogen oxides</w:t>
            </w:r>
          </w:p>
        </w:tc>
      </w:tr>
      <w:tr w:rsidR="00855F84" w:rsidRPr="00855F84" w14:paraId="1A782495" w14:textId="77777777" w:rsidTr="008B426D">
        <w:trPr>
          <w:trHeight w:val="300"/>
        </w:trPr>
        <w:tc>
          <w:tcPr>
            <w:tcW w:w="1320" w:type="dxa"/>
            <w:noWrap/>
          </w:tcPr>
          <w:p w14:paraId="13E4B844" w14:textId="18C70626" w:rsidR="00855F84" w:rsidRPr="00855F84" w:rsidRDefault="00855F84" w:rsidP="00004EF8">
            <w:pPr>
              <w:rPr>
                <w:rFonts w:ascii="Book Antiqua" w:eastAsia="Times New Roman" w:hAnsi="Book Antiqua" w:cs="Times New Roman"/>
                <w:color w:val="000000"/>
                <w:sz w:val="20"/>
                <w:szCs w:val="20"/>
              </w:rPr>
            </w:pPr>
            <w:r>
              <w:rPr>
                <w:rFonts w:ascii="Book Antiqua" w:eastAsia="Times New Roman" w:hAnsi="Book Antiqua" w:cs="Times New Roman"/>
                <w:color w:val="000000"/>
                <w:sz w:val="20"/>
                <w:szCs w:val="20"/>
              </w:rPr>
              <w:t>PM</w:t>
            </w:r>
          </w:p>
        </w:tc>
        <w:tc>
          <w:tcPr>
            <w:tcW w:w="7500" w:type="dxa"/>
            <w:noWrap/>
          </w:tcPr>
          <w:p w14:paraId="487DBAE8" w14:textId="64ACF470" w:rsidR="00855F84" w:rsidRPr="00855F84" w:rsidRDefault="00855F84" w:rsidP="00004EF8">
            <w:pPr>
              <w:rPr>
                <w:rFonts w:ascii="Book Antiqua" w:eastAsia="Times New Roman" w:hAnsi="Book Antiqua" w:cs="Times New Roman"/>
                <w:color w:val="000000"/>
                <w:sz w:val="20"/>
                <w:szCs w:val="20"/>
              </w:rPr>
            </w:pPr>
            <w:r>
              <w:rPr>
                <w:rFonts w:ascii="Book Antiqua" w:eastAsia="Times New Roman" w:hAnsi="Book Antiqua" w:cs="Times New Roman"/>
                <w:color w:val="000000"/>
                <w:sz w:val="20"/>
                <w:szCs w:val="20"/>
              </w:rPr>
              <w:t>Particulate Matter</w:t>
            </w:r>
          </w:p>
        </w:tc>
      </w:tr>
      <w:tr w:rsidR="00004EF8" w:rsidRPr="00855F84" w14:paraId="3C6287C2" w14:textId="77777777" w:rsidTr="008B426D">
        <w:trPr>
          <w:trHeight w:val="300"/>
        </w:trPr>
        <w:tc>
          <w:tcPr>
            <w:tcW w:w="1320" w:type="dxa"/>
            <w:noWrap/>
          </w:tcPr>
          <w:p w14:paraId="683AF842" w14:textId="02B03A1F"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SDGs</w:t>
            </w:r>
          </w:p>
        </w:tc>
        <w:tc>
          <w:tcPr>
            <w:tcW w:w="7500" w:type="dxa"/>
            <w:noWrap/>
          </w:tcPr>
          <w:p w14:paraId="3952E686" w14:textId="79A0B437"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Sustainable Development Goals</w:t>
            </w:r>
          </w:p>
        </w:tc>
      </w:tr>
      <w:tr w:rsidR="00004EF8" w:rsidRPr="00855F84" w14:paraId="615EBA8B" w14:textId="77777777" w:rsidTr="008B426D">
        <w:trPr>
          <w:trHeight w:val="300"/>
        </w:trPr>
        <w:tc>
          <w:tcPr>
            <w:tcW w:w="1320" w:type="dxa"/>
            <w:noWrap/>
          </w:tcPr>
          <w:p w14:paraId="6C886059" w14:textId="6A583F46"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SI</w:t>
            </w:r>
          </w:p>
        </w:tc>
        <w:tc>
          <w:tcPr>
            <w:tcW w:w="7500" w:type="dxa"/>
            <w:noWrap/>
          </w:tcPr>
          <w:p w14:paraId="46E52F91" w14:textId="33AF567C"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Supplementary information</w:t>
            </w:r>
          </w:p>
        </w:tc>
      </w:tr>
      <w:tr w:rsidR="00004EF8" w:rsidRPr="00855F84" w14:paraId="0870F30C" w14:textId="77777777" w:rsidTr="008B426D">
        <w:trPr>
          <w:trHeight w:val="300"/>
        </w:trPr>
        <w:tc>
          <w:tcPr>
            <w:tcW w:w="1320" w:type="dxa"/>
            <w:noWrap/>
          </w:tcPr>
          <w:p w14:paraId="7F7A4B7E" w14:textId="57C18C9A" w:rsidR="00004EF8" w:rsidRPr="00855F84" w:rsidRDefault="00004EF8" w:rsidP="00004EF8">
            <w:pPr>
              <w:rPr>
                <w:rFonts w:ascii="Book Antiqua" w:eastAsia="Times New Roman" w:hAnsi="Book Antiqua" w:cs="Times New Roman"/>
                <w:color w:val="000000"/>
                <w:sz w:val="20"/>
                <w:szCs w:val="20"/>
              </w:rPr>
            </w:pPr>
            <w:proofErr w:type="spellStart"/>
            <w:r w:rsidRPr="00855F84">
              <w:rPr>
                <w:rFonts w:ascii="Book Antiqua" w:eastAsia="Times New Roman" w:hAnsi="Book Antiqua" w:cs="Times New Roman"/>
                <w:color w:val="000000"/>
                <w:sz w:val="20"/>
                <w:szCs w:val="20"/>
              </w:rPr>
              <w:t>SO</w:t>
            </w:r>
            <w:r w:rsidRPr="00855F84">
              <w:rPr>
                <w:rFonts w:ascii="Book Antiqua" w:eastAsia="Times New Roman" w:hAnsi="Book Antiqua" w:cs="Times New Roman"/>
                <w:color w:val="000000"/>
                <w:sz w:val="20"/>
                <w:szCs w:val="20"/>
                <w:vertAlign w:val="subscript"/>
              </w:rPr>
              <w:t>x</w:t>
            </w:r>
            <w:proofErr w:type="spellEnd"/>
          </w:p>
        </w:tc>
        <w:tc>
          <w:tcPr>
            <w:tcW w:w="7500" w:type="dxa"/>
            <w:noWrap/>
          </w:tcPr>
          <w:p w14:paraId="11AF2D7E" w14:textId="47A40DA6"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Sulfur Oxide</w:t>
            </w:r>
          </w:p>
        </w:tc>
      </w:tr>
      <w:tr w:rsidR="00004EF8" w:rsidRPr="00855F84" w14:paraId="3786EB45" w14:textId="77777777" w:rsidTr="008B426D">
        <w:trPr>
          <w:trHeight w:val="300"/>
        </w:trPr>
        <w:tc>
          <w:tcPr>
            <w:tcW w:w="1320" w:type="dxa"/>
            <w:noWrap/>
          </w:tcPr>
          <w:p w14:paraId="15A47F4C" w14:textId="0D2D4656"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TLCAM</w:t>
            </w:r>
          </w:p>
        </w:tc>
        <w:tc>
          <w:tcPr>
            <w:tcW w:w="7500" w:type="dxa"/>
            <w:noWrap/>
          </w:tcPr>
          <w:p w14:paraId="62B43CA2" w14:textId="1E06AAF2"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Tsinghua-LCA Model </w:t>
            </w:r>
          </w:p>
        </w:tc>
      </w:tr>
      <w:tr w:rsidR="00004EF8" w:rsidRPr="00855F84" w14:paraId="5047BAF9" w14:textId="77777777" w:rsidTr="008B426D">
        <w:trPr>
          <w:trHeight w:val="300"/>
        </w:trPr>
        <w:tc>
          <w:tcPr>
            <w:tcW w:w="1320" w:type="dxa"/>
            <w:noWrap/>
          </w:tcPr>
          <w:p w14:paraId="2F4E1BB4" w14:textId="416B5370"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UK</w:t>
            </w:r>
          </w:p>
        </w:tc>
        <w:tc>
          <w:tcPr>
            <w:tcW w:w="7500" w:type="dxa"/>
            <w:noWrap/>
          </w:tcPr>
          <w:p w14:paraId="628981DC" w14:textId="4D6CCD59"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United Kingdom</w:t>
            </w:r>
          </w:p>
        </w:tc>
      </w:tr>
      <w:tr w:rsidR="00004EF8" w:rsidRPr="00855F84" w14:paraId="22EDB63B" w14:textId="77777777" w:rsidTr="008B426D">
        <w:trPr>
          <w:trHeight w:val="300"/>
        </w:trPr>
        <w:tc>
          <w:tcPr>
            <w:tcW w:w="1320" w:type="dxa"/>
            <w:noWrap/>
          </w:tcPr>
          <w:p w14:paraId="4E515EA0" w14:textId="30F2BA69"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US</w:t>
            </w:r>
          </w:p>
        </w:tc>
        <w:tc>
          <w:tcPr>
            <w:tcW w:w="7500" w:type="dxa"/>
            <w:noWrap/>
          </w:tcPr>
          <w:p w14:paraId="22A805A8" w14:textId="444BE1F9"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United States </w:t>
            </w:r>
          </w:p>
        </w:tc>
      </w:tr>
      <w:tr w:rsidR="00004EF8" w:rsidRPr="00855F84" w14:paraId="47B4D2B0" w14:textId="77777777" w:rsidTr="008B426D">
        <w:trPr>
          <w:trHeight w:val="300"/>
        </w:trPr>
        <w:tc>
          <w:tcPr>
            <w:tcW w:w="1320" w:type="dxa"/>
            <w:noWrap/>
          </w:tcPr>
          <w:p w14:paraId="5B51C4CE" w14:textId="7611387F"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UNDP</w:t>
            </w:r>
          </w:p>
        </w:tc>
        <w:tc>
          <w:tcPr>
            <w:tcW w:w="7500" w:type="dxa"/>
            <w:noWrap/>
          </w:tcPr>
          <w:p w14:paraId="6AF803C0" w14:textId="0DB1491D"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 xml:space="preserve">United Nations Development </w:t>
            </w:r>
            <w:proofErr w:type="spellStart"/>
            <w:r w:rsidRPr="00855F84">
              <w:rPr>
                <w:rFonts w:ascii="Book Antiqua" w:eastAsia="Times New Roman" w:hAnsi="Book Antiqua" w:cs="Times New Roman"/>
                <w:color w:val="000000"/>
                <w:sz w:val="20"/>
                <w:szCs w:val="20"/>
              </w:rPr>
              <w:t>Programme</w:t>
            </w:r>
            <w:proofErr w:type="spellEnd"/>
          </w:p>
        </w:tc>
      </w:tr>
      <w:tr w:rsidR="00004EF8" w:rsidRPr="00855F84" w14:paraId="0E6A1B5E" w14:textId="77777777" w:rsidTr="008B426D">
        <w:trPr>
          <w:trHeight w:val="300"/>
        </w:trPr>
        <w:tc>
          <w:tcPr>
            <w:tcW w:w="1320" w:type="dxa"/>
            <w:noWrap/>
          </w:tcPr>
          <w:p w14:paraId="689211B6" w14:textId="3050EBE3"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WCED</w:t>
            </w:r>
          </w:p>
        </w:tc>
        <w:tc>
          <w:tcPr>
            <w:tcW w:w="7500" w:type="dxa"/>
            <w:noWrap/>
          </w:tcPr>
          <w:p w14:paraId="46BE525A" w14:textId="40098A75"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World Commission on Environment and Development</w:t>
            </w:r>
          </w:p>
        </w:tc>
      </w:tr>
      <w:tr w:rsidR="00004EF8" w:rsidRPr="00855F84" w14:paraId="7F6551AC" w14:textId="77777777" w:rsidTr="008B426D">
        <w:trPr>
          <w:trHeight w:val="300"/>
        </w:trPr>
        <w:tc>
          <w:tcPr>
            <w:tcW w:w="1320" w:type="dxa"/>
            <w:noWrap/>
          </w:tcPr>
          <w:p w14:paraId="5B1D78ED" w14:textId="64AB15EA"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WSSD</w:t>
            </w:r>
          </w:p>
        </w:tc>
        <w:tc>
          <w:tcPr>
            <w:tcW w:w="7500" w:type="dxa"/>
            <w:noWrap/>
          </w:tcPr>
          <w:p w14:paraId="14B503F4" w14:textId="5C4D5976"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World Summit on Sustainable Development</w:t>
            </w:r>
          </w:p>
        </w:tc>
      </w:tr>
      <w:tr w:rsidR="00004EF8" w:rsidRPr="00855F84" w14:paraId="5101125E" w14:textId="77777777" w:rsidTr="008B426D">
        <w:trPr>
          <w:trHeight w:val="300"/>
        </w:trPr>
        <w:tc>
          <w:tcPr>
            <w:tcW w:w="1320" w:type="dxa"/>
            <w:noWrap/>
          </w:tcPr>
          <w:p w14:paraId="7420907D" w14:textId="3CB5F53F"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WTW</w:t>
            </w:r>
          </w:p>
        </w:tc>
        <w:tc>
          <w:tcPr>
            <w:tcW w:w="7500" w:type="dxa"/>
            <w:noWrap/>
          </w:tcPr>
          <w:p w14:paraId="2053FC41" w14:textId="64E5B8AB" w:rsidR="00004EF8" w:rsidRPr="00855F84" w:rsidRDefault="00004EF8" w:rsidP="00004EF8">
            <w:pPr>
              <w:rPr>
                <w:rFonts w:ascii="Book Antiqua" w:eastAsia="Times New Roman" w:hAnsi="Book Antiqua" w:cs="Times New Roman"/>
                <w:color w:val="000000"/>
                <w:sz w:val="20"/>
                <w:szCs w:val="20"/>
              </w:rPr>
            </w:pPr>
            <w:r w:rsidRPr="00855F84">
              <w:rPr>
                <w:rFonts w:ascii="Book Antiqua" w:eastAsia="Times New Roman" w:hAnsi="Book Antiqua" w:cs="Times New Roman"/>
                <w:color w:val="000000"/>
                <w:sz w:val="20"/>
                <w:szCs w:val="20"/>
              </w:rPr>
              <w:t>Well-to-Wheel</w:t>
            </w:r>
          </w:p>
        </w:tc>
      </w:tr>
    </w:tbl>
    <w:p w14:paraId="00C7944C" w14:textId="77777777" w:rsidR="00D27EB9" w:rsidRDefault="00D27EB9" w:rsidP="00D27EB9">
      <w:pPr>
        <w:pStyle w:val="Head1"/>
        <w:numPr>
          <w:ilvl w:val="0"/>
          <w:numId w:val="0"/>
        </w:numPr>
      </w:pPr>
    </w:p>
    <w:p w14:paraId="4EAFF64D" w14:textId="77777777" w:rsidR="00A66912" w:rsidRDefault="00A66912">
      <w:pPr>
        <w:rPr>
          <w:rFonts w:ascii="Book Antiqua" w:hAnsi="Book Antiqua" w:cstheme="majorBidi"/>
          <w:b/>
          <w:bCs/>
          <w:sz w:val="24"/>
          <w:szCs w:val="24"/>
        </w:rPr>
      </w:pPr>
      <w:r>
        <w:br w:type="page"/>
      </w:r>
    </w:p>
    <w:p w14:paraId="64D3A561" w14:textId="3DFA6DA6" w:rsidR="009B2BB4" w:rsidRDefault="009B2BB4" w:rsidP="00D27EB9">
      <w:pPr>
        <w:pStyle w:val="Head1"/>
        <w:numPr>
          <w:ilvl w:val="0"/>
          <w:numId w:val="4"/>
        </w:numPr>
      </w:pPr>
      <w:bookmarkStart w:id="1" w:name="_Toc52635261"/>
      <w:r>
        <w:lastRenderedPageBreak/>
        <w:t>Further Literature Review</w:t>
      </w:r>
      <w:bookmarkEnd w:id="1"/>
    </w:p>
    <w:p w14:paraId="0B6FFC10" w14:textId="681565B7" w:rsidR="00F9441E" w:rsidRPr="00F9441E" w:rsidRDefault="00F9441E" w:rsidP="00F9441E">
      <w:pPr>
        <w:pStyle w:val="Head2"/>
        <w:numPr>
          <w:ilvl w:val="1"/>
          <w:numId w:val="4"/>
        </w:numPr>
        <w:spacing w:before="240" w:line="480" w:lineRule="auto"/>
        <w:rPr>
          <w:i/>
          <w:iCs/>
        </w:rPr>
      </w:pPr>
      <w:bookmarkStart w:id="2" w:name="_Toc52635262"/>
      <w:r>
        <w:rPr>
          <w:i/>
          <w:iCs/>
        </w:rPr>
        <w:t>T</w:t>
      </w:r>
      <w:r w:rsidRPr="00F9441E">
        <w:rPr>
          <w:i/>
          <w:iCs/>
        </w:rPr>
        <w:t>ransportation</w:t>
      </w:r>
      <w:r>
        <w:rPr>
          <w:i/>
          <w:iCs/>
        </w:rPr>
        <w:t xml:space="preserve"> of LNG product</w:t>
      </w:r>
      <w:bookmarkEnd w:id="2"/>
      <w:r>
        <w:rPr>
          <w:i/>
          <w:iCs/>
        </w:rPr>
        <w:t xml:space="preserve"> </w:t>
      </w:r>
      <w:r w:rsidRPr="00F9441E">
        <w:rPr>
          <w:i/>
          <w:iCs/>
        </w:rPr>
        <w:t xml:space="preserve">  </w:t>
      </w:r>
    </w:p>
    <w:p w14:paraId="6225A67C" w14:textId="1A8CEEF6" w:rsidR="00F9441E" w:rsidRPr="001A465F" w:rsidRDefault="00F9441E" w:rsidP="00F9441E">
      <w:pPr>
        <w:pStyle w:val="MDPI31text"/>
      </w:pPr>
      <w:r w:rsidRPr="001A465F">
        <w:t>Transportation of LNG starting</w:t>
      </w:r>
      <w:r>
        <w:t xml:space="preserve"> from the manufacturing facility </w:t>
      </w:r>
      <w:r w:rsidRPr="001A465F">
        <w:t xml:space="preserve">to the </w:t>
      </w:r>
      <w:r>
        <w:t xml:space="preserve">end-user location </w:t>
      </w:r>
      <w:r w:rsidRPr="001A465F">
        <w:t xml:space="preserve">has been a challenge because of the possibility of changing </w:t>
      </w:r>
      <w:r>
        <w:t xml:space="preserve">the LNG </w:t>
      </w:r>
      <w:r w:rsidRPr="001A465F">
        <w:t xml:space="preserve">back to </w:t>
      </w:r>
      <w:r>
        <w:t>the gas phase</w:t>
      </w:r>
      <w:r w:rsidRPr="001A465F">
        <w:t xml:space="preserve">. </w:t>
      </w:r>
      <w:r w:rsidR="00C5011A">
        <w:t>For this purpose,</w:t>
      </w:r>
      <w:r w:rsidRPr="001A465F">
        <w:t xml:space="preserve"> </w:t>
      </w:r>
      <w:r w:rsidR="00AD21E2">
        <w:t>pipelines are</w:t>
      </w:r>
      <w:r w:rsidRPr="001A465F">
        <w:t xml:space="preserve"> the most preferred mode of transporting liquid gas from one point to another. The demand for LNG in remote places in the 1960s necessitated the design of a suitable and safe way of transporting LNG. However, using pipelines to transport LNG to remote areas was considered </w:t>
      </w:r>
      <w:r w:rsidR="00C5011A">
        <w:t>either economically infeasible or technologically impractical</w:t>
      </w:r>
      <w:r w:rsidRPr="001A465F">
        <w:t xml:space="preserve"> [1]. The use of pipelines in the transportation of LNG is recommendable for </w:t>
      </w:r>
      <w:proofErr w:type="gramStart"/>
      <w:r w:rsidRPr="001A465F">
        <w:t>a distance of approximately</w:t>
      </w:r>
      <w:proofErr w:type="gramEnd"/>
      <w:r w:rsidRPr="001A465F">
        <w:t xml:space="preserve"> 2,000km. When the distance exceeds 2,000km, there is a significant increase in the costs involved [2]. However, the benefits </w:t>
      </w:r>
      <w:r w:rsidR="00C5011A">
        <w:t>associated with the use of LNG mean that there is a need for</w:t>
      </w:r>
      <w:r w:rsidRPr="001A465F">
        <w:t xml:space="preserve"> effective ways of transporting it from one place to another. Among the benefits that are </w:t>
      </w:r>
      <w:r w:rsidR="00C5011A">
        <w:t>related to</w:t>
      </w:r>
      <w:r w:rsidRPr="001A465F">
        <w:t xml:space="preserve"> the use of LNG </w:t>
      </w:r>
      <w:r w:rsidR="00C5011A">
        <w:t>is</w:t>
      </w:r>
      <w:r w:rsidR="00C5011A" w:rsidRPr="001A465F">
        <w:t xml:space="preserve"> </w:t>
      </w:r>
      <w:r w:rsidRPr="001A465F">
        <w:t>less emission of sulfur oxide (</w:t>
      </w:r>
      <w:proofErr w:type="spellStart"/>
      <w:r w:rsidRPr="001A465F">
        <w:t>SO</w:t>
      </w:r>
      <w:r w:rsidRPr="001A465F">
        <w:rPr>
          <w:vertAlign w:val="subscript"/>
        </w:rPr>
        <w:t>x</w:t>
      </w:r>
      <w:proofErr w:type="spellEnd"/>
      <w:r w:rsidRPr="001A465F">
        <w:t>), nitrogen oxides (NO</w:t>
      </w:r>
      <w:r w:rsidRPr="001A465F">
        <w:rPr>
          <w:vertAlign w:val="subscript"/>
        </w:rPr>
        <w:t>x</w:t>
      </w:r>
      <w:r>
        <w:t xml:space="preserve">), and carbon </w:t>
      </w:r>
      <w:r w:rsidRPr="001A465F">
        <w:t>oxide</w:t>
      </w:r>
      <w:r>
        <w:t>s</w:t>
      </w:r>
      <w:r w:rsidRPr="001A465F">
        <w:t xml:space="preserve"> (</w:t>
      </w:r>
      <w:proofErr w:type="spellStart"/>
      <w:r w:rsidRPr="001A465F">
        <w:t>CO</w:t>
      </w:r>
      <w:r>
        <w:rPr>
          <w:vertAlign w:val="subscript"/>
        </w:rPr>
        <w:t>x</w:t>
      </w:r>
      <w:proofErr w:type="spellEnd"/>
      <w:r w:rsidRPr="001A465F">
        <w:t xml:space="preserve">) </w:t>
      </w:r>
      <w:r>
        <w:t xml:space="preserve">in comparison with other </w:t>
      </w:r>
      <w:r w:rsidRPr="001A465F">
        <w:t xml:space="preserve">alternatives </w:t>
      </w:r>
      <w:r>
        <w:t>(e.g.</w:t>
      </w:r>
      <w:r w:rsidR="00C5011A">
        <w:t>,</w:t>
      </w:r>
      <w:r>
        <w:t xml:space="preserve"> </w:t>
      </w:r>
      <w:r w:rsidRPr="001A465F">
        <w:t>diesel</w:t>
      </w:r>
      <w:r>
        <w:t>)</w:t>
      </w:r>
      <w:r w:rsidRPr="001A465F">
        <w:t xml:space="preserve"> [3,4]</w:t>
      </w:r>
      <w:proofErr w:type="gramStart"/>
      <w:r w:rsidRPr="001A465F">
        <w:t xml:space="preserve">.  </w:t>
      </w:r>
      <w:proofErr w:type="gramEnd"/>
    </w:p>
    <w:p w14:paraId="5970D77C" w14:textId="38F8DC59" w:rsidR="00F9441E" w:rsidRPr="001A465F" w:rsidRDefault="00F9441E" w:rsidP="00F9441E">
      <w:pPr>
        <w:pStyle w:val="MDPI31text"/>
      </w:pPr>
      <w:r w:rsidRPr="001A465F">
        <w:t xml:space="preserve">LNG </w:t>
      </w:r>
      <w:r>
        <w:t xml:space="preserve">is known as </w:t>
      </w:r>
      <w:r w:rsidRPr="001A465F">
        <w:t xml:space="preserve">a green </w:t>
      </w:r>
      <w:r>
        <w:t>source of energy</w:t>
      </w:r>
      <w:r w:rsidRPr="001A465F">
        <w:t xml:space="preserve"> for the future</w:t>
      </w:r>
      <w:r>
        <w:t>.</w:t>
      </w:r>
      <w:r w:rsidRPr="001A465F">
        <w:t xml:space="preserve"> </w:t>
      </w:r>
      <w:r>
        <w:t>The l</w:t>
      </w:r>
      <w:r w:rsidRPr="001A465F">
        <w:t xml:space="preserve">ife cycle analysis of </w:t>
      </w:r>
      <w:r>
        <w:t>Greenhouse Gas (</w:t>
      </w:r>
      <w:r w:rsidRPr="001A465F">
        <w:t>GHG</w:t>
      </w:r>
      <w:r>
        <w:t>)</w:t>
      </w:r>
      <w:r w:rsidRPr="001A465F">
        <w:t xml:space="preserve"> emission</w:t>
      </w:r>
      <w:r>
        <w:t>s</w:t>
      </w:r>
      <w:r w:rsidRPr="001A465F">
        <w:t xml:space="preserve"> </w:t>
      </w:r>
      <w:r>
        <w:t>of LNG i</w:t>
      </w:r>
      <w:r w:rsidR="00C5011A">
        <w:t>llustrates</w:t>
      </w:r>
      <w:r>
        <w:t xml:space="preserve"> much better improvement </w:t>
      </w:r>
      <w:r w:rsidR="00C5011A">
        <w:t>than other</w:t>
      </w:r>
      <w:r w:rsidRPr="001A465F">
        <w:t xml:space="preserve"> fuels. The</w:t>
      </w:r>
      <w:r>
        <w:t>re</w:t>
      </w:r>
      <w:r w:rsidRPr="001A465F">
        <w:t xml:space="preserve"> </w:t>
      </w:r>
      <w:r>
        <w:t xml:space="preserve">is a clear and positive relationship </w:t>
      </w:r>
      <w:r w:rsidRPr="001A465F">
        <w:t>between LNG and sustainab</w:t>
      </w:r>
      <w:r>
        <w:t xml:space="preserve">le development referred to the advantages in reducing the environmental footprint, promising future in safety and social respects, and </w:t>
      </w:r>
      <w:r w:rsidRPr="001A465F">
        <w:t xml:space="preserve">the flexible and </w:t>
      </w:r>
      <w:r>
        <w:t xml:space="preserve">available </w:t>
      </w:r>
      <w:r w:rsidRPr="001A465F">
        <w:t xml:space="preserve">solutions </w:t>
      </w:r>
      <w:r>
        <w:t>for many uses globally along with</w:t>
      </w:r>
      <w:r w:rsidRPr="001A465F">
        <w:t xml:space="preserve"> renewable energy sources.</w:t>
      </w:r>
    </w:p>
    <w:p w14:paraId="5907943A" w14:textId="665BCE94" w:rsidR="00F9441E" w:rsidRPr="001A465F" w:rsidRDefault="00F9441E" w:rsidP="00F9441E">
      <w:pPr>
        <w:pStyle w:val="MDPI31text"/>
      </w:pPr>
      <w:r w:rsidRPr="001A465F">
        <w:t>Unlike pipelines, LNG cargoes have the benefit of flexibility. They can be used to access any part of the nation, thus enabling the supply of the commodity to</w:t>
      </w:r>
      <w:r>
        <w:t xml:space="preserve"> respond to changes in demand [</w:t>
      </w:r>
      <w:r w:rsidRPr="001A465F">
        <w:t xml:space="preserve">5]. However, the supply of LNG has often been hindered by the difficulty of selecting the most appropriate supplier. There are various models for determining the </w:t>
      </w:r>
      <w:r w:rsidR="00C5011A">
        <w:t>suitable</w:t>
      </w:r>
      <w:r w:rsidR="00C5011A" w:rsidRPr="001A465F">
        <w:t xml:space="preserve"> </w:t>
      </w:r>
      <w:r w:rsidRPr="001A465F">
        <w:t xml:space="preserve">suppliers that have been used in </w:t>
      </w:r>
      <w:r w:rsidR="00C5011A">
        <w:t>multiple</w:t>
      </w:r>
      <w:r w:rsidR="00C5011A" w:rsidRPr="001A465F">
        <w:t xml:space="preserve"> </w:t>
      </w:r>
      <w:r w:rsidRPr="001A465F">
        <w:t xml:space="preserve">sectors. There is one approach that </w:t>
      </w:r>
      <w:r w:rsidR="00C5011A" w:rsidRPr="001A465F">
        <w:t>involve</w:t>
      </w:r>
      <w:r w:rsidR="00C5011A">
        <w:t>s</w:t>
      </w:r>
      <w:r w:rsidR="00C5011A" w:rsidRPr="001A465F">
        <w:t xml:space="preserve"> </w:t>
      </w:r>
      <w:r w:rsidRPr="001A465F">
        <w:t xml:space="preserve">four steps. The first step of this model </w:t>
      </w:r>
      <w:r w:rsidR="00C5011A">
        <w:t>consists in</w:t>
      </w:r>
      <w:r w:rsidR="00C5011A" w:rsidRPr="001A465F">
        <w:t xml:space="preserve"> </w:t>
      </w:r>
      <w:r w:rsidRPr="001A465F">
        <w:t xml:space="preserve">defining the objectives that need to be met by the supplier. The second step </w:t>
      </w:r>
      <w:r w:rsidR="00C5011A">
        <w:t>consists of</w:t>
      </w:r>
      <w:r w:rsidR="00C5011A" w:rsidRPr="001A465F">
        <w:t xml:space="preserve"> </w:t>
      </w:r>
      <w:r w:rsidR="00C5011A">
        <w:t>developing</w:t>
      </w:r>
      <w:r w:rsidRPr="001A465F">
        <w:t xml:space="preserve"> selection criteria, which entails the identification of the traits that an organization will be seeking in a supplier. The third step involves the qualification of suitable alternatives with reference to the criteria developed in step two. The final stage is the selection of suppliers. </w:t>
      </w:r>
      <w:r w:rsidR="00C5011A">
        <w:t>The criteria commonly used in selecting an appropriate supplier are</w:t>
      </w:r>
      <w:r w:rsidRPr="001A465F">
        <w:t xml:space="preserve"> delivery c</w:t>
      </w:r>
      <w:r>
        <w:t>ost, quality, and flexibility [</w:t>
      </w:r>
      <w:r w:rsidRPr="001A465F">
        <w:t xml:space="preserve">6,7]. The risks that are supposed to be taken into consideration include availability and stability. Furthermore, there are also commercial, political, and geographical risks that </w:t>
      </w:r>
      <w:r w:rsidR="00AD21E2">
        <w:t>should</w:t>
      </w:r>
      <w:r>
        <w:t xml:space="preserve"> be </w:t>
      </w:r>
      <w:r w:rsidR="00C5011A">
        <w:t>considered</w:t>
      </w:r>
      <w:r>
        <w:t xml:space="preserve"> [</w:t>
      </w:r>
      <w:r w:rsidRPr="001A465F">
        <w:t xml:space="preserve">8,9]. </w:t>
      </w:r>
    </w:p>
    <w:p w14:paraId="10A29CD0" w14:textId="6EDC2C55" w:rsidR="009B2BB4" w:rsidRPr="009B2BB4" w:rsidRDefault="009B2BB4" w:rsidP="00F9441E">
      <w:pPr>
        <w:pStyle w:val="Head2"/>
        <w:numPr>
          <w:ilvl w:val="1"/>
          <w:numId w:val="4"/>
        </w:numPr>
        <w:spacing w:before="240" w:line="480" w:lineRule="auto"/>
        <w:rPr>
          <w:i/>
          <w:iCs/>
        </w:rPr>
      </w:pPr>
      <w:bookmarkStart w:id="3" w:name="_Toc52635263"/>
      <w:r w:rsidRPr="009B2BB4">
        <w:rPr>
          <w:i/>
          <w:iCs/>
        </w:rPr>
        <w:t xml:space="preserve">Emissions of </w:t>
      </w:r>
      <w:r w:rsidR="00F9441E">
        <w:rPr>
          <w:i/>
          <w:iCs/>
        </w:rPr>
        <w:t>LNG</w:t>
      </w:r>
      <w:r w:rsidRPr="009B2BB4">
        <w:rPr>
          <w:i/>
          <w:iCs/>
        </w:rPr>
        <w:t xml:space="preserve"> against coal and oil</w:t>
      </w:r>
      <w:bookmarkEnd w:id="3"/>
    </w:p>
    <w:p w14:paraId="49669048" w14:textId="467E1BC2" w:rsidR="009B2BB4" w:rsidRDefault="009B2BB4" w:rsidP="00F9441E">
      <w:pPr>
        <w:pStyle w:val="MDPI31text"/>
      </w:pPr>
      <w:r>
        <w:t xml:space="preserve">The energy industry has often been under scrutiny for its impact on the environment. </w:t>
      </w:r>
      <w:r w:rsidR="00C5011A">
        <w:t>Industries' influence on the surrounding environment</w:t>
      </w:r>
      <w:r>
        <w:t xml:space="preserve"> is not entirely attributed to the nature of combusting the fuels. Other processes such as production, exploitation, and transportation of </w:t>
      </w:r>
      <w:r w:rsidR="00C5011A">
        <w:t xml:space="preserve">energy sources have been confirmed to </w:t>
      </w:r>
      <w:proofErr w:type="gramStart"/>
      <w:r w:rsidR="00C5011A">
        <w:t>have an effect on</w:t>
      </w:r>
      <w:proofErr w:type="gramEnd"/>
      <w:r w:rsidR="00C5011A">
        <w:t xml:space="preserve"> the ecosystems and</w:t>
      </w:r>
      <w:r>
        <w:t xml:space="preserve"> the environment [</w:t>
      </w:r>
      <w:r w:rsidR="00F9441E">
        <w:t>10</w:t>
      </w:r>
      <w:r>
        <w:t>]. The mainstream of the energy that is consumed globally comes from sources that are not environmentally sustainable. Fossil fuel, which is the most demanded of the available sources of energy, has the highest level of threat to the environment [</w:t>
      </w:r>
      <w:r w:rsidR="00F9441E">
        <w:t>11</w:t>
      </w:r>
      <w:r>
        <w:t>]. The carbon dioxide (CO</w:t>
      </w:r>
      <w:r w:rsidRPr="00320C07">
        <w:rPr>
          <w:vertAlign w:val="subscript"/>
        </w:rPr>
        <w:t>2</w:t>
      </w:r>
      <w:r>
        <w:t>) produced after the combustion of fossil fuels causes harm to the environment by causing global warming [</w:t>
      </w:r>
      <w:r w:rsidR="00F9441E">
        <w:t>12</w:t>
      </w:r>
      <w:r>
        <w:t xml:space="preserve">]. However, </w:t>
      </w:r>
      <w:r w:rsidR="00C5011A">
        <w:t>the carbon monoxide (CO) produced after the combustion of fossil fuels</w:t>
      </w:r>
      <w:r>
        <w:t xml:space="preserve"> should be of </w:t>
      </w:r>
      <w:r w:rsidR="00C5011A">
        <w:t xml:space="preserve">more significant </w:t>
      </w:r>
      <w:r>
        <w:t xml:space="preserve">concern. CO is a colorless, scentless, and tasteless gas that is poisonous. </w:t>
      </w:r>
      <w:r w:rsidR="00C5011A">
        <w:t>A</w:t>
      </w:r>
      <w:r>
        <w:t xml:space="preserve"> </w:t>
      </w:r>
      <w:r w:rsidR="00C5011A">
        <w:t>slightly above 0.5% CO concentration</w:t>
      </w:r>
      <w:r>
        <w:t xml:space="preserve"> can kill a person after just 15 minutes of breathing [</w:t>
      </w:r>
      <w:r w:rsidR="00F9441E">
        <w:t>13</w:t>
      </w:r>
      <w:r>
        <w:t>,1</w:t>
      </w:r>
      <w:r w:rsidR="00F9441E">
        <w:t>4</w:t>
      </w:r>
      <w:r>
        <w:t>].</w:t>
      </w:r>
    </w:p>
    <w:p w14:paraId="7EBA0740" w14:textId="604CD19C" w:rsidR="009B2BB4" w:rsidRDefault="009B2BB4" w:rsidP="00DF1CB4">
      <w:pPr>
        <w:pStyle w:val="MDPI31text"/>
      </w:pPr>
      <w:r>
        <w:lastRenderedPageBreak/>
        <w:t>In addition to CO and CO</w:t>
      </w:r>
      <w:r w:rsidRPr="00320C07">
        <w:rPr>
          <w:vertAlign w:val="subscript"/>
        </w:rPr>
        <w:t>2</w:t>
      </w:r>
      <w:r>
        <w:t xml:space="preserve">, </w:t>
      </w:r>
      <w:r w:rsidR="00C5011A">
        <w:t>oil and coal combustion</w:t>
      </w:r>
      <w:r>
        <w:t xml:space="preserve"> </w:t>
      </w:r>
      <w:r w:rsidR="00645F74">
        <w:t>releases</w:t>
      </w:r>
      <w:r>
        <w:t xml:space="preserve"> particles of dangerous </w:t>
      </w:r>
      <w:proofErr w:type="spellStart"/>
      <w:r>
        <w:t>SOx</w:t>
      </w:r>
      <w:proofErr w:type="spellEnd"/>
      <w:r>
        <w:t xml:space="preserve"> and NOx into the environment. When natural gas is compared to both coal and oil, it is noted that the production of </w:t>
      </w:r>
      <w:proofErr w:type="spellStart"/>
      <w:r>
        <w:t>SOx</w:t>
      </w:r>
      <w:proofErr w:type="spellEnd"/>
      <w:r>
        <w:t xml:space="preserve"> is reduced to almost zero. The production of NOx is reduced with a percentage of around 75-80, particulate matter reduction close to the percentage of 99, reduction of sulfur oxides (</w:t>
      </w:r>
      <w:proofErr w:type="spellStart"/>
      <w:r>
        <w:t>SOx</w:t>
      </w:r>
      <w:proofErr w:type="spellEnd"/>
      <w:r>
        <w:t xml:space="preserve">) emissions relatively close to 100 percent, and </w:t>
      </w:r>
      <w:proofErr w:type="gramStart"/>
      <w:r>
        <w:t>last but not least</w:t>
      </w:r>
      <w:proofErr w:type="gramEnd"/>
      <w:r>
        <w:t>, 70 percent less in GHG emissions [</w:t>
      </w:r>
      <w:r w:rsidR="00DF1CB4">
        <w:t>14</w:t>
      </w:r>
      <w:r>
        <w:t>,</w:t>
      </w:r>
      <w:r w:rsidR="00DF1CB4">
        <w:t>15</w:t>
      </w:r>
      <w:r>
        <w:t>] as mentioned in Table 1.</w:t>
      </w:r>
    </w:p>
    <w:p w14:paraId="332C9052" w14:textId="77777777" w:rsidR="00855F84" w:rsidRDefault="00855F84" w:rsidP="00DF1CB4">
      <w:pPr>
        <w:pStyle w:val="MDPI31text"/>
      </w:pPr>
    </w:p>
    <w:p w14:paraId="41B50E12" w14:textId="388556AB" w:rsidR="009B2BB4" w:rsidRPr="00997F64" w:rsidRDefault="00855F84" w:rsidP="00855F84">
      <w:pPr>
        <w:pStyle w:val="Caption"/>
        <w:jc w:val="center"/>
      </w:pPr>
      <w:bookmarkStart w:id="4" w:name="_Toc42885834"/>
      <w:r>
        <w:t xml:space="preserve">Table </w:t>
      </w:r>
      <w:r>
        <w:fldChar w:fldCharType="begin"/>
      </w:r>
      <w:r>
        <w:instrText xml:space="preserve"> SEQ Table \* ARABIC </w:instrText>
      </w:r>
      <w:r>
        <w:fldChar w:fldCharType="separate"/>
      </w:r>
      <w:r>
        <w:t>1</w:t>
      </w:r>
      <w:r>
        <w:fldChar w:fldCharType="end"/>
      </w:r>
      <w:r w:rsidR="009B2BB4" w:rsidRPr="00997F64">
        <w:t xml:space="preserve">. </w:t>
      </w:r>
      <w:r w:rsidR="009B2BB4">
        <w:t>Comparison of LNG, Oil, and Coal emissions</w:t>
      </w:r>
      <w:r w:rsidR="009B2BB4" w:rsidRPr="00855F84">
        <w:rPr>
          <w:vertAlign w:val="superscript"/>
        </w:rPr>
        <w:footnoteReference w:id="1"/>
      </w:r>
      <w:r w:rsidR="009B2BB4">
        <w:t xml:space="preserve"> [</w:t>
      </w:r>
      <w:r w:rsidR="00DF1CB4">
        <w:t>16</w:t>
      </w:r>
      <w:r w:rsidR="009B2BB4">
        <w:t>].</w:t>
      </w:r>
      <w:bookmarkEnd w:id="4"/>
    </w:p>
    <w:tbl>
      <w:tblPr>
        <w:tblW w:w="0" w:type="auto"/>
        <w:jc w:val="center"/>
        <w:tblBorders>
          <w:top w:val="single" w:sz="8" w:space="0" w:color="auto"/>
          <w:bottom w:val="single" w:sz="8" w:space="0" w:color="auto"/>
        </w:tblBorders>
        <w:tblLook w:val="04A0" w:firstRow="1" w:lastRow="0" w:firstColumn="1" w:lastColumn="0" w:noHBand="0" w:noVBand="1"/>
      </w:tblPr>
      <w:tblGrid>
        <w:gridCol w:w="2049"/>
        <w:gridCol w:w="1599"/>
        <w:gridCol w:w="1599"/>
        <w:gridCol w:w="1599"/>
      </w:tblGrid>
      <w:tr w:rsidR="009B2BB4" w:rsidRPr="000339E8" w14:paraId="302EAB16" w14:textId="77777777" w:rsidTr="00F934BE">
        <w:trPr>
          <w:jc w:val="center"/>
        </w:trPr>
        <w:tc>
          <w:tcPr>
            <w:tcW w:w="2049" w:type="dxa"/>
            <w:tcBorders>
              <w:bottom w:val="single" w:sz="4" w:space="0" w:color="auto"/>
            </w:tcBorders>
          </w:tcPr>
          <w:p w14:paraId="59E9B110" w14:textId="77777777" w:rsidR="009B2BB4" w:rsidRPr="000339E8" w:rsidRDefault="009B2BB4" w:rsidP="00F934BE">
            <w:pPr>
              <w:pStyle w:val="MDPI42tablebody"/>
              <w:spacing w:line="240" w:lineRule="auto"/>
              <w:rPr>
                <w:b/>
                <w:snapToGrid/>
              </w:rPr>
            </w:pPr>
            <w:r>
              <w:rPr>
                <w:b/>
                <w:snapToGrid/>
              </w:rPr>
              <w:t>Pollutant</w:t>
            </w:r>
          </w:p>
        </w:tc>
        <w:tc>
          <w:tcPr>
            <w:tcW w:w="1599" w:type="dxa"/>
            <w:tcBorders>
              <w:bottom w:val="single" w:sz="4" w:space="0" w:color="auto"/>
            </w:tcBorders>
            <w:shd w:val="clear" w:color="auto" w:fill="auto"/>
            <w:vAlign w:val="center"/>
          </w:tcPr>
          <w:p w14:paraId="753A9B8F" w14:textId="77777777" w:rsidR="009B2BB4" w:rsidRPr="000339E8" w:rsidRDefault="009B2BB4" w:rsidP="00F934BE">
            <w:pPr>
              <w:pStyle w:val="MDPI42tablebody"/>
              <w:spacing w:line="240" w:lineRule="auto"/>
              <w:rPr>
                <w:b/>
                <w:snapToGrid/>
              </w:rPr>
            </w:pPr>
            <w:r>
              <w:rPr>
                <w:b/>
                <w:snapToGrid/>
              </w:rPr>
              <w:t>LNG</w:t>
            </w:r>
          </w:p>
        </w:tc>
        <w:tc>
          <w:tcPr>
            <w:tcW w:w="1599" w:type="dxa"/>
            <w:tcBorders>
              <w:bottom w:val="single" w:sz="4" w:space="0" w:color="auto"/>
            </w:tcBorders>
            <w:shd w:val="clear" w:color="auto" w:fill="auto"/>
            <w:vAlign w:val="center"/>
          </w:tcPr>
          <w:p w14:paraId="646EBA9A" w14:textId="77777777" w:rsidR="009B2BB4" w:rsidRPr="000339E8" w:rsidRDefault="009B2BB4" w:rsidP="00F934BE">
            <w:pPr>
              <w:pStyle w:val="MDPI42tablebody"/>
              <w:spacing w:line="240" w:lineRule="auto"/>
              <w:rPr>
                <w:b/>
                <w:snapToGrid/>
              </w:rPr>
            </w:pPr>
            <w:r>
              <w:rPr>
                <w:b/>
                <w:snapToGrid/>
              </w:rPr>
              <w:t>Oil</w:t>
            </w:r>
          </w:p>
        </w:tc>
        <w:tc>
          <w:tcPr>
            <w:tcW w:w="1599" w:type="dxa"/>
            <w:tcBorders>
              <w:bottom w:val="single" w:sz="4" w:space="0" w:color="auto"/>
            </w:tcBorders>
            <w:shd w:val="clear" w:color="auto" w:fill="auto"/>
            <w:vAlign w:val="center"/>
          </w:tcPr>
          <w:p w14:paraId="06F99751" w14:textId="77777777" w:rsidR="009B2BB4" w:rsidRPr="000339E8" w:rsidRDefault="009B2BB4" w:rsidP="00F934BE">
            <w:pPr>
              <w:pStyle w:val="MDPI42tablebody"/>
              <w:spacing w:line="240" w:lineRule="auto"/>
              <w:rPr>
                <w:b/>
                <w:snapToGrid/>
              </w:rPr>
            </w:pPr>
            <w:r>
              <w:rPr>
                <w:b/>
                <w:snapToGrid/>
              </w:rPr>
              <w:t>Coal</w:t>
            </w:r>
          </w:p>
        </w:tc>
      </w:tr>
      <w:tr w:rsidR="009B2BB4" w:rsidRPr="00997F64" w14:paraId="18E48360" w14:textId="77777777" w:rsidTr="00F934BE">
        <w:trPr>
          <w:jc w:val="center"/>
        </w:trPr>
        <w:tc>
          <w:tcPr>
            <w:tcW w:w="2049" w:type="dxa"/>
          </w:tcPr>
          <w:p w14:paraId="0966285D" w14:textId="77777777" w:rsidR="009B2BB4" w:rsidRPr="00997F64" w:rsidRDefault="009B2BB4" w:rsidP="00F934BE">
            <w:pPr>
              <w:pStyle w:val="MDPI42tablebody"/>
              <w:spacing w:line="240" w:lineRule="auto"/>
            </w:pPr>
            <w:r>
              <w:t>CO2</w:t>
            </w:r>
          </w:p>
        </w:tc>
        <w:tc>
          <w:tcPr>
            <w:tcW w:w="1599" w:type="dxa"/>
            <w:shd w:val="clear" w:color="auto" w:fill="auto"/>
            <w:vAlign w:val="center"/>
          </w:tcPr>
          <w:p w14:paraId="2F272232" w14:textId="77777777" w:rsidR="009B2BB4" w:rsidRPr="00997F64" w:rsidRDefault="009B2BB4" w:rsidP="00F934BE">
            <w:pPr>
              <w:pStyle w:val="MDPI42tablebody"/>
              <w:spacing w:line="240" w:lineRule="auto"/>
            </w:pPr>
            <w:r>
              <w:t>117,000</w:t>
            </w:r>
          </w:p>
        </w:tc>
        <w:tc>
          <w:tcPr>
            <w:tcW w:w="1599" w:type="dxa"/>
            <w:shd w:val="clear" w:color="auto" w:fill="auto"/>
            <w:vAlign w:val="center"/>
          </w:tcPr>
          <w:p w14:paraId="0B57AAAA" w14:textId="77777777" w:rsidR="009B2BB4" w:rsidRPr="00997F64" w:rsidRDefault="009B2BB4" w:rsidP="00F934BE">
            <w:pPr>
              <w:pStyle w:val="MDPI42tablebody"/>
              <w:spacing w:line="240" w:lineRule="auto"/>
            </w:pPr>
            <w:r>
              <w:t>164,000</w:t>
            </w:r>
          </w:p>
        </w:tc>
        <w:tc>
          <w:tcPr>
            <w:tcW w:w="1599" w:type="dxa"/>
            <w:shd w:val="clear" w:color="auto" w:fill="auto"/>
            <w:vAlign w:val="center"/>
          </w:tcPr>
          <w:p w14:paraId="3D3AEEB6" w14:textId="77777777" w:rsidR="009B2BB4" w:rsidRPr="00997F64" w:rsidRDefault="009B2BB4" w:rsidP="00F934BE">
            <w:pPr>
              <w:pStyle w:val="MDPI42tablebody"/>
              <w:spacing w:line="240" w:lineRule="auto"/>
            </w:pPr>
            <w:r>
              <w:t>208,000</w:t>
            </w:r>
          </w:p>
        </w:tc>
      </w:tr>
      <w:tr w:rsidR="009B2BB4" w:rsidRPr="00997F64" w14:paraId="458FE406" w14:textId="77777777" w:rsidTr="00F934BE">
        <w:trPr>
          <w:jc w:val="center"/>
        </w:trPr>
        <w:tc>
          <w:tcPr>
            <w:tcW w:w="2049" w:type="dxa"/>
          </w:tcPr>
          <w:p w14:paraId="1190C9C0" w14:textId="77777777" w:rsidR="009B2BB4" w:rsidRDefault="009B2BB4" w:rsidP="00F934BE">
            <w:pPr>
              <w:pStyle w:val="MDPI42tablebody"/>
              <w:spacing w:line="240" w:lineRule="auto"/>
            </w:pPr>
            <w:r>
              <w:t>CO</w:t>
            </w:r>
          </w:p>
        </w:tc>
        <w:tc>
          <w:tcPr>
            <w:tcW w:w="1599" w:type="dxa"/>
            <w:shd w:val="clear" w:color="auto" w:fill="auto"/>
            <w:vAlign w:val="center"/>
          </w:tcPr>
          <w:p w14:paraId="7A989659" w14:textId="77777777" w:rsidR="009B2BB4" w:rsidRPr="00997F64" w:rsidRDefault="009B2BB4" w:rsidP="00F934BE">
            <w:pPr>
              <w:pStyle w:val="MDPI42tablebody"/>
              <w:spacing w:line="240" w:lineRule="auto"/>
            </w:pPr>
            <w:r>
              <w:t>40</w:t>
            </w:r>
          </w:p>
        </w:tc>
        <w:tc>
          <w:tcPr>
            <w:tcW w:w="1599" w:type="dxa"/>
            <w:shd w:val="clear" w:color="auto" w:fill="auto"/>
            <w:vAlign w:val="center"/>
          </w:tcPr>
          <w:p w14:paraId="4ACCDF19" w14:textId="77777777" w:rsidR="009B2BB4" w:rsidRPr="00997F64" w:rsidRDefault="009B2BB4" w:rsidP="00F934BE">
            <w:pPr>
              <w:pStyle w:val="MDPI42tablebody"/>
              <w:spacing w:line="240" w:lineRule="auto"/>
            </w:pPr>
            <w:r>
              <w:t>33</w:t>
            </w:r>
          </w:p>
        </w:tc>
        <w:tc>
          <w:tcPr>
            <w:tcW w:w="1599" w:type="dxa"/>
            <w:shd w:val="clear" w:color="auto" w:fill="auto"/>
            <w:vAlign w:val="center"/>
          </w:tcPr>
          <w:p w14:paraId="3097AB35" w14:textId="77777777" w:rsidR="009B2BB4" w:rsidRPr="00997F64" w:rsidRDefault="009B2BB4" w:rsidP="00F934BE">
            <w:pPr>
              <w:pStyle w:val="MDPI42tablebody"/>
              <w:spacing w:line="240" w:lineRule="auto"/>
            </w:pPr>
            <w:r>
              <w:t>208</w:t>
            </w:r>
          </w:p>
        </w:tc>
      </w:tr>
      <w:tr w:rsidR="009B2BB4" w:rsidRPr="00997F64" w14:paraId="3F7901AC" w14:textId="77777777" w:rsidTr="00F934BE">
        <w:trPr>
          <w:jc w:val="center"/>
        </w:trPr>
        <w:tc>
          <w:tcPr>
            <w:tcW w:w="2049" w:type="dxa"/>
          </w:tcPr>
          <w:p w14:paraId="3C2B96DE" w14:textId="77777777" w:rsidR="009B2BB4" w:rsidRDefault="009B2BB4" w:rsidP="00F934BE">
            <w:pPr>
              <w:pStyle w:val="MDPI42tablebody"/>
              <w:spacing w:line="240" w:lineRule="auto"/>
            </w:pPr>
            <w:r>
              <w:t>NOx</w:t>
            </w:r>
          </w:p>
        </w:tc>
        <w:tc>
          <w:tcPr>
            <w:tcW w:w="1599" w:type="dxa"/>
            <w:shd w:val="clear" w:color="auto" w:fill="auto"/>
            <w:vAlign w:val="center"/>
          </w:tcPr>
          <w:p w14:paraId="6F479092" w14:textId="77777777" w:rsidR="009B2BB4" w:rsidRPr="00997F64" w:rsidRDefault="009B2BB4" w:rsidP="00F934BE">
            <w:pPr>
              <w:pStyle w:val="MDPI42tablebody"/>
              <w:spacing w:line="240" w:lineRule="auto"/>
            </w:pPr>
            <w:r>
              <w:t>92</w:t>
            </w:r>
          </w:p>
        </w:tc>
        <w:tc>
          <w:tcPr>
            <w:tcW w:w="1599" w:type="dxa"/>
            <w:shd w:val="clear" w:color="auto" w:fill="auto"/>
            <w:vAlign w:val="center"/>
          </w:tcPr>
          <w:p w14:paraId="27822DA6" w14:textId="77777777" w:rsidR="009B2BB4" w:rsidRPr="00997F64" w:rsidRDefault="009B2BB4" w:rsidP="00F934BE">
            <w:pPr>
              <w:pStyle w:val="MDPI42tablebody"/>
              <w:spacing w:line="240" w:lineRule="auto"/>
            </w:pPr>
            <w:r>
              <w:t>448</w:t>
            </w:r>
          </w:p>
        </w:tc>
        <w:tc>
          <w:tcPr>
            <w:tcW w:w="1599" w:type="dxa"/>
            <w:shd w:val="clear" w:color="auto" w:fill="auto"/>
            <w:vAlign w:val="center"/>
          </w:tcPr>
          <w:p w14:paraId="481DEF7A" w14:textId="77777777" w:rsidR="009B2BB4" w:rsidRPr="00997F64" w:rsidRDefault="009B2BB4" w:rsidP="00F934BE">
            <w:pPr>
              <w:pStyle w:val="MDPI42tablebody"/>
              <w:spacing w:line="240" w:lineRule="auto"/>
            </w:pPr>
            <w:r>
              <w:t>457</w:t>
            </w:r>
          </w:p>
        </w:tc>
      </w:tr>
      <w:tr w:rsidR="009B2BB4" w:rsidRPr="00997F64" w14:paraId="39F4AD57" w14:textId="77777777" w:rsidTr="00F934BE">
        <w:trPr>
          <w:jc w:val="center"/>
        </w:trPr>
        <w:tc>
          <w:tcPr>
            <w:tcW w:w="2049" w:type="dxa"/>
          </w:tcPr>
          <w:p w14:paraId="204201F9" w14:textId="77777777" w:rsidR="009B2BB4" w:rsidRDefault="009B2BB4" w:rsidP="00F934BE">
            <w:pPr>
              <w:pStyle w:val="MDPI42tablebody"/>
              <w:spacing w:line="240" w:lineRule="auto"/>
            </w:pPr>
            <w:proofErr w:type="spellStart"/>
            <w:r>
              <w:t>SOx</w:t>
            </w:r>
            <w:proofErr w:type="spellEnd"/>
          </w:p>
        </w:tc>
        <w:tc>
          <w:tcPr>
            <w:tcW w:w="1599" w:type="dxa"/>
            <w:shd w:val="clear" w:color="auto" w:fill="auto"/>
            <w:vAlign w:val="center"/>
          </w:tcPr>
          <w:p w14:paraId="1F5262CF" w14:textId="77777777" w:rsidR="009B2BB4" w:rsidRPr="00997F64" w:rsidRDefault="009B2BB4" w:rsidP="00F934BE">
            <w:pPr>
              <w:pStyle w:val="MDPI42tablebody"/>
              <w:spacing w:line="240" w:lineRule="auto"/>
            </w:pPr>
            <w:r>
              <w:t>1</w:t>
            </w:r>
          </w:p>
        </w:tc>
        <w:tc>
          <w:tcPr>
            <w:tcW w:w="1599" w:type="dxa"/>
            <w:shd w:val="clear" w:color="auto" w:fill="auto"/>
            <w:vAlign w:val="center"/>
          </w:tcPr>
          <w:p w14:paraId="36A55F44" w14:textId="77777777" w:rsidR="009B2BB4" w:rsidRPr="00997F64" w:rsidRDefault="009B2BB4" w:rsidP="00F934BE">
            <w:pPr>
              <w:pStyle w:val="MDPI42tablebody"/>
              <w:spacing w:line="240" w:lineRule="auto"/>
            </w:pPr>
            <w:r>
              <w:t>1112</w:t>
            </w:r>
          </w:p>
        </w:tc>
        <w:tc>
          <w:tcPr>
            <w:tcW w:w="1599" w:type="dxa"/>
            <w:shd w:val="clear" w:color="auto" w:fill="auto"/>
            <w:vAlign w:val="center"/>
          </w:tcPr>
          <w:p w14:paraId="014472CC" w14:textId="77777777" w:rsidR="009B2BB4" w:rsidRPr="00997F64" w:rsidRDefault="009B2BB4" w:rsidP="00F934BE">
            <w:pPr>
              <w:pStyle w:val="MDPI42tablebody"/>
              <w:spacing w:line="240" w:lineRule="auto"/>
            </w:pPr>
            <w:r>
              <w:t>2591</w:t>
            </w:r>
          </w:p>
        </w:tc>
      </w:tr>
      <w:tr w:rsidR="009B2BB4" w:rsidRPr="00997F64" w14:paraId="206BA293" w14:textId="77777777" w:rsidTr="00F934BE">
        <w:trPr>
          <w:jc w:val="center"/>
        </w:trPr>
        <w:tc>
          <w:tcPr>
            <w:tcW w:w="2049" w:type="dxa"/>
          </w:tcPr>
          <w:p w14:paraId="7AAAA30B" w14:textId="77777777" w:rsidR="009B2BB4" w:rsidRDefault="009B2BB4" w:rsidP="00F934BE">
            <w:pPr>
              <w:pStyle w:val="MDPI42tablebody"/>
              <w:spacing w:line="240" w:lineRule="auto"/>
            </w:pPr>
            <w:r>
              <w:t>PM</w:t>
            </w:r>
          </w:p>
        </w:tc>
        <w:tc>
          <w:tcPr>
            <w:tcW w:w="1599" w:type="dxa"/>
            <w:shd w:val="clear" w:color="auto" w:fill="auto"/>
            <w:vAlign w:val="center"/>
          </w:tcPr>
          <w:p w14:paraId="7F3DCA63" w14:textId="77777777" w:rsidR="009B2BB4" w:rsidRPr="00997F64" w:rsidRDefault="009B2BB4" w:rsidP="00F934BE">
            <w:pPr>
              <w:pStyle w:val="MDPI42tablebody"/>
              <w:spacing w:line="240" w:lineRule="auto"/>
            </w:pPr>
            <w:r>
              <w:t>7</w:t>
            </w:r>
          </w:p>
        </w:tc>
        <w:tc>
          <w:tcPr>
            <w:tcW w:w="1599" w:type="dxa"/>
            <w:shd w:val="clear" w:color="auto" w:fill="auto"/>
            <w:vAlign w:val="center"/>
          </w:tcPr>
          <w:p w14:paraId="008A3FAA" w14:textId="77777777" w:rsidR="009B2BB4" w:rsidRPr="00997F64" w:rsidRDefault="009B2BB4" w:rsidP="00F934BE">
            <w:pPr>
              <w:pStyle w:val="MDPI42tablebody"/>
              <w:spacing w:line="240" w:lineRule="auto"/>
            </w:pPr>
            <w:r>
              <w:t>84</w:t>
            </w:r>
          </w:p>
        </w:tc>
        <w:tc>
          <w:tcPr>
            <w:tcW w:w="1599" w:type="dxa"/>
            <w:shd w:val="clear" w:color="auto" w:fill="auto"/>
            <w:vAlign w:val="center"/>
          </w:tcPr>
          <w:p w14:paraId="52B90E6F" w14:textId="77777777" w:rsidR="009B2BB4" w:rsidRPr="00997F64" w:rsidRDefault="009B2BB4" w:rsidP="00F934BE">
            <w:pPr>
              <w:pStyle w:val="MDPI42tablebody"/>
              <w:spacing w:line="240" w:lineRule="auto"/>
            </w:pPr>
            <w:r>
              <w:t>2774</w:t>
            </w:r>
          </w:p>
        </w:tc>
      </w:tr>
      <w:tr w:rsidR="009B2BB4" w:rsidRPr="00997F64" w14:paraId="487111DB" w14:textId="77777777" w:rsidTr="00F934BE">
        <w:trPr>
          <w:jc w:val="center"/>
        </w:trPr>
        <w:tc>
          <w:tcPr>
            <w:tcW w:w="2049" w:type="dxa"/>
          </w:tcPr>
          <w:p w14:paraId="5C48B612" w14:textId="77777777" w:rsidR="009B2BB4" w:rsidRPr="00997F64" w:rsidRDefault="009B2BB4" w:rsidP="00F934BE">
            <w:pPr>
              <w:pStyle w:val="MDPI42tablebody"/>
              <w:spacing w:line="240" w:lineRule="auto"/>
            </w:pPr>
            <w:r>
              <w:t>Mercury</w:t>
            </w:r>
          </w:p>
        </w:tc>
        <w:tc>
          <w:tcPr>
            <w:tcW w:w="1599" w:type="dxa"/>
            <w:shd w:val="clear" w:color="auto" w:fill="auto"/>
            <w:vAlign w:val="center"/>
          </w:tcPr>
          <w:p w14:paraId="6C7DB41E" w14:textId="77777777" w:rsidR="009B2BB4" w:rsidRPr="00997F64" w:rsidRDefault="009B2BB4" w:rsidP="00F934BE">
            <w:pPr>
              <w:pStyle w:val="MDPI42tablebody"/>
              <w:spacing w:line="240" w:lineRule="auto"/>
            </w:pPr>
            <w:r>
              <w:t>0.000</w:t>
            </w:r>
          </w:p>
        </w:tc>
        <w:tc>
          <w:tcPr>
            <w:tcW w:w="1599" w:type="dxa"/>
            <w:shd w:val="clear" w:color="auto" w:fill="auto"/>
            <w:vAlign w:val="center"/>
          </w:tcPr>
          <w:p w14:paraId="2D73CC19" w14:textId="77777777" w:rsidR="009B2BB4" w:rsidRPr="00997F64" w:rsidRDefault="009B2BB4" w:rsidP="00F934BE">
            <w:pPr>
              <w:pStyle w:val="MDPI42tablebody"/>
              <w:spacing w:line="240" w:lineRule="auto"/>
            </w:pPr>
            <w:r>
              <w:t>0.007</w:t>
            </w:r>
          </w:p>
        </w:tc>
        <w:tc>
          <w:tcPr>
            <w:tcW w:w="1599" w:type="dxa"/>
            <w:shd w:val="clear" w:color="auto" w:fill="auto"/>
            <w:vAlign w:val="center"/>
          </w:tcPr>
          <w:p w14:paraId="4E69B5D2" w14:textId="77777777" w:rsidR="009B2BB4" w:rsidRPr="00997F64" w:rsidRDefault="009B2BB4" w:rsidP="00F934BE">
            <w:pPr>
              <w:pStyle w:val="MDPI42tablebody"/>
              <w:spacing w:line="240" w:lineRule="auto"/>
            </w:pPr>
            <w:r>
              <w:t>0.016</w:t>
            </w:r>
          </w:p>
        </w:tc>
      </w:tr>
    </w:tbl>
    <w:p w14:paraId="34C6CCDC" w14:textId="77777777" w:rsidR="009B2BB4" w:rsidRDefault="009B2BB4" w:rsidP="009B2BB4">
      <w:pPr>
        <w:pStyle w:val="MDPI31text"/>
      </w:pPr>
    </w:p>
    <w:p w14:paraId="49ADE6A4" w14:textId="14D3ED1F" w:rsidR="009B2BB4" w:rsidRDefault="009B2BB4" w:rsidP="00DF1CB4">
      <w:pPr>
        <w:pStyle w:val="MDPI31text"/>
      </w:pPr>
      <w:r>
        <w:t>When LNG goes through combustion, the production of SO</w:t>
      </w:r>
      <w:r w:rsidRPr="00320C07">
        <w:rPr>
          <w:vertAlign w:val="subscript"/>
        </w:rPr>
        <w:t>2</w:t>
      </w:r>
      <w:r>
        <w:t xml:space="preserve"> and its elimination seizes to be a cause of concern. There is also a significant decrease in the quantity of CO</w:t>
      </w:r>
      <w:r w:rsidRPr="00320C07">
        <w:rPr>
          <w:vertAlign w:val="subscript"/>
        </w:rPr>
        <w:t xml:space="preserve">2 </w:t>
      </w:r>
      <w:r>
        <w:t>that is emitted into the air. Therefore, it is advisable consuming the LNG instead of other fossil fuels (e.g.</w:t>
      </w:r>
      <w:r w:rsidR="00C5011A">
        <w:t>,</w:t>
      </w:r>
      <w:r>
        <w:t xml:space="preserve"> oil and coal) to be encouraged. </w:t>
      </w:r>
      <w:r w:rsidR="00AD21E2">
        <w:t>Evidence</w:t>
      </w:r>
      <w:r>
        <w:t xml:space="preserve"> can </w:t>
      </w:r>
      <w:r w:rsidR="00C5011A">
        <w:t xml:space="preserve">prove that LNG is an eco-friendly </w:t>
      </w:r>
      <w:r w:rsidR="00645F74">
        <w:t>energy source</w:t>
      </w:r>
      <w:r w:rsidR="00C5011A">
        <w:t xml:space="preserve"> based on the significant decrease of the GHGs </w:t>
      </w:r>
      <w:r w:rsidR="00AD21E2">
        <w:t xml:space="preserve">produced when used instead of </w:t>
      </w:r>
      <w:r>
        <w:t>oil and coal [</w:t>
      </w:r>
      <w:r w:rsidR="00DF1CB4">
        <w:t>15</w:t>
      </w:r>
      <w:r>
        <w:t>,1</w:t>
      </w:r>
      <w:r w:rsidR="00DF1CB4">
        <w:t>7</w:t>
      </w:r>
      <w:r>
        <w:t>].</w:t>
      </w:r>
    </w:p>
    <w:p w14:paraId="2F760FCD" w14:textId="6E77D0A1" w:rsidR="009B2BB4" w:rsidRDefault="009B2BB4" w:rsidP="00DF1CB4">
      <w:pPr>
        <w:pStyle w:val="MDPI31text"/>
      </w:pPr>
      <w:r>
        <w:t xml:space="preserve">Concerns regarding the environmental effects of the development and operation of ports have been on the increase, especially because of the emergence of energy conservation and climate conservation as global agendas. As far as sustainable development is </w:t>
      </w:r>
      <w:r w:rsidR="00C5011A">
        <w:t>concerned, ports' existence</w:t>
      </w:r>
      <w:r>
        <w:t xml:space="preserve"> should be anchored on the management of three bottom lines: economic progress, environmental sustainability, and wellbeing of the society. Therefore, the development of suitable ports marketing plans that fulfill the three bottom lines should be used in guiding ports towards the type of development that can be categorized as sustainable [1</w:t>
      </w:r>
      <w:r w:rsidR="00DF1CB4">
        <w:t>8</w:t>
      </w:r>
      <w:r>
        <w:t>]</w:t>
      </w:r>
      <w:proofErr w:type="gramStart"/>
      <w:r>
        <w:t xml:space="preserve">.  </w:t>
      </w:r>
      <w:proofErr w:type="gramEnd"/>
      <w:r>
        <w:t xml:space="preserve"> </w:t>
      </w:r>
    </w:p>
    <w:p w14:paraId="5F48E65D" w14:textId="77777777" w:rsidR="009B2BB4" w:rsidRPr="009B2BB4" w:rsidRDefault="009B2BB4" w:rsidP="009B2BB4">
      <w:pPr>
        <w:pStyle w:val="Head2"/>
        <w:numPr>
          <w:ilvl w:val="1"/>
          <w:numId w:val="4"/>
        </w:numPr>
        <w:spacing w:before="240" w:line="480" w:lineRule="auto"/>
        <w:rPr>
          <w:i/>
          <w:iCs/>
        </w:rPr>
      </w:pPr>
      <w:bookmarkStart w:id="5" w:name="_Toc52635264"/>
      <w:r w:rsidRPr="009B2BB4">
        <w:rPr>
          <w:i/>
          <w:iCs/>
        </w:rPr>
        <w:t>LNG as an alternative for transportation</w:t>
      </w:r>
      <w:bookmarkEnd w:id="5"/>
      <w:r w:rsidRPr="009B2BB4">
        <w:rPr>
          <w:i/>
          <w:iCs/>
        </w:rPr>
        <w:t xml:space="preserve">  </w:t>
      </w:r>
    </w:p>
    <w:p w14:paraId="0ABA7526" w14:textId="5728F286" w:rsidR="009B2BB4" w:rsidRDefault="009B2BB4" w:rsidP="002E1ECA">
      <w:pPr>
        <w:pStyle w:val="MDPI31text"/>
      </w:pPr>
      <w:r>
        <w:t>The road transport network has been acknowledged as a unique contributor to air pollution worldwide</w:t>
      </w:r>
      <w:r w:rsidR="00C5011A">
        <w:t xml:space="preserve"> because of the level of energy intensity</w:t>
      </w:r>
      <w:r>
        <w:t xml:space="preserve"> associated with road transport. This is a factor that should be taken into consideration by governments and other stakeholders when formulating strategies and programs that are aimed at making transport more sustainable. Therefore, the use of alternative greener </w:t>
      </w:r>
      <w:r w:rsidR="00C5011A">
        <w:t>energy sources should be one of the approaches</w:t>
      </w:r>
      <w:r>
        <w:t xml:space="preserve"> used in making road transportation greener. The alternatives that can be considered include </w:t>
      </w:r>
      <w:r w:rsidR="00C5011A">
        <w:t>using</w:t>
      </w:r>
      <w:r>
        <w:t xml:space="preserve"> electr</w:t>
      </w:r>
      <w:r w:rsidR="00C5011A">
        <w:t xml:space="preserve">ic </w:t>
      </w:r>
      <w:r>
        <w:t>cars or cars that run on more sustainable fuels (e.g.</w:t>
      </w:r>
      <w:r w:rsidR="00C5011A">
        <w:t>,</w:t>
      </w:r>
      <w:r>
        <w:t xml:space="preserve"> natural gas, biofuel, and liquefied petroleum gas). The lack of sufficient details on the techno-economic viability of these alternatives is a foremost stumbling block in the pursuit of a higher level of sustainability in road transportation [</w:t>
      </w:r>
      <w:r w:rsidR="002E1ECA">
        <w:t>19</w:t>
      </w:r>
      <w:r>
        <w:t xml:space="preserve">]. </w:t>
      </w:r>
    </w:p>
    <w:p w14:paraId="2E2CF3D8" w14:textId="56BC42E7" w:rsidR="009B2BB4" w:rsidRDefault="009B2BB4" w:rsidP="002E1ECA">
      <w:pPr>
        <w:pStyle w:val="MDPI31text"/>
      </w:pPr>
      <w:r>
        <w:t xml:space="preserve">Because of the sustainable nature of the combustion of natural gas, heavy-duty vehicles </w:t>
      </w:r>
      <w:r w:rsidR="00C5011A">
        <w:t>powered by LNG can effectively reduce</w:t>
      </w:r>
      <w:r>
        <w:t xml:space="preserve"> the amount of carbon footprint that results from road transportation. It will also reduce the number of resources that will have to be channeled towards emission control. Furthermore, ships that use LNG have also been observed to have higher </w:t>
      </w:r>
      <w:r w:rsidR="00C5011A">
        <w:t>efficiency levels than the alternatives</w:t>
      </w:r>
      <w:r>
        <w:t xml:space="preserve"> available in the market because of the dependence on natural gas. LNG represents 7% of the demand for natural gas globally [</w:t>
      </w:r>
      <w:r w:rsidR="002E1ECA">
        <w:t>20</w:t>
      </w:r>
      <w:r>
        <w:t xml:space="preserve">]. </w:t>
      </w:r>
    </w:p>
    <w:p w14:paraId="0D93726C" w14:textId="2751DE4A" w:rsidR="009B2BB4" w:rsidRDefault="009B2BB4" w:rsidP="002E1ECA">
      <w:pPr>
        <w:pStyle w:val="MDPI31text"/>
      </w:pPr>
      <w:r>
        <w:lastRenderedPageBreak/>
        <w:t xml:space="preserve">LNG definitively can show a </w:t>
      </w:r>
      <w:r w:rsidR="00C5011A">
        <w:t xml:space="preserve">considerable </w:t>
      </w:r>
      <w:r>
        <w:t xml:space="preserve">role in the reduction of GHG emissions into the atmosphere. Its comparison with commonly used alternatives, such as oil and coal, tells a lot </w:t>
      </w:r>
      <w:r w:rsidR="00C5011A">
        <w:t>about what will occur</w:t>
      </w:r>
      <w:r>
        <w:t xml:space="preserve"> when natural gas completely replaces oil and coal [</w:t>
      </w:r>
      <w:r w:rsidR="002E1ECA">
        <w:t>21</w:t>
      </w:r>
      <w:r>
        <w:t>-</w:t>
      </w:r>
      <w:r w:rsidR="002E1ECA">
        <w:t>24</w:t>
      </w:r>
      <w:r w:rsidR="00004EF8">
        <w:t>]. Using heavy</w:t>
      </w:r>
      <w:r w:rsidR="00500305">
        <w:t>-</w:t>
      </w:r>
      <w:r>
        <w:t xml:space="preserve">duty vehicles </w:t>
      </w:r>
      <w:r w:rsidR="00004EF8">
        <w:t xml:space="preserve">(HDVs) </w:t>
      </w:r>
      <w:r>
        <w:t xml:space="preserve">that </w:t>
      </w:r>
      <w:r w:rsidR="00C5011A">
        <w:t>LNG powers</w:t>
      </w:r>
      <w:r>
        <w:t xml:space="preserve"> as an alternative to diesel-powered ones can lead to a 10% reduction in </w:t>
      </w:r>
      <w:r w:rsidR="002E1ECA">
        <w:t>the resultant carbon emission [</w:t>
      </w:r>
      <w:r>
        <w:t>4,</w:t>
      </w:r>
      <w:r w:rsidR="002E1ECA">
        <w:t>25</w:t>
      </w:r>
      <w:r>
        <w:t xml:space="preserve">]. </w:t>
      </w:r>
    </w:p>
    <w:p w14:paraId="6C99619D" w14:textId="2B583AC2" w:rsidR="009B2BB4" w:rsidRDefault="009B2BB4" w:rsidP="002E1ECA">
      <w:pPr>
        <w:pStyle w:val="MDPI31text"/>
      </w:pPr>
      <w:proofErr w:type="gramStart"/>
      <w:r>
        <w:t>A research</w:t>
      </w:r>
      <w:proofErr w:type="gramEnd"/>
      <w:r>
        <w:t xml:space="preserve"> that was undertaken on the lifecycle of a system using LNG and one using coal reveals that the system that depends on coal </w:t>
      </w:r>
      <w:r w:rsidR="00C5011A">
        <w:t>h</w:t>
      </w:r>
      <w:r>
        <w:t>as a rate of emission that is 161% higher than the system that uses LNG. The study also reveals that the cleanest that a system using coal can be will still lead to an emission rate that will be 73% higher than the emission rate that is observed in a system using LNG. Notably, some costs are associated with making a system that is powered by coal as clean as possible [</w:t>
      </w:r>
      <w:r w:rsidR="002E1ECA">
        <w:t>26</w:t>
      </w:r>
      <w:r>
        <w:t xml:space="preserve">]. </w:t>
      </w:r>
    </w:p>
    <w:p w14:paraId="5342AFB5" w14:textId="083A375D" w:rsidR="009B2BB4" w:rsidRDefault="009B2BB4" w:rsidP="00004EF8">
      <w:pPr>
        <w:pStyle w:val="MDPI31text"/>
      </w:pPr>
      <w:r>
        <w:t xml:space="preserve">The Life Cycle Analysis (LCA) </w:t>
      </w:r>
      <w:r w:rsidR="00C5011A">
        <w:t>conducted in China considers</w:t>
      </w:r>
      <w:r>
        <w:t xml:space="preserve"> a combination of data on the real-time </w:t>
      </w:r>
      <w:r w:rsidR="00AD21E2">
        <w:t>consumption rate</w:t>
      </w:r>
      <w:r>
        <w:t xml:space="preserve"> for diesel and LNG. There was also the </w:t>
      </w:r>
      <w:r w:rsidRPr="00004EF8">
        <w:t>consideration</w:t>
      </w:r>
      <w:r w:rsidR="00C5011A">
        <w:t>:</w:t>
      </w:r>
      <w:r w:rsidRPr="00004EF8">
        <w:t xml:space="preserve"> </w:t>
      </w:r>
      <w:r w:rsidR="00004EF8" w:rsidRPr="00004EF8">
        <w:t>HDV</w:t>
      </w:r>
      <w:r w:rsidRPr="00004EF8">
        <w:t xml:space="preserve"> population data for both diesel and LNG and the database for Tsinghua-LCA Model (TLCAM) precisely for the situation in the country. From such an analysis, it was </w:t>
      </w:r>
      <w:r w:rsidR="00C5011A">
        <w:t>observed that diesel use resulted in a significantly high carbon emission rate</w:t>
      </w:r>
      <w:r>
        <w:t>. Given the fact that the use of LNG has been on the increase in China, the increase in the LNG HDV population is an indication that there is a likelihood of a significant decline in the contribution of road transport to carbon emission in the future [</w:t>
      </w:r>
      <w:r w:rsidR="002E1ECA">
        <w:t>27</w:t>
      </w:r>
      <w:r>
        <w:t>-</w:t>
      </w:r>
      <w:r w:rsidR="002E1ECA">
        <w:t>29</w:t>
      </w:r>
      <w:r>
        <w:t xml:space="preserve">]. </w:t>
      </w:r>
    </w:p>
    <w:p w14:paraId="405B8D58" w14:textId="39A31B2D" w:rsidR="009B2BB4" w:rsidRDefault="009B2BB4" w:rsidP="002E1ECA">
      <w:pPr>
        <w:pStyle w:val="MDPI31text"/>
      </w:pPr>
      <w:r>
        <w:t>Among the studies that have been undertaken in China in relation to energy efficiency and suitability is the availability of technological resources that would support the use of natural gas for powering automobiles. Such analysis focused on the comparison of six possibilities: electricity, methanol, hydrogen, Compressed Natural Gas (CNG), Gas to Liquid (GTL), and LNG using various dimensions [</w:t>
      </w:r>
      <w:r w:rsidR="002E1ECA">
        <w:t>30</w:t>
      </w:r>
      <w:r>
        <w:t>].</w:t>
      </w:r>
    </w:p>
    <w:p w14:paraId="134A339A" w14:textId="77777777" w:rsidR="009B2BB4" w:rsidRPr="009B2BB4" w:rsidRDefault="009B2BB4" w:rsidP="009B2BB4">
      <w:pPr>
        <w:pStyle w:val="Head2"/>
        <w:numPr>
          <w:ilvl w:val="1"/>
          <w:numId w:val="4"/>
        </w:numPr>
        <w:spacing w:before="240" w:line="480" w:lineRule="auto"/>
        <w:rPr>
          <w:i/>
          <w:iCs/>
        </w:rPr>
      </w:pPr>
      <w:bookmarkStart w:id="6" w:name="_Toc52635265"/>
      <w:r w:rsidRPr="009B2BB4">
        <w:rPr>
          <w:i/>
          <w:iCs/>
        </w:rPr>
        <w:t>LNG storage</w:t>
      </w:r>
      <w:bookmarkEnd w:id="6"/>
    </w:p>
    <w:p w14:paraId="20AA4B20" w14:textId="7C406291" w:rsidR="009B2BB4" w:rsidRDefault="009B2BB4" w:rsidP="002F3B51">
      <w:pPr>
        <w:pStyle w:val="MDPI31text"/>
      </w:pPr>
      <w:r>
        <w:t xml:space="preserve">To achieve the appropriate storage of LNG, many aspects shall be determined. One such factor is whether the </w:t>
      </w:r>
      <w:r w:rsidR="00C5011A">
        <w:t>storage intends to serve</w:t>
      </w:r>
      <w:r>
        <w:t xml:space="preserve"> the </w:t>
      </w:r>
      <w:r w:rsidR="00AD21E2">
        <w:t>gas shortage</w:t>
      </w:r>
      <w:r>
        <w:t xml:space="preserve"> experienced during winter. The other factor is the supply </w:t>
      </w:r>
      <w:r w:rsidR="00C5011A">
        <w:t xml:space="preserve">of </w:t>
      </w:r>
      <w:r>
        <w:t xml:space="preserve">baseload gas of the vessel that is used for long-distance shipment. In addition to the needed installations that are aimed at reducing possible losses from vaporization, it is advisable for the cargo that carries the LNG not to be in contact with the structure of the ship. This is because mild steel is vulnerable to brittleness when the temperatures get below 223K. Therefore, allowing the contact can lead to disastrous occurrences. There is a possibility of the evaporation kept to levels </w:t>
      </w:r>
      <w:r w:rsidR="00C5011A">
        <w:t xml:space="preserve">as low as 0.1% daily </w:t>
      </w:r>
      <w:proofErr w:type="gramStart"/>
      <w:r w:rsidR="00C5011A">
        <w:t>as long as</w:t>
      </w:r>
      <w:proofErr w:type="gramEnd"/>
      <w:r w:rsidR="00C5011A">
        <w:t xml:space="preserve"> there is sufficient installation of the tank, especially considering</w:t>
      </w:r>
      <w:r>
        <w:t xml:space="preserve"> all the safety measures. 0.3% boil-off can result from re-liquefaction facilities that are installed in sea-going vessels [</w:t>
      </w:r>
      <w:r w:rsidR="002F3B51">
        <w:t>31</w:t>
      </w:r>
      <w:r>
        <w:t>].</w:t>
      </w:r>
    </w:p>
    <w:p w14:paraId="4010DC99" w14:textId="4706A0A0" w:rsidR="009B2BB4" w:rsidRDefault="009B2BB4" w:rsidP="002F3B51">
      <w:pPr>
        <w:pStyle w:val="MDPI31text"/>
      </w:pPr>
      <w:r>
        <w:t xml:space="preserve">At the on-shore, the storage of LNG can be done using double-walled metal tanks. Such tanks are not </w:t>
      </w:r>
      <w:proofErr w:type="gramStart"/>
      <w:r>
        <w:t>similar to</w:t>
      </w:r>
      <w:proofErr w:type="gramEnd"/>
      <w:r>
        <w:t xml:space="preserve"> the tanks that are used while LNG is in ships. The inner wall should be made of either nickel steel or aluminum. Additionally, concrete tanks that are attached to the ground can be contracted for the same purpose. Underground spaces that are specifically designed for the storage of LNG can be an alternative. The main advantage that is associated with the use of in-ground tanks is that there is no need for containment dikes. Such an advantage stands regardless of whether the tank is built from concrete or natural substances. The use of above-ground tanks can be recommendable because there is </w:t>
      </w:r>
      <w:r w:rsidR="00AD21E2">
        <w:t xml:space="preserve">an </w:t>
      </w:r>
      <w:r>
        <w:t>ease in controlling heat leakage. Above-ground tanks are also easier to repair as compared to underground ones [</w:t>
      </w:r>
      <w:r w:rsidR="002F3B51">
        <w:t>31</w:t>
      </w:r>
      <w:r>
        <w:t xml:space="preserve">]. </w:t>
      </w:r>
    </w:p>
    <w:p w14:paraId="7B6A9E2E" w14:textId="77777777" w:rsidR="006C5F45" w:rsidRPr="006C5F45" w:rsidRDefault="006C5F45" w:rsidP="006C5F45">
      <w:pPr>
        <w:pStyle w:val="Head2"/>
        <w:numPr>
          <w:ilvl w:val="1"/>
          <w:numId w:val="4"/>
        </w:numPr>
        <w:spacing w:before="240" w:line="480" w:lineRule="auto"/>
        <w:rPr>
          <w:i/>
          <w:iCs/>
        </w:rPr>
      </w:pPr>
      <w:bookmarkStart w:id="7" w:name="_Toc52635266"/>
      <w:bookmarkStart w:id="8" w:name="_Hlk52634164"/>
      <w:r w:rsidRPr="006C5F45">
        <w:rPr>
          <w:i/>
          <w:iCs/>
        </w:rPr>
        <w:t>LNG Sustainability</w:t>
      </w:r>
      <w:bookmarkEnd w:id="7"/>
    </w:p>
    <w:bookmarkEnd w:id="8"/>
    <w:p w14:paraId="44434A9D" w14:textId="033E7DE9" w:rsidR="006C5F45" w:rsidRPr="00364CDE" w:rsidRDefault="006C5F45" w:rsidP="006C5F45">
      <w:pPr>
        <w:pStyle w:val="MDPI31text"/>
      </w:pPr>
      <w:r>
        <w:lastRenderedPageBreak/>
        <w:t xml:space="preserve">The effect of the LNG usage on the environment in relation to </w:t>
      </w:r>
      <w:r w:rsidR="00C5011A">
        <w:t>diesel's impact can be determined by applying</w:t>
      </w:r>
      <w:r>
        <w:t xml:space="preserve"> a Well-to-Wheel (WTW) assessment. The WTW is relaying on real-world HGVs drive cycles for it to be effective in such an analysis. The analysis is supposed to be complemented by the determination of the costs associated with ownership in both cases. The methods can be validated using practical case studies that have been undertaken in further portions of the world, such as the United Kingdom (UK). According to the findings from the UK, LNG vehicles recorded a lower energy efficiency compared to diesel ones. As a result, around </w:t>
      </w:r>
      <w:r w:rsidR="00C5011A">
        <w:t xml:space="preserve">a </w:t>
      </w:r>
      <w:r>
        <w:t xml:space="preserve">7 percent rise in cumulative GHG emissions. Nevertheless, there is a possibility that the emission will be reduced by 13% as soon as the LNG comes level with </w:t>
      </w:r>
      <w:r w:rsidRPr="00364CDE">
        <w:t xml:space="preserve">the diesel ones in relation to energy efficiency. The findings from this study lead to the conclusion that there would need to be a noteworthy rise in the efficiency of vehicles based </w:t>
      </w:r>
      <w:r w:rsidR="00C5011A">
        <w:t xml:space="preserve">on </w:t>
      </w:r>
      <w:r w:rsidRPr="00364CDE">
        <w:t>LNG for them to have the impact that the usage of LNG is supposed to have on the environment from a theoretical point of view [</w:t>
      </w:r>
      <w:r w:rsidR="00364CDE" w:rsidRPr="00364CDE">
        <w:t>32</w:t>
      </w:r>
      <w:r w:rsidRPr="00364CDE">
        <w:t>].</w:t>
      </w:r>
    </w:p>
    <w:p w14:paraId="64924545" w14:textId="560D138E" w:rsidR="006C5F45" w:rsidRPr="00364CDE" w:rsidRDefault="006C5F45" w:rsidP="006C5F45">
      <w:pPr>
        <w:pStyle w:val="MDPI31text"/>
      </w:pPr>
      <w:r w:rsidRPr="00364CDE">
        <w:t>Most of the studies on LNG that have been undertaken have focused on economic and environmental impacts. Very few studies have reviewed the social impact of LNG. The main issues that are associated with the social sustainability of LNG are health, safety, employment, local communities, public participation, resources, and infrastructure. A Life Cycle Assessment (LCA) can be used in the evaluation of the social impacts of LNG. The LCA results can be used in affirming the assumption that the production and use of LNG can lead to various social benefits such as the provision of employment opportunities and financial gain by local governments through the collection of revenue [</w:t>
      </w:r>
      <w:r w:rsidR="00364CDE" w:rsidRPr="00364CDE">
        <w:t>33</w:t>
      </w:r>
      <w:r w:rsidRPr="00364CDE">
        <w:t>]</w:t>
      </w:r>
      <w:proofErr w:type="gramStart"/>
      <w:r w:rsidRPr="00364CDE">
        <w:t xml:space="preserve">.  </w:t>
      </w:r>
      <w:proofErr w:type="gramEnd"/>
    </w:p>
    <w:p w14:paraId="5A7858E8" w14:textId="4B3B70DB" w:rsidR="006C5F45" w:rsidRDefault="006C5F45" w:rsidP="006C5F45">
      <w:pPr>
        <w:pStyle w:val="MDPI31text"/>
      </w:pPr>
      <w:r w:rsidRPr="00364CDE">
        <w:t xml:space="preserve">Notably, some social barriers need to be overcome in the production and use of LNG. The obstacles include the lack of public support, traffic, noise, conflict in relation to </w:t>
      </w:r>
      <w:r w:rsidR="00C5011A">
        <w:t>land use</w:t>
      </w:r>
      <w:r w:rsidRPr="00364CDE">
        <w:t xml:space="preserve">, a strain of infrastructure, and the accessibility of regulatory resources. Furthermore, there is no sufficient evidence to link the use of LNG with energy security. LNG can only enhance energy efficiency if its production volume </w:t>
      </w:r>
      <w:r w:rsidR="00C5011A">
        <w:t>goes</w:t>
      </w:r>
      <w:r w:rsidR="00C5011A" w:rsidRPr="00364CDE">
        <w:t xml:space="preserve"> </w:t>
      </w:r>
      <w:r w:rsidRPr="00364CDE">
        <w:t xml:space="preserve">through a significant increase. Such information is </w:t>
      </w:r>
      <w:r w:rsidR="00C5011A">
        <w:t>relevant</w:t>
      </w:r>
      <w:r w:rsidRPr="00364CDE">
        <w:t xml:space="preserve"> to various stakeholders, including policymakers, scholars, and other LNG stakeholders [</w:t>
      </w:r>
      <w:r w:rsidR="00364CDE" w:rsidRPr="00364CDE">
        <w:t>33</w:t>
      </w:r>
      <w:r w:rsidRPr="00364CDE">
        <w:t>].</w:t>
      </w:r>
    </w:p>
    <w:p w14:paraId="4D75FD31" w14:textId="427F10FA" w:rsidR="006C5F45" w:rsidRDefault="006C5F45" w:rsidP="002F3B51">
      <w:pPr>
        <w:pStyle w:val="MDPI31text"/>
      </w:pPr>
    </w:p>
    <w:p w14:paraId="1FBB1EF0" w14:textId="77777777" w:rsidR="006C5F45" w:rsidRDefault="006C5F45" w:rsidP="002F3B51">
      <w:pPr>
        <w:pStyle w:val="MDPI31text"/>
      </w:pPr>
    </w:p>
    <w:p w14:paraId="79D6B36D" w14:textId="2BDAF763" w:rsidR="006C2D07" w:rsidRPr="006C2D07" w:rsidRDefault="006C2D07" w:rsidP="006C2D07">
      <w:pPr>
        <w:pStyle w:val="Head1"/>
        <w:numPr>
          <w:ilvl w:val="0"/>
          <w:numId w:val="4"/>
        </w:numPr>
      </w:pPr>
      <w:bookmarkStart w:id="9" w:name="_Toc52635267"/>
      <w:r w:rsidRPr="006C2D07">
        <w:t>References</w:t>
      </w:r>
      <w:bookmarkEnd w:id="9"/>
    </w:p>
    <w:p w14:paraId="0D0D549F" w14:textId="7E75403D" w:rsidR="00D27EB9" w:rsidRDefault="00D27EB9"/>
    <w:p w14:paraId="63FAE3D8" w14:textId="77777777" w:rsidR="00F9441E" w:rsidRPr="00E438B7" w:rsidRDefault="00F9441E" w:rsidP="00F9441E">
      <w:pPr>
        <w:pStyle w:val="MDPI71References"/>
        <w:numPr>
          <w:ilvl w:val="0"/>
          <w:numId w:val="21"/>
        </w:numPr>
        <w:rPr>
          <w:color w:val="auto"/>
        </w:rPr>
      </w:pPr>
      <w:proofErr w:type="spellStart"/>
      <w:r w:rsidRPr="00E438B7">
        <w:rPr>
          <w:color w:val="auto"/>
        </w:rPr>
        <w:t>Khalilpour</w:t>
      </w:r>
      <w:proofErr w:type="spellEnd"/>
      <w:r w:rsidRPr="00E438B7">
        <w:rPr>
          <w:color w:val="auto"/>
        </w:rPr>
        <w:t>, R., Karimi, I.A., 2011. Selection of liquefied natural gas (LNG) contracts for minimizing procurement cost. Ind. Eng. Chem. Res. 50, 10298-10312.</w:t>
      </w:r>
    </w:p>
    <w:p w14:paraId="2B03D23A" w14:textId="77777777" w:rsidR="00F9441E" w:rsidRPr="00E438B7" w:rsidRDefault="00F9441E" w:rsidP="00F9441E">
      <w:pPr>
        <w:pStyle w:val="MDPI71References"/>
        <w:numPr>
          <w:ilvl w:val="0"/>
          <w:numId w:val="21"/>
        </w:numPr>
        <w:rPr>
          <w:color w:val="auto"/>
        </w:rPr>
      </w:pPr>
      <w:proofErr w:type="spellStart"/>
      <w:r w:rsidRPr="00E438B7">
        <w:rPr>
          <w:color w:val="auto"/>
        </w:rPr>
        <w:t>Dobrota</w:t>
      </w:r>
      <w:proofErr w:type="spellEnd"/>
      <w:r w:rsidRPr="00E438B7">
        <w:rPr>
          <w:color w:val="auto"/>
        </w:rPr>
        <w:t xml:space="preserve">, Ð., </w:t>
      </w:r>
      <w:proofErr w:type="spellStart"/>
      <w:r w:rsidRPr="00E438B7">
        <w:rPr>
          <w:color w:val="auto"/>
        </w:rPr>
        <w:t>Lalic</w:t>
      </w:r>
      <w:proofErr w:type="spellEnd"/>
      <w:r w:rsidRPr="00E438B7">
        <w:rPr>
          <w:color w:val="auto"/>
        </w:rPr>
        <w:t xml:space="preserve">, B., </w:t>
      </w:r>
      <w:proofErr w:type="spellStart"/>
      <w:r w:rsidRPr="00E438B7">
        <w:rPr>
          <w:color w:val="auto"/>
        </w:rPr>
        <w:t>Komar</w:t>
      </w:r>
      <w:proofErr w:type="spellEnd"/>
      <w:r w:rsidRPr="00E438B7">
        <w:rPr>
          <w:color w:val="auto"/>
        </w:rPr>
        <w:t xml:space="preserve">, I., 2013. Problem of boil - off in LNG supply chain. Trans. </w:t>
      </w:r>
      <w:proofErr w:type="spellStart"/>
      <w:r w:rsidRPr="00E438B7">
        <w:rPr>
          <w:color w:val="auto"/>
        </w:rPr>
        <w:t>Marit</w:t>
      </w:r>
      <w:proofErr w:type="spellEnd"/>
      <w:r w:rsidRPr="00E438B7">
        <w:rPr>
          <w:color w:val="auto"/>
        </w:rPr>
        <w:t>. Sci. 02, 91-100.</w:t>
      </w:r>
    </w:p>
    <w:p w14:paraId="4CA4BF1B" w14:textId="77777777" w:rsidR="00F9441E" w:rsidRPr="00E438B7" w:rsidRDefault="00F9441E" w:rsidP="00F9441E">
      <w:pPr>
        <w:pStyle w:val="MDPI71References"/>
        <w:numPr>
          <w:ilvl w:val="0"/>
          <w:numId w:val="21"/>
        </w:numPr>
        <w:rPr>
          <w:color w:val="auto"/>
        </w:rPr>
      </w:pPr>
      <w:proofErr w:type="spellStart"/>
      <w:r w:rsidRPr="00E438B7">
        <w:rPr>
          <w:color w:val="auto"/>
        </w:rPr>
        <w:t>Pfoser</w:t>
      </w:r>
      <w:proofErr w:type="spellEnd"/>
      <w:r w:rsidRPr="00E438B7">
        <w:rPr>
          <w:color w:val="auto"/>
        </w:rPr>
        <w:t>, S., Schauer, O., Costa, Y., 2018. Acceptance of LNG as an alternative fuel: determinants and policy implications. Energy Policy 120, 259-267.</w:t>
      </w:r>
    </w:p>
    <w:p w14:paraId="674445F3" w14:textId="77777777" w:rsidR="00F9441E" w:rsidRPr="00E438B7" w:rsidRDefault="00F9441E" w:rsidP="00F9441E">
      <w:pPr>
        <w:pStyle w:val="MDPI71References"/>
        <w:numPr>
          <w:ilvl w:val="0"/>
          <w:numId w:val="21"/>
        </w:numPr>
        <w:rPr>
          <w:color w:val="auto"/>
        </w:rPr>
      </w:pPr>
      <w:r w:rsidRPr="00E438B7">
        <w:rPr>
          <w:color w:val="auto"/>
        </w:rPr>
        <w:t xml:space="preserve">Stefano, P.D., </w:t>
      </w:r>
      <w:proofErr w:type="spellStart"/>
      <w:r w:rsidRPr="00E438B7">
        <w:rPr>
          <w:color w:val="auto"/>
        </w:rPr>
        <w:t>Femia</w:t>
      </w:r>
      <w:proofErr w:type="spellEnd"/>
      <w:r w:rsidRPr="00E438B7">
        <w:rPr>
          <w:color w:val="auto"/>
        </w:rPr>
        <w:t xml:space="preserve">, A., </w:t>
      </w:r>
      <w:proofErr w:type="spellStart"/>
      <w:r w:rsidRPr="00E438B7">
        <w:rPr>
          <w:color w:val="auto"/>
        </w:rPr>
        <w:t>Luzzati</w:t>
      </w:r>
      <w:proofErr w:type="spellEnd"/>
      <w:r w:rsidRPr="00E438B7">
        <w:rPr>
          <w:color w:val="auto"/>
        </w:rPr>
        <w:t xml:space="preserve">, T., 2001. Natural gas, </w:t>
      </w:r>
      <w:proofErr w:type="gramStart"/>
      <w:r w:rsidRPr="00E438B7">
        <w:rPr>
          <w:color w:val="auto"/>
        </w:rPr>
        <w:t>cars</w:t>
      </w:r>
      <w:proofErr w:type="gramEnd"/>
      <w:r w:rsidRPr="00E438B7">
        <w:rPr>
          <w:color w:val="auto"/>
        </w:rPr>
        <w:t xml:space="preserve"> and the environment. A (relatively) clean and cheap fuel looking for users. Ecol. Econ. 38, 179-189.</w:t>
      </w:r>
    </w:p>
    <w:p w14:paraId="413C5EA2" w14:textId="77777777" w:rsidR="00F9441E" w:rsidRPr="00E438B7" w:rsidRDefault="00F9441E" w:rsidP="00F9441E">
      <w:pPr>
        <w:pStyle w:val="MDPI71References"/>
        <w:numPr>
          <w:ilvl w:val="0"/>
          <w:numId w:val="21"/>
        </w:numPr>
        <w:rPr>
          <w:color w:val="auto"/>
        </w:rPr>
      </w:pPr>
      <w:r w:rsidRPr="00E438B7">
        <w:rPr>
          <w:color w:val="auto"/>
        </w:rPr>
        <w:t xml:space="preserve">BP Energy Outlook 2017 Edition. </w:t>
      </w:r>
      <w:hyperlink r:id="rId9" w:history="1">
        <w:r w:rsidRPr="00E438B7">
          <w:rPr>
            <w:rStyle w:val="Hyperlink"/>
            <w:color w:val="auto"/>
          </w:rPr>
          <w:t>https://www.bp.com/content/dam/bp/pdf/energyeconomics/energy-outlook-2017/bp-energy-outlook-2017.pdf</w:t>
        </w:r>
      </w:hyperlink>
      <w:r w:rsidRPr="00E438B7">
        <w:rPr>
          <w:color w:val="auto"/>
        </w:rPr>
        <w:t>. (Accessed 4 December 2017).</w:t>
      </w:r>
    </w:p>
    <w:p w14:paraId="44074125" w14:textId="77777777" w:rsidR="00F9441E" w:rsidRPr="00E438B7" w:rsidRDefault="00F9441E" w:rsidP="00F9441E">
      <w:pPr>
        <w:pStyle w:val="MDPI71References"/>
        <w:numPr>
          <w:ilvl w:val="0"/>
          <w:numId w:val="21"/>
        </w:numPr>
        <w:rPr>
          <w:color w:val="auto"/>
        </w:rPr>
      </w:pPr>
      <w:r w:rsidRPr="00E438B7">
        <w:rPr>
          <w:color w:val="auto"/>
        </w:rPr>
        <w:t>IGU (International Gas Union), 2017. World Energy Report, the World Depends on Natural Gas.</w:t>
      </w:r>
    </w:p>
    <w:p w14:paraId="655B0F8A" w14:textId="77777777" w:rsidR="00F9441E" w:rsidRPr="00E438B7" w:rsidRDefault="00F9441E" w:rsidP="00F9441E">
      <w:pPr>
        <w:pStyle w:val="MDPI71References"/>
        <w:numPr>
          <w:ilvl w:val="0"/>
          <w:numId w:val="21"/>
        </w:numPr>
        <w:rPr>
          <w:color w:val="auto"/>
        </w:rPr>
      </w:pPr>
      <w:proofErr w:type="spellStart"/>
      <w:r w:rsidRPr="00E438B7">
        <w:rPr>
          <w:color w:val="auto"/>
        </w:rPr>
        <w:t>Thanaraksakul</w:t>
      </w:r>
      <w:proofErr w:type="spellEnd"/>
      <w:r w:rsidRPr="00E438B7">
        <w:rPr>
          <w:color w:val="auto"/>
        </w:rPr>
        <w:t xml:space="preserve">, W., </w:t>
      </w:r>
      <w:proofErr w:type="spellStart"/>
      <w:r w:rsidRPr="00E438B7">
        <w:rPr>
          <w:color w:val="auto"/>
        </w:rPr>
        <w:t>Phruksaphanrat</w:t>
      </w:r>
      <w:proofErr w:type="spellEnd"/>
      <w:r w:rsidRPr="00E438B7">
        <w:rPr>
          <w:color w:val="auto"/>
        </w:rPr>
        <w:t xml:space="preserve">, B., 2009. Supplier evaluation framework based on balanced scorecard with integrated Corporate social responsibility perspective. In: Proceedings of the International </w:t>
      </w:r>
      <w:proofErr w:type="spellStart"/>
      <w:r w:rsidRPr="00E438B7">
        <w:rPr>
          <w:color w:val="auto"/>
        </w:rPr>
        <w:t>MultiConference</w:t>
      </w:r>
      <w:proofErr w:type="spellEnd"/>
      <w:r w:rsidRPr="00E438B7">
        <w:rPr>
          <w:color w:val="auto"/>
        </w:rPr>
        <w:t xml:space="preserve"> of Engineers and Computer Scientists (IMECS 2009), Hong Kong Vol. II, March 18 - 20, Hong Kong.</w:t>
      </w:r>
    </w:p>
    <w:p w14:paraId="71701EEF" w14:textId="77777777" w:rsidR="00F9441E" w:rsidRPr="00E438B7" w:rsidRDefault="00F9441E" w:rsidP="00F9441E">
      <w:pPr>
        <w:pStyle w:val="MDPI71References"/>
        <w:numPr>
          <w:ilvl w:val="0"/>
          <w:numId w:val="21"/>
        </w:numPr>
        <w:rPr>
          <w:color w:val="auto"/>
        </w:rPr>
      </w:pPr>
      <w:proofErr w:type="spellStart"/>
      <w:r w:rsidRPr="00E438B7">
        <w:rPr>
          <w:color w:val="auto"/>
        </w:rPr>
        <w:t>Stegen</w:t>
      </w:r>
      <w:proofErr w:type="spellEnd"/>
      <w:r w:rsidRPr="00E438B7">
        <w:rPr>
          <w:color w:val="auto"/>
        </w:rPr>
        <w:t xml:space="preserve">, K.S., </w:t>
      </w:r>
      <w:proofErr w:type="spellStart"/>
      <w:r w:rsidRPr="00E438B7">
        <w:rPr>
          <w:color w:val="auto"/>
        </w:rPr>
        <w:t>Palovic</w:t>
      </w:r>
      <w:proofErr w:type="spellEnd"/>
      <w:r w:rsidRPr="00E438B7">
        <w:rPr>
          <w:color w:val="auto"/>
        </w:rPr>
        <w:t xml:space="preserve">, M., 2014. Decision-making for supplying energy projects: a four-dimensional model. Energy Convers. </w:t>
      </w:r>
      <w:proofErr w:type="spellStart"/>
      <w:r w:rsidRPr="00E438B7">
        <w:rPr>
          <w:color w:val="auto"/>
        </w:rPr>
        <w:t>Manag</w:t>
      </w:r>
      <w:proofErr w:type="spellEnd"/>
      <w:r w:rsidRPr="00E438B7">
        <w:rPr>
          <w:color w:val="auto"/>
        </w:rPr>
        <w:t>. 86, 644-652.</w:t>
      </w:r>
    </w:p>
    <w:p w14:paraId="755FB60D" w14:textId="45F8753B" w:rsidR="00F9441E" w:rsidRDefault="00F9441E" w:rsidP="00F9441E">
      <w:pPr>
        <w:pStyle w:val="MDPI71References"/>
        <w:numPr>
          <w:ilvl w:val="0"/>
          <w:numId w:val="21"/>
        </w:numPr>
        <w:rPr>
          <w:color w:val="auto"/>
        </w:rPr>
      </w:pPr>
      <w:proofErr w:type="spellStart"/>
      <w:r w:rsidRPr="00E438B7">
        <w:rPr>
          <w:color w:val="auto"/>
        </w:rPr>
        <w:lastRenderedPageBreak/>
        <w:t>Strantzali</w:t>
      </w:r>
      <w:proofErr w:type="spellEnd"/>
      <w:r w:rsidRPr="00E438B7">
        <w:rPr>
          <w:color w:val="auto"/>
        </w:rPr>
        <w:t xml:space="preserve">, E., </w:t>
      </w:r>
      <w:proofErr w:type="spellStart"/>
      <w:r w:rsidRPr="00E438B7">
        <w:rPr>
          <w:color w:val="auto"/>
        </w:rPr>
        <w:t>Aravossis</w:t>
      </w:r>
      <w:proofErr w:type="spellEnd"/>
      <w:r w:rsidRPr="00E438B7">
        <w:rPr>
          <w:color w:val="auto"/>
        </w:rPr>
        <w:t xml:space="preserve">, K., </w:t>
      </w:r>
      <w:proofErr w:type="spellStart"/>
      <w:r w:rsidRPr="00E438B7">
        <w:rPr>
          <w:color w:val="auto"/>
        </w:rPr>
        <w:t>Livanos</w:t>
      </w:r>
      <w:proofErr w:type="spellEnd"/>
      <w:r w:rsidRPr="00E438B7">
        <w:rPr>
          <w:color w:val="auto"/>
        </w:rPr>
        <w:t xml:space="preserve">, G. A., &amp; </w:t>
      </w:r>
      <w:proofErr w:type="spellStart"/>
      <w:r w:rsidRPr="00E438B7">
        <w:rPr>
          <w:color w:val="auto"/>
        </w:rPr>
        <w:t>Nikoloudis</w:t>
      </w:r>
      <w:proofErr w:type="spellEnd"/>
      <w:r w:rsidRPr="00E438B7">
        <w:rPr>
          <w:color w:val="auto"/>
        </w:rPr>
        <w:t xml:space="preserve">, C. (2019). A decision support approach for evaluating liquefied natural gas supply options: Implementation on Greek case study. </w:t>
      </w:r>
      <w:r w:rsidRPr="00E438B7">
        <w:rPr>
          <w:i/>
          <w:iCs/>
          <w:color w:val="auto"/>
        </w:rPr>
        <w:t>Journal of cleaner production</w:t>
      </w:r>
      <w:r w:rsidRPr="00E438B7">
        <w:rPr>
          <w:color w:val="auto"/>
        </w:rPr>
        <w:t xml:space="preserve">, </w:t>
      </w:r>
      <w:r w:rsidRPr="00E438B7">
        <w:rPr>
          <w:i/>
          <w:iCs/>
          <w:color w:val="auto"/>
        </w:rPr>
        <w:t>222</w:t>
      </w:r>
      <w:r w:rsidRPr="00E438B7">
        <w:rPr>
          <w:color w:val="auto"/>
        </w:rPr>
        <w:t>, 414-423.</w:t>
      </w:r>
    </w:p>
    <w:p w14:paraId="74DA394E" w14:textId="77777777" w:rsidR="00F9441E" w:rsidRPr="00E438B7" w:rsidRDefault="00F9441E" w:rsidP="00F9441E">
      <w:pPr>
        <w:pStyle w:val="MDPI71References"/>
        <w:numPr>
          <w:ilvl w:val="0"/>
          <w:numId w:val="21"/>
        </w:numPr>
        <w:rPr>
          <w:color w:val="auto"/>
        </w:rPr>
      </w:pPr>
      <w:r w:rsidRPr="00E438B7">
        <w:rPr>
          <w:color w:val="auto"/>
        </w:rPr>
        <w:t>World gas intelligence; 2009;6:8.</w:t>
      </w:r>
    </w:p>
    <w:p w14:paraId="72D54A90" w14:textId="77777777" w:rsidR="00F9441E" w:rsidRPr="00E438B7" w:rsidRDefault="00F9441E" w:rsidP="00F9441E">
      <w:pPr>
        <w:pStyle w:val="MDPI71References"/>
        <w:numPr>
          <w:ilvl w:val="0"/>
          <w:numId w:val="21"/>
        </w:numPr>
        <w:rPr>
          <w:color w:val="auto"/>
        </w:rPr>
      </w:pPr>
      <w:r w:rsidRPr="00E438B7">
        <w:rPr>
          <w:color w:val="auto"/>
        </w:rPr>
        <w:t xml:space="preserve">Energy and ecology November 2007. </w:t>
      </w:r>
      <w:hyperlink w:history="1">
        <w:r w:rsidRPr="00E438B7">
          <w:rPr>
            <w:rStyle w:val="Hyperlink"/>
            <w:color w:val="auto"/>
          </w:rPr>
          <w:t>www.our- nergy.com/energy_and_ecology.html</w:t>
        </w:r>
      </w:hyperlink>
      <w:r w:rsidRPr="00E438B7">
        <w:rPr>
          <w:color w:val="auto"/>
        </w:rPr>
        <w:t xml:space="preserve"> </w:t>
      </w:r>
    </w:p>
    <w:p w14:paraId="7B9A5F6F" w14:textId="77777777" w:rsidR="00F9441E" w:rsidRPr="00E438B7" w:rsidRDefault="00F9441E" w:rsidP="00F9441E">
      <w:pPr>
        <w:pStyle w:val="MDPI71References"/>
        <w:numPr>
          <w:ilvl w:val="0"/>
          <w:numId w:val="21"/>
        </w:numPr>
        <w:rPr>
          <w:color w:val="auto"/>
        </w:rPr>
      </w:pPr>
      <w:r w:rsidRPr="00E438B7">
        <w:rPr>
          <w:color w:val="auto"/>
        </w:rPr>
        <w:t xml:space="preserve">Weisser D. A guide to life cycle </w:t>
      </w:r>
      <w:proofErr w:type="spellStart"/>
      <w:r w:rsidRPr="00E438B7">
        <w:rPr>
          <w:color w:val="auto"/>
        </w:rPr>
        <w:t>green house</w:t>
      </w:r>
      <w:proofErr w:type="spellEnd"/>
      <w:r w:rsidRPr="00E438B7">
        <w:rPr>
          <w:color w:val="auto"/>
        </w:rPr>
        <w:t xml:space="preserve"> gas (GHG) emissions from electric supply technologies. Energy 2007;32:1543–59.</w:t>
      </w:r>
    </w:p>
    <w:p w14:paraId="6C4C1F88" w14:textId="77777777" w:rsidR="00F9441E" w:rsidRPr="00E438B7" w:rsidRDefault="00F9441E" w:rsidP="00F9441E">
      <w:pPr>
        <w:pStyle w:val="MDPI71References"/>
        <w:numPr>
          <w:ilvl w:val="0"/>
          <w:numId w:val="21"/>
        </w:numPr>
        <w:rPr>
          <w:color w:val="auto"/>
        </w:rPr>
      </w:pPr>
      <w:r w:rsidRPr="00E438B7">
        <w:rPr>
          <w:color w:val="auto"/>
        </w:rPr>
        <w:t>Anthea M, Hopkins J, Laughlin Mc CW, Johnson S, Warner MQ, La Hart D, Wright JD. Human biology and Health Englewood Cliffs, New Jersey, USA, Prentice Hall, ISBN 013981176-1; 1993.</w:t>
      </w:r>
    </w:p>
    <w:p w14:paraId="3F628823" w14:textId="77777777" w:rsidR="00F9441E" w:rsidRPr="00E438B7" w:rsidRDefault="00F9441E" w:rsidP="00F9441E">
      <w:pPr>
        <w:pStyle w:val="MDPI71References"/>
        <w:numPr>
          <w:ilvl w:val="0"/>
          <w:numId w:val="21"/>
        </w:numPr>
        <w:rPr>
          <w:color w:val="auto"/>
        </w:rPr>
      </w:pPr>
      <w:r w:rsidRPr="00E438B7">
        <w:rPr>
          <w:color w:val="auto"/>
        </w:rPr>
        <w:t xml:space="preserve">Dominguez ED, Ruiz MT, Rubio J, Andres de S. Equality of in vivo and in vitro oxygen binding capacity of hemoglobin in patients with serve respiration diseases. Br J </w:t>
      </w:r>
      <w:proofErr w:type="spellStart"/>
      <w:r w:rsidRPr="00E438B7">
        <w:rPr>
          <w:color w:val="auto"/>
        </w:rPr>
        <w:t>Anesth</w:t>
      </w:r>
      <w:proofErr w:type="spellEnd"/>
      <w:r w:rsidRPr="00E438B7">
        <w:rPr>
          <w:color w:val="auto"/>
        </w:rPr>
        <w:t xml:space="preserve"> 1981;53:1325–8.</w:t>
      </w:r>
    </w:p>
    <w:p w14:paraId="420D7790" w14:textId="77777777" w:rsidR="00F9441E" w:rsidRPr="00E438B7" w:rsidRDefault="00F9441E" w:rsidP="00F9441E">
      <w:pPr>
        <w:pStyle w:val="MDPI71References"/>
        <w:numPr>
          <w:ilvl w:val="0"/>
          <w:numId w:val="21"/>
        </w:numPr>
        <w:rPr>
          <w:color w:val="auto"/>
        </w:rPr>
      </w:pPr>
      <w:r w:rsidRPr="00E438B7">
        <w:rPr>
          <w:color w:val="auto"/>
        </w:rPr>
        <w:t xml:space="preserve">Tamura I, Tanka T, </w:t>
      </w:r>
      <w:proofErr w:type="spellStart"/>
      <w:r w:rsidRPr="00E438B7">
        <w:rPr>
          <w:color w:val="auto"/>
        </w:rPr>
        <w:t>Kagajo</w:t>
      </w:r>
      <w:proofErr w:type="spellEnd"/>
      <w:r w:rsidRPr="00E438B7">
        <w:rPr>
          <w:color w:val="auto"/>
        </w:rPr>
        <w:t xml:space="preserve"> T, </w:t>
      </w:r>
      <w:proofErr w:type="spellStart"/>
      <w:r w:rsidRPr="00E438B7">
        <w:rPr>
          <w:color w:val="auto"/>
        </w:rPr>
        <w:t>Kuwabara</w:t>
      </w:r>
      <w:proofErr w:type="spellEnd"/>
      <w:r w:rsidRPr="00E438B7">
        <w:rPr>
          <w:color w:val="auto"/>
        </w:rPr>
        <w:t xml:space="preserve"> S, Yoshioka T, Nagata T, et al. Life cycle CO2 analysis of LNG and city gas. Appl Energy 2001;68:301–19.</w:t>
      </w:r>
    </w:p>
    <w:p w14:paraId="19B0A8C8" w14:textId="77777777" w:rsidR="00F9441E" w:rsidRPr="00E438B7" w:rsidRDefault="00F9441E" w:rsidP="00F9441E">
      <w:pPr>
        <w:pStyle w:val="MDPI71References"/>
        <w:numPr>
          <w:ilvl w:val="0"/>
          <w:numId w:val="21"/>
        </w:numPr>
        <w:rPr>
          <w:color w:val="auto"/>
        </w:rPr>
      </w:pPr>
      <w:proofErr w:type="spellStart"/>
      <w:r w:rsidRPr="00E438B7">
        <w:rPr>
          <w:color w:val="auto"/>
        </w:rPr>
        <w:t>Rellán</w:t>
      </w:r>
      <w:proofErr w:type="spellEnd"/>
      <w:r w:rsidRPr="00E438B7">
        <w:rPr>
          <w:color w:val="auto"/>
        </w:rPr>
        <w:t xml:space="preserve">, A. G., Brea, C. V., &amp; </w:t>
      </w:r>
      <w:proofErr w:type="spellStart"/>
      <w:r w:rsidRPr="00E438B7">
        <w:rPr>
          <w:color w:val="auto"/>
        </w:rPr>
        <w:t>Bugallo</w:t>
      </w:r>
      <w:proofErr w:type="spellEnd"/>
      <w:r w:rsidRPr="00E438B7">
        <w:rPr>
          <w:color w:val="auto"/>
        </w:rPr>
        <w:t xml:space="preserve">, P. B. (2018). Towards sustainable mobile systems configurations: Application to a tuna purse seiner. </w:t>
      </w:r>
      <w:r w:rsidRPr="00E438B7">
        <w:rPr>
          <w:i/>
          <w:iCs/>
          <w:color w:val="auto"/>
        </w:rPr>
        <w:t>Science of The Total Environment</w:t>
      </w:r>
      <w:r w:rsidRPr="00E438B7">
        <w:rPr>
          <w:color w:val="auto"/>
        </w:rPr>
        <w:t xml:space="preserve">, </w:t>
      </w:r>
      <w:r w:rsidRPr="00E438B7">
        <w:rPr>
          <w:i/>
          <w:iCs/>
          <w:color w:val="auto"/>
        </w:rPr>
        <w:t>631</w:t>
      </w:r>
      <w:r w:rsidRPr="00E438B7">
        <w:rPr>
          <w:color w:val="auto"/>
        </w:rPr>
        <w:t>, 1623-1637.</w:t>
      </w:r>
    </w:p>
    <w:p w14:paraId="2947AF7D" w14:textId="77777777" w:rsidR="00F9441E" w:rsidRPr="00E438B7" w:rsidRDefault="00F9441E" w:rsidP="00F9441E">
      <w:pPr>
        <w:pStyle w:val="MDPI71References"/>
        <w:numPr>
          <w:ilvl w:val="0"/>
          <w:numId w:val="21"/>
        </w:numPr>
        <w:rPr>
          <w:color w:val="auto"/>
        </w:rPr>
      </w:pPr>
      <w:r w:rsidRPr="00E438B7">
        <w:rPr>
          <w:color w:val="auto"/>
        </w:rPr>
        <w:t>Zhang N, Noam L. A Novel near zero CO2 emission thermal cycle with LNG cryogenic exergy utilization. Energy 2006;31:1666–79.</w:t>
      </w:r>
    </w:p>
    <w:p w14:paraId="54A41D7A" w14:textId="77777777" w:rsidR="00F9441E" w:rsidRPr="00E438B7" w:rsidRDefault="00F9441E" w:rsidP="00F9441E">
      <w:pPr>
        <w:pStyle w:val="MDPI71References"/>
        <w:numPr>
          <w:ilvl w:val="0"/>
          <w:numId w:val="21"/>
        </w:numPr>
        <w:rPr>
          <w:color w:val="auto"/>
        </w:rPr>
      </w:pPr>
      <w:r w:rsidRPr="00E438B7">
        <w:rPr>
          <w:color w:val="auto"/>
        </w:rPr>
        <w:t xml:space="preserve">Lam, J. S. L., &amp; Li, K. X. (2019). Green port marketing for sustainable growth and development. </w:t>
      </w:r>
      <w:r w:rsidRPr="00E438B7">
        <w:rPr>
          <w:i/>
          <w:iCs/>
          <w:color w:val="auto"/>
        </w:rPr>
        <w:t>Transport Policy</w:t>
      </w:r>
      <w:r w:rsidRPr="00E438B7">
        <w:rPr>
          <w:color w:val="auto"/>
        </w:rPr>
        <w:t xml:space="preserve">, </w:t>
      </w:r>
      <w:r w:rsidRPr="00E438B7">
        <w:rPr>
          <w:i/>
          <w:iCs/>
          <w:color w:val="auto"/>
        </w:rPr>
        <w:t>84</w:t>
      </w:r>
      <w:r w:rsidRPr="00E438B7">
        <w:rPr>
          <w:color w:val="auto"/>
        </w:rPr>
        <w:t>, 73-81.</w:t>
      </w:r>
    </w:p>
    <w:p w14:paraId="570480B5" w14:textId="77777777" w:rsidR="002E1ECA" w:rsidRPr="00E438B7" w:rsidRDefault="002E1ECA" w:rsidP="002E1ECA">
      <w:pPr>
        <w:pStyle w:val="MDPI71References"/>
        <w:numPr>
          <w:ilvl w:val="0"/>
          <w:numId w:val="21"/>
        </w:numPr>
        <w:rPr>
          <w:color w:val="auto"/>
        </w:rPr>
      </w:pPr>
      <w:proofErr w:type="spellStart"/>
      <w:r w:rsidRPr="00E438B7">
        <w:rPr>
          <w:color w:val="auto"/>
        </w:rPr>
        <w:t>Navas-Anguita</w:t>
      </w:r>
      <w:proofErr w:type="spellEnd"/>
      <w:r w:rsidRPr="00E438B7">
        <w:rPr>
          <w:color w:val="auto"/>
        </w:rPr>
        <w:t>, Z., García-</w:t>
      </w:r>
      <w:proofErr w:type="spellStart"/>
      <w:r w:rsidRPr="00E438B7">
        <w:rPr>
          <w:color w:val="auto"/>
        </w:rPr>
        <w:t>Gusano</w:t>
      </w:r>
      <w:proofErr w:type="spellEnd"/>
      <w:r w:rsidRPr="00E438B7">
        <w:rPr>
          <w:color w:val="auto"/>
        </w:rPr>
        <w:t xml:space="preserve">, D., &amp; </w:t>
      </w:r>
      <w:proofErr w:type="spellStart"/>
      <w:r w:rsidRPr="00E438B7">
        <w:rPr>
          <w:color w:val="auto"/>
        </w:rPr>
        <w:t>Iribarren</w:t>
      </w:r>
      <w:proofErr w:type="spellEnd"/>
      <w:r w:rsidRPr="00E438B7">
        <w:rPr>
          <w:color w:val="auto"/>
        </w:rPr>
        <w:t xml:space="preserve">, D. (2019). A review of techno-economic data for road transportation fuels. </w:t>
      </w:r>
      <w:r w:rsidRPr="00E438B7">
        <w:rPr>
          <w:i/>
          <w:iCs/>
          <w:color w:val="auto"/>
        </w:rPr>
        <w:t>Renewable and Sustainable Energy Reviews</w:t>
      </w:r>
      <w:r w:rsidRPr="00E438B7">
        <w:rPr>
          <w:color w:val="auto"/>
        </w:rPr>
        <w:t xml:space="preserve">, </w:t>
      </w:r>
      <w:r w:rsidRPr="00E438B7">
        <w:rPr>
          <w:i/>
          <w:iCs/>
          <w:color w:val="auto"/>
        </w:rPr>
        <w:t>112</w:t>
      </w:r>
      <w:r w:rsidRPr="00E438B7">
        <w:rPr>
          <w:color w:val="auto"/>
        </w:rPr>
        <w:t>, 11-26.</w:t>
      </w:r>
    </w:p>
    <w:p w14:paraId="36F81E76" w14:textId="77777777" w:rsidR="002E1ECA" w:rsidRPr="00E438B7" w:rsidRDefault="002E1ECA" w:rsidP="002E1ECA">
      <w:pPr>
        <w:pStyle w:val="MDPI71References"/>
        <w:numPr>
          <w:ilvl w:val="0"/>
          <w:numId w:val="21"/>
        </w:numPr>
        <w:rPr>
          <w:color w:val="auto"/>
        </w:rPr>
      </w:pPr>
      <w:r w:rsidRPr="00E438B7">
        <w:rPr>
          <w:color w:val="auto"/>
        </w:rPr>
        <w:t xml:space="preserve">Oregon LNG </w:t>
      </w:r>
      <w:hyperlink r:id="rId10" w:history="1">
        <w:r w:rsidRPr="00E438B7">
          <w:rPr>
            <w:rStyle w:val="Hyperlink"/>
            <w:color w:val="auto"/>
          </w:rPr>
          <w:t>http://www.oregonlng.com/lng_enviro.php</w:t>
        </w:r>
      </w:hyperlink>
      <w:r w:rsidRPr="00E438B7">
        <w:rPr>
          <w:color w:val="auto"/>
        </w:rPr>
        <w:t xml:space="preserve">. </w:t>
      </w:r>
    </w:p>
    <w:p w14:paraId="67B55707" w14:textId="77777777" w:rsidR="002E1ECA" w:rsidRPr="00E438B7" w:rsidRDefault="002E1ECA" w:rsidP="002E1ECA">
      <w:pPr>
        <w:pStyle w:val="MDPI71References"/>
        <w:numPr>
          <w:ilvl w:val="0"/>
          <w:numId w:val="21"/>
        </w:numPr>
        <w:rPr>
          <w:color w:val="auto"/>
        </w:rPr>
      </w:pPr>
      <w:proofErr w:type="spellStart"/>
      <w:r w:rsidRPr="00E438B7">
        <w:rPr>
          <w:color w:val="auto"/>
        </w:rPr>
        <w:t>Seatrans</w:t>
      </w:r>
      <w:proofErr w:type="spellEnd"/>
      <w:r w:rsidRPr="00E438B7">
        <w:rPr>
          <w:color w:val="auto"/>
        </w:rPr>
        <w:t xml:space="preserve"> LHK. The LNG future seen from a ship owner. </w:t>
      </w:r>
      <w:proofErr w:type="spellStart"/>
      <w:r w:rsidRPr="00E438B7">
        <w:rPr>
          <w:color w:val="auto"/>
        </w:rPr>
        <w:t>Magalog</w:t>
      </w:r>
      <w:proofErr w:type="spellEnd"/>
      <w:r w:rsidRPr="00E438B7">
        <w:rPr>
          <w:color w:val="auto"/>
        </w:rPr>
        <w:t xml:space="preserve"> conference 16 January 2007. </w:t>
      </w:r>
    </w:p>
    <w:p w14:paraId="32D8904B" w14:textId="77777777" w:rsidR="002E1ECA" w:rsidRPr="00E438B7" w:rsidRDefault="002E1ECA" w:rsidP="002E1ECA">
      <w:pPr>
        <w:pStyle w:val="MDPI71References"/>
        <w:numPr>
          <w:ilvl w:val="0"/>
          <w:numId w:val="21"/>
        </w:numPr>
        <w:rPr>
          <w:color w:val="auto"/>
        </w:rPr>
      </w:pPr>
      <w:proofErr w:type="spellStart"/>
      <w:r w:rsidRPr="00E438B7">
        <w:rPr>
          <w:color w:val="auto"/>
        </w:rPr>
        <w:t>Hekkert</w:t>
      </w:r>
      <w:proofErr w:type="spellEnd"/>
      <w:r w:rsidRPr="00E438B7">
        <w:rPr>
          <w:color w:val="auto"/>
        </w:rPr>
        <w:t xml:space="preserve"> MP, Hendriks FHJF, </w:t>
      </w:r>
      <w:proofErr w:type="spellStart"/>
      <w:r w:rsidRPr="00E438B7">
        <w:rPr>
          <w:color w:val="auto"/>
        </w:rPr>
        <w:t>Faaij</w:t>
      </w:r>
      <w:proofErr w:type="spellEnd"/>
      <w:r w:rsidRPr="00E438B7">
        <w:rPr>
          <w:color w:val="auto"/>
        </w:rPr>
        <w:t xml:space="preserve"> APC, </w:t>
      </w:r>
      <w:proofErr w:type="spellStart"/>
      <w:r w:rsidRPr="00E438B7">
        <w:rPr>
          <w:color w:val="auto"/>
        </w:rPr>
        <w:t>Neelis</w:t>
      </w:r>
      <w:proofErr w:type="spellEnd"/>
      <w:r w:rsidRPr="00E438B7">
        <w:rPr>
          <w:color w:val="auto"/>
        </w:rPr>
        <w:t xml:space="preserve"> ML. Natural gas as an alternative to crude oil in automotive fuel chains well-to-wheel analysis and transition strategy development. Energy Policy 2005;33:579–94.</w:t>
      </w:r>
    </w:p>
    <w:p w14:paraId="3924648A" w14:textId="77777777" w:rsidR="002E1ECA" w:rsidRPr="00E438B7" w:rsidRDefault="002E1ECA" w:rsidP="002E1ECA">
      <w:pPr>
        <w:pStyle w:val="MDPI71References"/>
        <w:numPr>
          <w:ilvl w:val="0"/>
          <w:numId w:val="21"/>
        </w:numPr>
        <w:rPr>
          <w:color w:val="auto"/>
        </w:rPr>
      </w:pPr>
      <w:r w:rsidRPr="00E438B7">
        <w:rPr>
          <w:color w:val="auto"/>
        </w:rPr>
        <w:t>Hondo H. Life cycle GHG emissions analysis of power generation systems: Japanese case. Energy 2005;30:2042–56.</w:t>
      </w:r>
    </w:p>
    <w:p w14:paraId="4431CD10" w14:textId="77777777" w:rsidR="002E1ECA" w:rsidRPr="00E438B7" w:rsidRDefault="002E1ECA" w:rsidP="002E1ECA">
      <w:pPr>
        <w:pStyle w:val="MDPI71References"/>
        <w:numPr>
          <w:ilvl w:val="0"/>
          <w:numId w:val="21"/>
        </w:numPr>
        <w:rPr>
          <w:color w:val="auto"/>
        </w:rPr>
      </w:pPr>
      <w:r w:rsidRPr="00E438B7">
        <w:rPr>
          <w:color w:val="auto"/>
        </w:rPr>
        <w:t xml:space="preserve">Kannan R, Leong KC, Osman R, Ho HK. Life cycle energy, </w:t>
      </w:r>
      <w:proofErr w:type="gramStart"/>
      <w:r w:rsidRPr="00E438B7">
        <w:rPr>
          <w:color w:val="auto"/>
        </w:rPr>
        <w:t>emissions</w:t>
      </w:r>
      <w:proofErr w:type="gramEnd"/>
      <w:r w:rsidRPr="00E438B7">
        <w:rPr>
          <w:color w:val="auto"/>
        </w:rPr>
        <w:t xml:space="preserve"> and cost inventory of power generation technologies in Singapore. Renew Sustain Energy Rev 2007;11:702–15.</w:t>
      </w:r>
    </w:p>
    <w:p w14:paraId="4594AADD" w14:textId="77777777" w:rsidR="002E1ECA" w:rsidRPr="00E438B7" w:rsidRDefault="002E1ECA" w:rsidP="002E1ECA">
      <w:pPr>
        <w:pStyle w:val="MDPI71References"/>
        <w:numPr>
          <w:ilvl w:val="0"/>
          <w:numId w:val="21"/>
        </w:numPr>
        <w:rPr>
          <w:color w:val="auto"/>
        </w:rPr>
      </w:pPr>
      <w:proofErr w:type="spellStart"/>
      <w:r w:rsidRPr="00E438B7">
        <w:rPr>
          <w:color w:val="auto"/>
        </w:rPr>
        <w:t>Arteconi</w:t>
      </w:r>
      <w:proofErr w:type="spellEnd"/>
      <w:r w:rsidRPr="00E438B7">
        <w:rPr>
          <w:color w:val="auto"/>
        </w:rPr>
        <w:t xml:space="preserve"> A, </w:t>
      </w:r>
      <w:proofErr w:type="spellStart"/>
      <w:r w:rsidRPr="00E438B7">
        <w:rPr>
          <w:color w:val="auto"/>
        </w:rPr>
        <w:t>Brandoni</w:t>
      </w:r>
      <w:proofErr w:type="spellEnd"/>
      <w:r w:rsidRPr="00E438B7">
        <w:rPr>
          <w:color w:val="auto"/>
        </w:rPr>
        <w:t xml:space="preserve"> D, Evangelista D, </w:t>
      </w:r>
      <w:proofErr w:type="spellStart"/>
      <w:r w:rsidRPr="00E438B7">
        <w:rPr>
          <w:color w:val="auto"/>
        </w:rPr>
        <w:t>Polonara</w:t>
      </w:r>
      <w:proofErr w:type="spellEnd"/>
      <w:r w:rsidRPr="00E438B7">
        <w:rPr>
          <w:color w:val="auto"/>
        </w:rPr>
        <w:t xml:space="preserve"> F. Life cycle </w:t>
      </w:r>
      <w:proofErr w:type="spellStart"/>
      <w:r w:rsidRPr="00E438B7">
        <w:rPr>
          <w:color w:val="auto"/>
        </w:rPr>
        <w:t>green house</w:t>
      </w:r>
      <w:proofErr w:type="spellEnd"/>
      <w:r w:rsidRPr="00E438B7">
        <w:rPr>
          <w:color w:val="auto"/>
        </w:rPr>
        <w:t xml:space="preserve"> gas analysis of LNG as a heavy vehicle fuel in Europe. Appl Energy 2010;87(6):2005–13.</w:t>
      </w:r>
    </w:p>
    <w:p w14:paraId="736BC822" w14:textId="77777777" w:rsidR="002E1ECA" w:rsidRPr="00E438B7" w:rsidRDefault="002E1ECA" w:rsidP="002E1ECA">
      <w:pPr>
        <w:pStyle w:val="MDPI71References"/>
        <w:numPr>
          <w:ilvl w:val="0"/>
          <w:numId w:val="21"/>
        </w:numPr>
        <w:rPr>
          <w:color w:val="auto"/>
        </w:rPr>
      </w:pPr>
      <w:r w:rsidRPr="00E438B7">
        <w:rPr>
          <w:color w:val="auto"/>
        </w:rPr>
        <w:t>Graham LA, Rideout G, Rosenblatt D, Hendren J. Greenhouse gas emissions from heavy-duty vehicles. Atmos Environ 2008;42:4665–81.</w:t>
      </w:r>
    </w:p>
    <w:p w14:paraId="08E9B71E" w14:textId="77777777" w:rsidR="002E1ECA" w:rsidRPr="00E438B7" w:rsidRDefault="002E1ECA" w:rsidP="002E1ECA">
      <w:pPr>
        <w:pStyle w:val="MDPI71References"/>
        <w:numPr>
          <w:ilvl w:val="0"/>
          <w:numId w:val="21"/>
        </w:numPr>
        <w:rPr>
          <w:color w:val="auto"/>
        </w:rPr>
      </w:pPr>
      <w:r w:rsidRPr="00E438B7">
        <w:rPr>
          <w:color w:val="auto"/>
        </w:rPr>
        <w:t>Life cycle assessment of GHG emissions from LNG and coal fired generation scenarios: assumptions and results. Fair Lakes Court, Fairfax, VA-22033348 USA, 3 February 2009.</w:t>
      </w:r>
    </w:p>
    <w:p w14:paraId="0922A9A2" w14:textId="77777777" w:rsidR="002E1ECA" w:rsidRPr="00E438B7" w:rsidRDefault="002E1ECA" w:rsidP="002E1ECA">
      <w:pPr>
        <w:pStyle w:val="MDPI71References"/>
        <w:numPr>
          <w:ilvl w:val="0"/>
          <w:numId w:val="21"/>
        </w:numPr>
        <w:rPr>
          <w:color w:val="auto"/>
        </w:rPr>
      </w:pPr>
      <w:proofErr w:type="spellStart"/>
      <w:r w:rsidRPr="00E438B7">
        <w:rPr>
          <w:color w:val="auto"/>
        </w:rPr>
        <w:t>Andress</w:t>
      </w:r>
      <w:proofErr w:type="spellEnd"/>
      <w:r w:rsidRPr="00E438B7">
        <w:rPr>
          <w:color w:val="auto"/>
        </w:rPr>
        <w:t xml:space="preserve"> D, Nguyen TD, Das S. Reducing GHG emissions in the United States transportation. Energy Sustain Develop, in press. doi:10.1016/j.esd.2011. 03.002.</w:t>
      </w:r>
    </w:p>
    <w:p w14:paraId="11D25404" w14:textId="77777777" w:rsidR="002E1ECA" w:rsidRPr="00364CDE" w:rsidRDefault="002E1ECA" w:rsidP="002E1ECA">
      <w:pPr>
        <w:pStyle w:val="MDPI71References"/>
        <w:numPr>
          <w:ilvl w:val="0"/>
          <w:numId w:val="21"/>
        </w:numPr>
        <w:rPr>
          <w:color w:val="auto"/>
        </w:rPr>
      </w:pPr>
      <w:r w:rsidRPr="00E438B7">
        <w:rPr>
          <w:color w:val="auto"/>
        </w:rPr>
        <w:t xml:space="preserve">Song, H., </w:t>
      </w:r>
      <w:proofErr w:type="spellStart"/>
      <w:r w:rsidRPr="00E438B7">
        <w:rPr>
          <w:color w:val="auto"/>
        </w:rPr>
        <w:t>Ou</w:t>
      </w:r>
      <w:proofErr w:type="spellEnd"/>
      <w:r w:rsidRPr="00E438B7">
        <w:rPr>
          <w:color w:val="auto"/>
        </w:rPr>
        <w:t xml:space="preserve">, X., Yuan, J., Yu, M., &amp; Wang, C. (2017). Energy consumption and greenhouse gas emissions of diesel/LNG heavy-duty vehicle fleets in China based on a bottom-up model </w:t>
      </w:r>
      <w:r w:rsidRPr="00364CDE">
        <w:rPr>
          <w:color w:val="auto"/>
        </w:rPr>
        <w:t xml:space="preserve">analysis. </w:t>
      </w:r>
      <w:r w:rsidRPr="00364CDE">
        <w:rPr>
          <w:i/>
          <w:iCs/>
          <w:color w:val="auto"/>
        </w:rPr>
        <w:t>Energy</w:t>
      </w:r>
      <w:r w:rsidRPr="00364CDE">
        <w:rPr>
          <w:color w:val="auto"/>
        </w:rPr>
        <w:t xml:space="preserve">, </w:t>
      </w:r>
      <w:r w:rsidRPr="00364CDE">
        <w:rPr>
          <w:i/>
          <w:iCs/>
          <w:color w:val="auto"/>
        </w:rPr>
        <w:t>140</w:t>
      </w:r>
      <w:r w:rsidRPr="00364CDE">
        <w:rPr>
          <w:color w:val="auto"/>
        </w:rPr>
        <w:t>, 966-978.</w:t>
      </w:r>
    </w:p>
    <w:p w14:paraId="31026526" w14:textId="77777777" w:rsidR="002E1ECA" w:rsidRPr="00364CDE" w:rsidRDefault="002E1ECA" w:rsidP="002E1ECA">
      <w:pPr>
        <w:pStyle w:val="MDPI71References"/>
        <w:numPr>
          <w:ilvl w:val="0"/>
          <w:numId w:val="21"/>
        </w:numPr>
        <w:rPr>
          <w:color w:val="auto"/>
          <w:szCs w:val="18"/>
        </w:rPr>
      </w:pPr>
      <w:r w:rsidRPr="00364CDE">
        <w:rPr>
          <w:color w:val="auto"/>
        </w:rPr>
        <w:t xml:space="preserve">Hao, H., Liu, Z., Zhao, F., &amp; Li, W. (2016). Natural gas as vehicle fuel in China: A review. </w:t>
      </w:r>
      <w:r w:rsidRPr="00364CDE">
        <w:rPr>
          <w:i/>
          <w:iCs/>
          <w:color w:val="auto"/>
          <w:szCs w:val="18"/>
        </w:rPr>
        <w:t>Renewable and sustainable energy reviews</w:t>
      </w:r>
      <w:r w:rsidRPr="00364CDE">
        <w:rPr>
          <w:color w:val="auto"/>
          <w:szCs w:val="18"/>
        </w:rPr>
        <w:t xml:space="preserve">, </w:t>
      </w:r>
      <w:r w:rsidRPr="00364CDE">
        <w:rPr>
          <w:i/>
          <w:iCs/>
          <w:color w:val="auto"/>
          <w:szCs w:val="18"/>
        </w:rPr>
        <w:t>62</w:t>
      </w:r>
      <w:r w:rsidRPr="00364CDE">
        <w:rPr>
          <w:color w:val="auto"/>
          <w:szCs w:val="18"/>
        </w:rPr>
        <w:t>, 521-533.</w:t>
      </w:r>
    </w:p>
    <w:p w14:paraId="5D1E4AE1" w14:textId="77777777" w:rsidR="002F3B51" w:rsidRPr="00364CDE" w:rsidRDefault="002F3B51" w:rsidP="002F3B51">
      <w:pPr>
        <w:pStyle w:val="MDPI71References"/>
        <w:numPr>
          <w:ilvl w:val="0"/>
          <w:numId w:val="21"/>
        </w:numPr>
        <w:rPr>
          <w:color w:val="auto"/>
          <w:szCs w:val="18"/>
        </w:rPr>
      </w:pPr>
      <w:r w:rsidRPr="00364CDE">
        <w:rPr>
          <w:color w:val="auto"/>
          <w:szCs w:val="18"/>
        </w:rPr>
        <w:t xml:space="preserve">Kumar, S., Kwon, H. T., Choi, K. H., Lim, W., Cho, J. H., </w:t>
      </w:r>
      <w:proofErr w:type="spellStart"/>
      <w:r w:rsidRPr="00364CDE">
        <w:rPr>
          <w:color w:val="auto"/>
          <w:szCs w:val="18"/>
        </w:rPr>
        <w:t>Tak</w:t>
      </w:r>
      <w:proofErr w:type="spellEnd"/>
      <w:r w:rsidRPr="00364CDE">
        <w:rPr>
          <w:color w:val="auto"/>
          <w:szCs w:val="18"/>
        </w:rPr>
        <w:t xml:space="preserve">, K., &amp; Moon, I. (2011). LNG: An eco-friendly cryogenic fuel for sustainable development. </w:t>
      </w:r>
      <w:r w:rsidRPr="00364CDE">
        <w:rPr>
          <w:i/>
          <w:iCs/>
          <w:color w:val="auto"/>
          <w:szCs w:val="18"/>
        </w:rPr>
        <w:t>Applied energy</w:t>
      </w:r>
      <w:r w:rsidRPr="00364CDE">
        <w:rPr>
          <w:color w:val="auto"/>
          <w:szCs w:val="18"/>
        </w:rPr>
        <w:t xml:space="preserve">, </w:t>
      </w:r>
      <w:r w:rsidRPr="00364CDE">
        <w:rPr>
          <w:i/>
          <w:iCs/>
          <w:color w:val="auto"/>
          <w:szCs w:val="18"/>
        </w:rPr>
        <w:t>88</w:t>
      </w:r>
      <w:r w:rsidRPr="00364CDE">
        <w:rPr>
          <w:color w:val="auto"/>
          <w:szCs w:val="18"/>
        </w:rPr>
        <w:t>(12), 4264-4273.</w:t>
      </w:r>
    </w:p>
    <w:p w14:paraId="25F5DD5E" w14:textId="77777777" w:rsidR="00364CDE" w:rsidRPr="00364CDE" w:rsidRDefault="00364CDE" w:rsidP="00364CDE">
      <w:pPr>
        <w:pStyle w:val="MDPI71References"/>
        <w:numPr>
          <w:ilvl w:val="0"/>
          <w:numId w:val="21"/>
        </w:numPr>
        <w:rPr>
          <w:szCs w:val="18"/>
        </w:rPr>
      </w:pPr>
      <w:proofErr w:type="spellStart"/>
      <w:r w:rsidRPr="00364CDE">
        <w:rPr>
          <w:color w:val="auto"/>
          <w:szCs w:val="18"/>
        </w:rPr>
        <w:t>Langshaw</w:t>
      </w:r>
      <w:proofErr w:type="spellEnd"/>
      <w:r w:rsidRPr="00364CDE">
        <w:rPr>
          <w:color w:val="auto"/>
          <w:szCs w:val="18"/>
        </w:rPr>
        <w:t xml:space="preserve">, L., </w:t>
      </w:r>
      <w:proofErr w:type="spellStart"/>
      <w:r w:rsidRPr="00364CDE">
        <w:rPr>
          <w:color w:val="auto"/>
          <w:szCs w:val="18"/>
        </w:rPr>
        <w:t>Ainalis</w:t>
      </w:r>
      <w:proofErr w:type="spellEnd"/>
      <w:r w:rsidRPr="00364CDE">
        <w:rPr>
          <w:color w:val="auto"/>
          <w:szCs w:val="18"/>
        </w:rPr>
        <w:t xml:space="preserve">, D., </w:t>
      </w:r>
      <w:proofErr w:type="spellStart"/>
      <w:r w:rsidRPr="00364CDE">
        <w:rPr>
          <w:color w:val="auto"/>
          <w:szCs w:val="18"/>
        </w:rPr>
        <w:t>Acha</w:t>
      </w:r>
      <w:proofErr w:type="spellEnd"/>
      <w:r w:rsidRPr="00364CDE">
        <w:rPr>
          <w:color w:val="auto"/>
          <w:szCs w:val="18"/>
        </w:rPr>
        <w:t xml:space="preserve">, S., Shah, N., &amp; Stettler, M. E. (2020). Environmental and economic analysis of liquefied natural gas (LNG) for heavy goods vehicles in the UK: A Well-to-Wheel and total cost of ownership evaluation. </w:t>
      </w:r>
      <w:r w:rsidRPr="00364CDE">
        <w:rPr>
          <w:i/>
          <w:iCs/>
          <w:color w:val="auto"/>
          <w:szCs w:val="18"/>
        </w:rPr>
        <w:t>Energy Policy</w:t>
      </w:r>
      <w:r w:rsidRPr="00364CDE">
        <w:rPr>
          <w:color w:val="auto"/>
          <w:szCs w:val="18"/>
        </w:rPr>
        <w:t xml:space="preserve">, </w:t>
      </w:r>
      <w:r w:rsidRPr="00364CDE">
        <w:rPr>
          <w:i/>
          <w:iCs/>
          <w:color w:val="auto"/>
          <w:szCs w:val="18"/>
        </w:rPr>
        <w:t>137</w:t>
      </w:r>
      <w:r w:rsidRPr="00364CDE">
        <w:rPr>
          <w:color w:val="auto"/>
          <w:szCs w:val="18"/>
        </w:rPr>
        <w:t>, 111161</w:t>
      </w:r>
      <w:r w:rsidRPr="00364CDE">
        <w:rPr>
          <w:szCs w:val="18"/>
        </w:rPr>
        <w:t>.</w:t>
      </w:r>
    </w:p>
    <w:p w14:paraId="732E55AC" w14:textId="0A01107F" w:rsidR="00BC3015" w:rsidRPr="00364CDE" w:rsidRDefault="00364CDE" w:rsidP="00364CDE">
      <w:pPr>
        <w:pStyle w:val="MDPI71References"/>
        <w:numPr>
          <w:ilvl w:val="0"/>
          <w:numId w:val="21"/>
        </w:numPr>
        <w:rPr>
          <w:szCs w:val="18"/>
        </w:rPr>
      </w:pPr>
      <w:r w:rsidRPr="00364CDE">
        <w:rPr>
          <w:szCs w:val="18"/>
        </w:rPr>
        <w:t xml:space="preserve">Cooper, J., Stamford, L., &amp; </w:t>
      </w:r>
      <w:proofErr w:type="spellStart"/>
      <w:r w:rsidRPr="00364CDE">
        <w:rPr>
          <w:szCs w:val="18"/>
        </w:rPr>
        <w:t>Azapagic</w:t>
      </w:r>
      <w:proofErr w:type="spellEnd"/>
      <w:r w:rsidRPr="00364CDE">
        <w:rPr>
          <w:szCs w:val="18"/>
        </w:rPr>
        <w:t xml:space="preserve">, A. (2018). Social sustainability assessment of shale gas in the UK. </w:t>
      </w:r>
      <w:r w:rsidRPr="00364CDE">
        <w:rPr>
          <w:i/>
          <w:iCs/>
          <w:szCs w:val="18"/>
        </w:rPr>
        <w:t>Sustainable Production and Consumption</w:t>
      </w:r>
      <w:r w:rsidRPr="00364CDE">
        <w:rPr>
          <w:szCs w:val="18"/>
        </w:rPr>
        <w:t xml:space="preserve">, </w:t>
      </w:r>
      <w:r w:rsidRPr="00364CDE">
        <w:rPr>
          <w:i/>
          <w:iCs/>
          <w:szCs w:val="18"/>
        </w:rPr>
        <w:t>14</w:t>
      </w:r>
      <w:r w:rsidRPr="00364CDE">
        <w:rPr>
          <w:szCs w:val="18"/>
        </w:rPr>
        <w:t>, 1-20.</w:t>
      </w:r>
    </w:p>
    <w:sectPr w:rsidR="00BC3015" w:rsidRPr="00364CDE">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3F12" w14:textId="77777777" w:rsidR="00F71475" w:rsidRDefault="00F71475">
      <w:pPr>
        <w:spacing w:after="0" w:line="240" w:lineRule="auto"/>
      </w:pPr>
      <w:r>
        <w:separator/>
      </w:r>
    </w:p>
  </w:endnote>
  <w:endnote w:type="continuationSeparator" w:id="0">
    <w:p w14:paraId="42774E9D" w14:textId="77777777" w:rsidR="00F71475" w:rsidRDefault="00F71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Grande">
    <w:altName w:val="Segoe UI"/>
    <w:charset w:val="00"/>
    <w:family w:val="auto"/>
    <w:pitch w:val="variable"/>
    <w:sig w:usb0="E1000AEF" w:usb1="5000A1FF" w:usb2="00000000" w:usb3="00000000" w:csb0="000001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4388742"/>
      <w:docPartObj>
        <w:docPartGallery w:val="Page Numbers (Bottom of Page)"/>
        <w:docPartUnique/>
      </w:docPartObj>
    </w:sdtPr>
    <w:sdtEndPr/>
    <w:sdtContent>
      <w:p w14:paraId="037FF396" w14:textId="4D04DCD7" w:rsidR="008F2EC2" w:rsidRDefault="008F2EC2">
        <w:pPr>
          <w:pStyle w:val="Footer"/>
          <w:jc w:val="right"/>
        </w:pPr>
        <w:r>
          <w:fldChar w:fldCharType="begin"/>
        </w:r>
        <w:r>
          <w:instrText xml:space="preserve"> PAGE   \* MERGEFORMAT </w:instrText>
        </w:r>
        <w:r>
          <w:fldChar w:fldCharType="separate"/>
        </w:r>
        <w:r w:rsidR="00855F84">
          <w:rPr>
            <w:noProof/>
          </w:rPr>
          <w:t>1</w:t>
        </w:r>
        <w:r>
          <w:rPr>
            <w:noProof/>
          </w:rPr>
          <w:fldChar w:fldCharType="end"/>
        </w:r>
      </w:p>
    </w:sdtContent>
  </w:sdt>
  <w:p w14:paraId="5EB08513" w14:textId="77777777" w:rsidR="008F2EC2" w:rsidRDefault="008F2E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E5566" w14:textId="77777777" w:rsidR="00F71475" w:rsidRDefault="00F71475">
      <w:pPr>
        <w:spacing w:after="0" w:line="240" w:lineRule="auto"/>
      </w:pPr>
      <w:r>
        <w:separator/>
      </w:r>
    </w:p>
  </w:footnote>
  <w:footnote w:type="continuationSeparator" w:id="0">
    <w:p w14:paraId="3C45B1FE" w14:textId="77777777" w:rsidR="00F71475" w:rsidRDefault="00F71475">
      <w:pPr>
        <w:spacing w:after="0" w:line="240" w:lineRule="auto"/>
      </w:pPr>
      <w:r>
        <w:continuationSeparator/>
      </w:r>
    </w:p>
  </w:footnote>
  <w:footnote w:id="1">
    <w:p w14:paraId="74725F1A" w14:textId="77777777" w:rsidR="009B2BB4" w:rsidRDefault="009B2BB4" w:rsidP="009B2BB4">
      <w:pPr>
        <w:pStyle w:val="FootnoteText"/>
      </w:pPr>
      <w:r>
        <w:rPr>
          <w:rStyle w:val="FootnoteReference"/>
        </w:rPr>
        <w:footnoteRef/>
      </w:r>
      <w:r>
        <w:t xml:space="preserve"> </w:t>
      </w:r>
      <w:r w:rsidRPr="00257D01">
        <w:rPr>
          <w:rFonts w:ascii="Palatino Linotype" w:hAnsi="Palatino Linotype"/>
          <w:snapToGrid w:val="0"/>
          <w:sz w:val="16"/>
          <w:szCs w:val="18"/>
          <w:lang w:bidi="en-US"/>
        </w:rPr>
        <w:t>(in PPB Btu of Energy Input)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D74B6"/>
    <w:multiLevelType w:val="multilevel"/>
    <w:tmpl w:val="BD10A164"/>
    <w:lvl w:ilvl="0">
      <w:start w:val="1"/>
      <w:numFmt w:val="decimal"/>
      <w:pStyle w:val="Head1"/>
      <w:lvlText w:val="%1."/>
      <w:lvlJc w:val="left"/>
      <w:pPr>
        <w:ind w:left="360" w:hanging="360"/>
      </w:pPr>
    </w:lvl>
    <w:lvl w:ilvl="1">
      <w:start w:val="1"/>
      <w:numFmt w:val="decimal"/>
      <w:pStyle w:val="Head2"/>
      <w:lvlText w:val="%1.%2."/>
      <w:lvlJc w:val="left"/>
      <w:pPr>
        <w:ind w:left="792" w:hanging="432"/>
      </w:pPr>
    </w:lvl>
    <w:lvl w:ilvl="2">
      <w:start w:val="1"/>
      <w:numFmt w:val="decimal"/>
      <w:pStyle w:val="Head3"/>
      <w:lvlText w:val="%1.%2.%3."/>
      <w:lvlJc w:val="left"/>
      <w:pPr>
        <w:ind w:left="1224" w:hanging="504"/>
      </w:pPr>
    </w:lvl>
    <w:lvl w:ilvl="3">
      <w:start w:val="1"/>
      <w:numFmt w:val="decimal"/>
      <w:pStyle w:val="Head4"/>
      <w:lvlText w:val="%1.%2.%3.%4."/>
      <w:lvlJc w:val="left"/>
      <w:pPr>
        <w:ind w:left="1728" w:hanging="648"/>
      </w:pPr>
    </w:lvl>
    <w:lvl w:ilvl="4">
      <w:start w:val="1"/>
      <w:numFmt w:val="decimal"/>
      <w:pStyle w:val="Head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593CC3"/>
    <w:multiLevelType w:val="multilevel"/>
    <w:tmpl w:val="9EFA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4D22A0"/>
    <w:multiLevelType w:val="multilevel"/>
    <w:tmpl w:val="30B62F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A0957"/>
    <w:multiLevelType w:val="multilevel"/>
    <w:tmpl w:val="DAC446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8B5384"/>
    <w:multiLevelType w:val="hybridMultilevel"/>
    <w:tmpl w:val="3920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C33AD9"/>
    <w:multiLevelType w:val="hybridMultilevel"/>
    <w:tmpl w:val="D200CC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A1C3BEA"/>
    <w:multiLevelType w:val="multilevel"/>
    <w:tmpl w:val="68BC4D0C"/>
    <w:lvl w:ilvl="0">
      <w:start w:val="2"/>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8" w15:restartNumberingAfterBreak="0">
    <w:nsid w:val="3332489F"/>
    <w:multiLevelType w:val="hybridMultilevel"/>
    <w:tmpl w:val="85601592"/>
    <w:lvl w:ilvl="0" w:tplc="9EAEE3C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EAEE3CA">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4FC606D"/>
    <w:multiLevelType w:val="hybridMultilevel"/>
    <w:tmpl w:val="DBC0F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F471E3"/>
    <w:multiLevelType w:val="hybridMultilevel"/>
    <w:tmpl w:val="1E6A5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8724C9"/>
    <w:multiLevelType w:val="hybridMultilevel"/>
    <w:tmpl w:val="1270C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7C88D1AC">
      <w:start w:val="1"/>
      <w:numFmt w:val="upperLetter"/>
      <w:lvlText w:val="%3."/>
      <w:lvlJc w:val="left"/>
      <w:pPr>
        <w:ind w:left="2355" w:hanging="375"/>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FB015A5"/>
    <w:multiLevelType w:val="hybridMultilevel"/>
    <w:tmpl w:val="CAE4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332FFB"/>
    <w:multiLevelType w:val="multilevel"/>
    <w:tmpl w:val="C5805A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D1D1CF9"/>
    <w:multiLevelType w:val="multilevel"/>
    <w:tmpl w:val="D7F68D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F3A3B68"/>
    <w:multiLevelType w:val="hybridMultilevel"/>
    <w:tmpl w:val="AA5E62B8"/>
    <w:lvl w:ilvl="0" w:tplc="8D2C59AC">
      <w:start w:val="1"/>
      <w:numFmt w:val="decimal"/>
      <w:lvlText w:val="%1"/>
      <w:lvlJc w:val="left"/>
      <w:pPr>
        <w:ind w:left="450" w:hanging="360"/>
      </w:pPr>
      <w:rPr>
        <w:rFonts w:hint="default"/>
        <w:vertAlign w:val="superscrip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7FE54C1D"/>
    <w:multiLevelType w:val="multilevel"/>
    <w:tmpl w:val="7980819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3"/>
  </w:num>
  <w:num w:numId="3">
    <w:abstractNumId w:val="1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6"/>
  </w:num>
  <w:num w:numId="8">
    <w:abstractNumId w:val="0"/>
  </w:num>
  <w:num w:numId="9">
    <w:abstractNumId w:val="0"/>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0"/>
  </w:num>
  <w:num w:numId="1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10"/>
  </w:num>
  <w:num w:numId="21">
    <w:abstractNumId w:val="12"/>
  </w:num>
  <w:num w:numId="22">
    <w:abstractNumId w:val="13"/>
  </w:num>
  <w:num w:numId="23">
    <w:abstractNumId w:val="0"/>
  </w:num>
  <w:num w:numId="24">
    <w:abstractNumId w:val="0"/>
  </w:num>
  <w:num w:numId="25">
    <w:abstractNumId w:val="0"/>
  </w:num>
  <w:num w:numId="26">
    <w:abstractNumId w:val="0"/>
  </w:num>
  <w:num w:numId="27">
    <w:abstractNumId w:val="0"/>
  </w:num>
  <w:num w:numId="28">
    <w:abstractNumId w:val="2"/>
  </w:num>
  <w:num w:numId="29">
    <w:abstractNumId w:val="0"/>
  </w:num>
  <w:num w:numId="30">
    <w:abstractNumId w:val="5"/>
  </w:num>
  <w:num w:numId="31">
    <w:abstractNumId w:val="9"/>
  </w:num>
  <w:num w:numId="32">
    <w:abstractNumId w:val="15"/>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2MTA2NLA0M7Y0tjBV0lEKTi0uzszPAymwqAUAzm55GiwAAAA="/>
  </w:docVars>
  <w:rsids>
    <w:rsidRoot w:val="00D27EB9"/>
    <w:rsid w:val="00004EF8"/>
    <w:rsid w:val="00007058"/>
    <w:rsid w:val="00052BB8"/>
    <w:rsid w:val="000C710D"/>
    <w:rsid w:val="000E48EE"/>
    <w:rsid w:val="001236CD"/>
    <w:rsid w:val="001559E3"/>
    <w:rsid w:val="00182241"/>
    <w:rsid w:val="002E153E"/>
    <w:rsid w:val="002E1ECA"/>
    <w:rsid w:val="002F22FE"/>
    <w:rsid w:val="002F3B51"/>
    <w:rsid w:val="00313E01"/>
    <w:rsid w:val="003332AD"/>
    <w:rsid w:val="00364CDE"/>
    <w:rsid w:val="004753C0"/>
    <w:rsid w:val="004D623C"/>
    <w:rsid w:val="00500305"/>
    <w:rsid w:val="00521DC3"/>
    <w:rsid w:val="00533C3E"/>
    <w:rsid w:val="005B3E72"/>
    <w:rsid w:val="005C571E"/>
    <w:rsid w:val="005D280D"/>
    <w:rsid w:val="00645F74"/>
    <w:rsid w:val="006805F9"/>
    <w:rsid w:val="006824B5"/>
    <w:rsid w:val="006C2D07"/>
    <w:rsid w:val="006C5F45"/>
    <w:rsid w:val="0083389A"/>
    <w:rsid w:val="00855F84"/>
    <w:rsid w:val="00861ED7"/>
    <w:rsid w:val="00862460"/>
    <w:rsid w:val="0087593C"/>
    <w:rsid w:val="008B426D"/>
    <w:rsid w:val="008C4C24"/>
    <w:rsid w:val="008D1DFB"/>
    <w:rsid w:val="008F2EC2"/>
    <w:rsid w:val="009000D6"/>
    <w:rsid w:val="00911460"/>
    <w:rsid w:val="009712D5"/>
    <w:rsid w:val="009B2BB4"/>
    <w:rsid w:val="00A66912"/>
    <w:rsid w:val="00AD21E2"/>
    <w:rsid w:val="00B1624B"/>
    <w:rsid w:val="00B33287"/>
    <w:rsid w:val="00B44C58"/>
    <w:rsid w:val="00BC3015"/>
    <w:rsid w:val="00C5011A"/>
    <w:rsid w:val="00C61B4B"/>
    <w:rsid w:val="00C66388"/>
    <w:rsid w:val="00C84783"/>
    <w:rsid w:val="00D00E1A"/>
    <w:rsid w:val="00D27EB9"/>
    <w:rsid w:val="00D74CB0"/>
    <w:rsid w:val="00DF1CB4"/>
    <w:rsid w:val="00ED2EE6"/>
    <w:rsid w:val="00F71475"/>
    <w:rsid w:val="00F9441E"/>
    <w:rsid w:val="00FC4900"/>
    <w:rsid w:val="00FD1EA0"/>
    <w:rsid w:val="00FF63A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41449"/>
  <w15:chartTrackingRefBased/>
  <w15:docId w15:val="{DCC33D39-AF58-46D6-93AE-EE2024C80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EB9"/>
    <w:rPr>
      <w:lang w:val="en-US"/>
    </w:rPr>
  </w:style>
  <w:style w:type="paragraph" w:styleId="Heading1">
    <w:name w:val="heading 1"/>
    <w:basedOn w:val="Normal"/>
    <w:next w:val="Normal"/>
    <w:link w:val="Heading1Char"/>
    <w:uiPriority w:val="9"/>
    <w:qFormat/>
    <w:rsid w:val="00D27E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EB9"/>
    <w:rPr>
      <w:rFonts w:asciiTheme="majorHAnsi" w:eastAsiaTheme="majorEastAsia" w:hAnsiTheme="majorHAnsi" w:cstheme="majorBidi"/>
      <w:color w:val="2F5496" w:themeColor="accent1" w:themeShade="BF"/>
      <w:sz w:val="32"/>
      <w:szCs w:val="32"/>
      <w:lang w:val="en-US"/>
    </w:rPr>
  </w:style>
  <w:style w:type="paragraph" w:styleId="TOCHeading">
    <w:name w:val="TOC Heading"/>
    <w:basedOn w:val="Heading1"/>
    <w:next w:val="Normal"/>
    <w:uiPriority w:val="39"/>
    <w:unhideWhenUsed/>
    <w:qFormat/>
    <w:rsid w:val="00D27EB9"/>
    <w:pPr>
      <w:outlineLvl w:val="9"/>
    </w:pPr>
  </w:style>
  <w:style w:type="paragraph" w:styleId="TOC1">
    <w:name w:val="toc 1"/>
    <w:basedOn w:val="Normal"/>
    <w:next w:val="Normal"/>
    <w:autoRedefine/>
    <w:uiPriority w:val="39"/>
    <w:unhideWhenUsed/>
    <w:rsid w:val="00D27EB9"/>
    <w:pPr>
      <w:spacing w:after="100"/>
    </w:pPr>
  </w:style>
  <w:style w:type="paragraph" w:styleId="Caption">
    <w:name w:val="caption"/>
    <w:basedOn w:val="Normal"/>
    <w:next w:val="Normal"/>
    <w:uiPriority w:val="35"/>
    <w:unhideWhenUsed/>
    <w:qFormat/>
    <w:rsid w:val="00D27EB9"/>
    <w:pPr>
      <w:keepNext/>
      <w:spacing w:after="200" w:line="240" w:lineRule="auto"/>
    </w:pPr>
    <w:rPr>
      <w:rFonts w:cstheme="minorHAnsi"/>
      <w:b/>
      <w:bCs/>
      <w:i/>
      <w:iCs/>
    </w:rPr>
  </w:style>
  <w:style w:type="paragraph" w:styleId="TableofFigures">
    <w:name w:val="table of figures"/>
    <w:basedOn w:val="Normal"/>
    <w:next w:val="Normal"/>
    <w:uiPriority w:val="99"/>
    <w:unhideWhenUsed/>
    <w:rsid w:val="00D27EB9"/>
    <w:pPr>
      <w:spacing w:after="0"/>
    </w:pPr>
  </w:style>
  <w:style w:type="paragraph" w:customStyle="1" w:styleId="Head1">
    <w:name w:val="Head1"/>
    <w:basedOn w:val="ListParagraph"/>
    <w:link w:val="Head1Char"/>
    <w:qFormat/>
    <w:rsid w:val="00D27EB9"/>
    <w:pPr>
      <w:numPr>
        <w:numId w:val="1"/>
      </w:numPr>
      <w:outlineLvl w:val="0"/>
    </w:pPr>
    <w:rPr>
      <w:rFonts w:ascii="Book Antiqua" w:hAnsi="Book Antiqua" w:cstheme="majorBidi"/>
      <w:b/>
      <w:bCs/>
      <w:sz w:val="24"/>
      <w:szCs w:val="24"/>
    </w:rPr>
  </w:style>
  <w:style w:type="paragraph" w:customStyle="1" w:styleId="Head2">
    <w:name w:val="Head2"/>
    <w:basedOn w:val="ListParagraph"/>
    <w:link w:val="Head2Char"/>
    <w:qFormat/>
    <w:rsid w:val="00D27EB9"/>
    <w:pPr>
      <w:numPr>
        <w:ilvl w:val="1"/>
        <w:numId w:val="1"/>
      </w:numPr>
      <w:outlineLvl w:val="1"/>
    </w:pPr>
    <w:rPr>
      <w:rFonts w:asciiTheme="majorBidi" w:hAnsiTheme="majorBidi" w:cstheme="majorBidi"/>
      <w:b/>
      <w:bCs/>
    </w:rPr>
  </w:style>
  <w:style w:type="paragraph" w:customStyle="1" w:styleId="Head3">
    <w:name w:val="Head3"/>
    <w:basedOn w:val="ListParagraph"/>
    <w:qFormat/>
    <w:rsid w:val="00D27EB9"/>
    <w:pPr>
      <w:numPr>
        <w:ilvl w:val="2"/>
        <w:numId w:val="1"/>
      </w:numPr>
      <w:tabs>
        <w:tab w:val="num" w:pos="360"/>
      </w:tabs>
      <w:ind w:left="720" w:firstLine="0"/>
      <w:outlineLvl w:val="2"/>
    </w:pPr>
    <w:rPr>
      <w:rFonts w:asciiTheme="majorBidi" w:hAnsiTheme="majorBidi" w:cstheme="majorBidi"/>
      <w:b/>
      <w:bCs/>
    </w:rPr>
  </w:style>
  <w:style w:type="paragraph" w:customStyle="1" w:styleId="Head4">
    <w:name w:val="Head4"/>
    <w:basedOn w:val="ListParagraph"/>
    <w:qFormat/>
    <w:rsid w:val="00D27EB9"/>
    <w:pPr>
      <w:numPr>
        <w:ilvl w:val="3"/>
        <w:numId w:val="1"/>
      </w:numPr>
      <w:tabs>
        <w:tab w:val="num" w:pos="360"/>
      </w:tabs>
      <w:ind w:left="720" w:firstLine="0"/>
      <w:outlineLvl w:val="3"/>
    </w:pPr>
    <w:rPr>
      <w:rFonts w:asciiTheme="majorBidi" w:hAnsiTheme="majorBidi" w:cstheme="majorBidi"/>
      <w:u w:val="single"/>
    </w:rPr>
  </w:style>
  <w:style w:type="paragraph" w:customStyle="1" w:styleId="Head5">
    <w:name w:val="Head5"/>
    <w:basedOn w:val="ListParagraph"/>
    <w:qFormat/>
    <w:rsid w:val="00D27EB9"/>
    <w:pPr>
      <w:numPr>
        <w:ilvl w:val="4"/>
        <w:numId w:val="1"/>
      </w:numPr>
      <w:tabs>
        <w:tab w:val="num" w:pos="360"/>
      </w:tabs>
      <w:ind w:left="720" w:firstLine="0"/>
      <w:outlineLvl w:val="4"/>
    </w:pPr>
    <w:rPr>
      <w:rFonts w:asciiTheme="majorBidi" w:hAnsiTheme="majorBidi" w:cstheme="majorBidi"/>
      <w:i/>
      <w:iCs/>
      <w:u w:val="single"/>
    </w:rPr>
  </w:style>
  <w:style w:type="paragraph" w:styleId="ListParagraph">
    <w:name w:val="List Paragraph"/>
    <w:basedOn w:val="Normal"/>
    <w:link w:val="ListParagraphChar"/>
    <w:uiPriority w:val="34"/>
    <w:qFormat/>
    <w:rsid w:val="00D27EB9"/>
    <w:pPr>
      <w:ind w:left="720"/>
      <w:contextualSpacing/>
    </w:pPr>
  </w:style>
  <w:style w:type="table" w:styleId="TableGrid">
    <w:name w:val="Table Grid"/>
    <w:basedOn w:val="TableNormal"/>
    <w:uiPriority w:val="39"/>
    <w:rsid w:val="00D27EB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99"/>
    <w:rsid w:val="00D27EB9"/>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2Char">
    <w:name w:val="Head2 Char"/>
    <w:basedOn w:val="DefaultParagraphFont"/>
    <w:link w:val="Head2"/>
    <w:rsid w:val="00D27EB9"/>
    <w:rPr>
      <w:rFonts w:asciiTheme="majorBidi" w:hAnsiTheme="majorBidi" w:cstheme="majorBidi"/>
      <w:b/>
      <w:bCs/>
      <w:lang w:val="en-US"/>
    </w:rPr>
  </w:style>
  <w:style w:type="table" w:styleId="LightShading">
    <w:name w:val="Light Shading"/>
    <w:basedOn w:val="TableNormal"/>
    <w:uiPriority w:val="60"/>
    <w:rsid w:val="00D27EB9"/>
    <w:pPr>
      <w:spacing w:after="0" w:line="240" w:lineRule="auto"/>
    </w:pPr>
    <w:rPr>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D27EB9"/>
    <w:rPr>
      <w:color w:val="0563C1" w:themeColor="hyperlink"/>
      <w:u w:val="single"/>
    </w:rPr>
  </w:style>
  <w:style w:type="paragraph" w:styleId="Header">
    <w:name w:val="header"/>
    <w:basedOn w:val="Normal"/>
    <w:link w:val="HeaderChar"/>
    <w:uiPriority w:val="99"/>
    <w:unhideWhenUsed/>
    <w:rsid w:val="00D27EB9"/>
    <w:pPr>
      <w:tabs>
        <w:tab w:val="center" w:pos="4153"/>
        <w:tab w:val="right" w:pos="8306"/>
      </w:tabs>
      <w:spacing w:after="0" w:line="240" w:lineRule="auto"/>
    </w:pPr>
  </w:style>
  <w:style w:type="character" w:customStyle="1" w:styleId="HeaderChar">
    <w:name w:val="Header Char"/>
    <w:basedOn w:val="DefaultParagraphFont"/>
    <w:link w:val="Header"/>
    <w:uiPriority w:val="99"/>
    <w:rsid w:val="00D27EB9"/>
    <w:rPr>
      <w:lang w:val="en-US"/>
    </w:rPr>
  </w:style>
  <w:style w:type="paragraph" w:styleId="Footer">
    <w:name w:val="footer"/>
    <w:basedOn w:val="Normal"/>
    <w:link w:val="FooterChar"/>
    <w:uiPriority w:val="99"/>
    <w:unhideWhenUsed/>
    <w:rsid w:val="00D27EB9"/>
    <w:pPr>
      <w:tabs>
        <w:tab w:val="center" w:pos="4153"/>
        <w:tab w:val="right" w:pos="8306"/>
      </w:tabs>
      <w:spacing w:after="0" w:line="240" w:lineRule="auto"/>
    </w:pPr>
  </w:style>
  <w:style w:type="character" w:customStyle="1" w:styleId="FooterChar">
    <w:name w:val="Footer Char"/>
    <w:basedOn w:val="DefaultParagraphFont"/>
    <w:link w:val="Footer"/>
    <w:uiPriority w:val="99"/>
    <w:rsid w:val="00D27EB9"/>
    <w:rPr>
      <w:lang w:val="en-US"/>
    </w:rPr>
  </w:style>
  <w:style w:type="character" w:customStyle="1" w:styleId="Head1Char">
    <w:name w:val="Head1 Char"/>
    <w:basedOn w:val="DefaultParagraphFont"/>
    <w:link w:val="Head1"/>
    <w:locked/>
    <w:rsid w:val="00D27EB9"/>
    <w:rPr>
      <w:rFonts w:ascii="Book Antiqua" w:hAnsi="Book Antiqua" w:cstheme="majorBidi"/>
      <w:b/>
      <w:bCs/>
      <w:sz w:val="24"/>
      <w:szCs w:val="24"/>
      <w:lang w:val="en-US"/>
    </w:rPr>
  </w:style>
  <w:style w:type="character" w:customStyle="1" w:styleId="ListParagraphChar">
    <w:name w:val="List Paragraph Char"/>
    <w:basedOn w:val="DefaultParagraphFont"/>
    <w:link w:val="ListParagraph"/>
    <w:uiPriority w:val="34"/>
    <w:rsid w:val="00D27EB9"/>
    <w:rPr>
      <w:lang w:val="en-US"/>
    </w:rPr>
  </w:style>
  <w:style w:type="character" w:styleId="Emphasis">
    <w:name w:val="Emphasis"/>
    <w:basedOn w:val="DefaultParagraphFont"/>
    <w:uiPriority w:val="20"/>
    <w:qFormat/>
    <w:rsid w:val="00D27EB9"/>
    <w:rPr>
      <w:i/>
      <w:iCs/>
    </w:rPr>
  </w:style>
  <w:style w:type="paragraph" w:styleId="BalloonText">
    <w:name w:val="Balloon Text"/>
    <w:basedOn w:val="Normal"/>
    <w:link w:val="BalloonTextChar"/>
    <w:uiPriority w:val="99"/>
    <w:semiHidden/>
    <w:unhideWhenUsed/>
    <w:rsid w:val="00D27EB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7EB9"/>
    <w:rPr>
      <w:rFonts w:ascii="Lucida Grande" w:hAnsi="Lucida Grande" w:cs="Lucida Grande"/>
      <w:sz w:val="18"/>
      <w:szCs w:val="18"/>
      <w:lang w:val="en-US"/>
    </w:rPr>
  </w:style>
  <w:style w:type="character" w:styleId="FollowedHyperlink">
    <w:name w:val="FollowedHyperlink"/>
    <w:basedOn w:val="DefaultParagraphFont"/>
    <w:uiPriority w:val="99"/>
    <w:semiHidden/>
    <w:unhideWhenUsed/>
    <w:rsid w:val="00D27EB9"/>
    <w:rPr>
      <w:color w:val="954F72" w:themeColor="followedHyperlink"/>
      <w:u w:val="single"/>
    </w:rPr>
  </w:style>
  <w:style w:type="paragraph" w:customStyle="1" w:styleId="MDPI13authornames">
    <w:name w:val="MDPI_1.3_authornames"/>
    <w:basedOn w:val="Normal"/>
    <w:next w:val="Normal"/>
    <w:qFormat/>
    <w:rsid w:val="00D27EB9"/>
    <w:pPr>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6affiliation">
    <w:name w:val="MDPI_1.6_affiliation"/>
    <w:basedOn w:val="Normal"/>
    <w:qFormat/>
    <w:rsid w:val="00D27EB9"/>
    <w:pPr>
      <w:adjustRightInd w:val="0"/>
      <w:snapToGrid w:val="0"/>
      <w:spacing w:after="0" w:line="200" w:lineRule="atLeast"/>
      <w:ind w:left="311" w:hanging="198"/>
    </w:pPr>
    <w:rPr>
      <w:rFonts w:ascii="Palatino Linotype" w:eastAsia="Times New Roman" w:hAnsi="Palatino Linotype" w:cs="Times New Roman"/>
      <w:color w:val="000000"/>
      <w:sz w:val="18"/>
      <w:szCs w:val="18"/>
      <w:lang w:eastAsia="de-DE" w:bidi="en-US"/>
    </w:rPr>
  </w:style>
  <w:style w:type="paragraph" w:styleId="NoSpacing">
    <w:name w:val="No Spacing"/>
    <w:uiPriority w:val="1"/>
    <w:qFormat/>
    <w:rsid w:val="00D27EB9"/>
    <w:pPr>
      <w:spacing w:after="0" w:line="240" w:lineRule="auto"/>
    </w:pPr>
    <w:rPr>
      <w:lang w:val="en-US"/>
    </w:rPr>
  </w:style>
  <w:style w:type="character" w:styleId="CommentReference">
    <w:name w:val="annotation reference"/>
    <w:basedOn w:val="DefaultParagraphFont"/>
    <w:uiPriority w:val="99"/>
    <w:semiHidden/>
    <w:unhideWhenUsed/>
    <w:rsid w:val="00D27EB9"/>
    <w:rPr>
      <w:sz w:val="16"/>
      <w:szCs w:val="16"/>
    </w:rPr>
  </w:style>
  <w:style w:type="paragraph" w:styleId="CommentText">
    <w:name w:val="annotation text"/>
    <w:basedOn w:val="Normal"/>
    <w:link w:val="CommentTextChar"/>
    <w:uiPriority w:val="99"/>
    <w:unhideWhenUsed/>
    <w:rsid w:val="00D27EB9"/>
    <w:pPr>
      <w:spacing w:line="240" w:lineRule="auto"/>
    </w:pPr>
    <w:rPr>
      <w:sz w:val="20"/>
      <w:szCs w:val="20"/>
      <w:lang w:val="en-GB"/>
    </w:rPr>
  </w:style>
  <w:style w:type="character" w:customStyle="1" w:styleId="CommentTextChar">
    <w:name w:val="Comment Text Char"/>
    <w:basedOn w:val="DefaultParagraphFont"/>
    <w:link w:val="CommentText"/>
    <w:uiPriority w:val="99"/>
    <w:rsid w:val="00D27EB9"/>
    <w:rPr>
      <w:sz w:val="20"/>
      <w:szCs w:val="20"/>
    </w:rPr>
  </w:style>
  <w:style w:type="paragraph" w:styleId="TOC2">
    <w:name w:val="toc 2"/>
    <w:basedOn w:val="Normal"/>
    <w:next w:val="Normal"/>
    <w:autoRedefine/>
    <w:uiPriority w:val="39"/>
    <w:unhideWhenUsed/>
    <w:rsid w:val="00D27EB9"/>
    <w:pPr>
      <w:spacing w:after="100"/>
      <w:ind w:left="220"/>
    </w:pPr>
  </w:style>
  <w:style w:type="character" w:styleId="Strong">
    <w:name w:val="Strong"/>
    <w:basedOn w:val="DefaultParagraphFont"/>
    <w:uiPriority w:val="22"/>
    <w:qFormat/>
    <w:rsid w:val="00FC4900"/>
    <w:rPr>
      <w:b/>
      <w:bCs/>
    </w:rPr>
  </w:style>
  <w:style w:type="table" w:styleId="PlainTable1">
    <w:name w:val="Plain Table 1"/>
    <w:basedOn w:val="TableNormal"/>
    <w:uiPriority w:val="41"/>
    <w:rsid w:val="008F2E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unhideWhenUsed/>
    <w:rsid w:val="00BC3015"/>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BC3015"/>
    <w:rPr>
      <w:sz w:val="20"/>
      <w:szCs w:val="20"/>
    </w:rPr>
  </w:style>
  <w:style w:type="paragraph" w:styleId="Bibliography">
    <w:name w:val="Bibliography"/>
    <w:basedOn w:val="Normal"/>
    <w:next w:val="Normal"/>
    <w:uiPriority w:val="37"/>
    <w:unhideWhenUsed/>
    <w:rsid w:val="00BC3015"/>
  </w:style>
  <w:style w:type="paragraph" w:customStyle="1" w:styleId="MDPI31text">
    <w:name w:val="MDPI_3.1_text"/>
    <w:qFormat/>
    <w:rsid w:val="009B2BB4"/>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22heading2">
    <w:name w:val="MDPI_2.2_heading2"/>
    <w:basedOn w:val="Normal"/>
    <w:qFormat/>
    <w:rsid w:val="009B2BB4"/>
    <w:pPr>
      <w:kinsoku w:val="0"/>
      <w:overflowPunct w:val="0"/>
      <w:autoSpaceDE w:val="0"/>
      <w:autoSpaceDN w:val="0"/>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eastAsia="de-DE" w:bidi="en-US"/>
    </w:rPr>
  </w:style>
  <w:style w:type="paragraph" w:customStyle="1" w:styleId="MDPI41tablecaption">
    <w:name w:val="MDPI_4.1_table_caption"/>
    <w:basedOn w:val="Normal"/>
    <w:qFormat/>
    <w:rsid w:val="009B2BB4"/>
    <w:pPr>
      <w:adjustRightInd w:val="0"/>
      <w:snapToGrid w:val="0"/>
      <w:spacing w:before="240" w:after="120" w:line="260" w:lineRule="atLeast"/>
      <w:ind w:left="425" w:right="425"/>
      <w:jc w:val="both"/>
    </w:pPr>
    <w:rPr>
      <w:rFonts w:ascii="Palatino Linotype" w:eastAsia="Times New Roman" w:hAnsi="Palatino Linotype" w:cs="Times New Roman"/>
      <w:color w:val="000000"/>
      <w:sz w:val="18"/>
      <w:lang w:eastAsia="de-DE" w:bidi="en-US"/>
    </w:rPr>
  </w:style>
  <w:style w:type="paragraph" w:customStyle="1" w:styleId="MDPI42tablebody">
    <w:name w:val="MDPI_4.2_table_body"/>
    <w:qFormat/>
    <w:rsid w:val="009B2BB4"/>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character" w:styleId="FootnoteReference">
    <w:name w:val="footnote reference"/>
    <w:basedOn w:val="DefaultParagraphFont"/>
    <w:uiPriority w:val="99"/>
    <w:semiHidden/>
    <w:unhideWhenUsed/>
    <w:rsid w:val="009B2BB4"/>
    <w:rPr>
      <w:vertAlign w:val="superscript"/>
    </w:rPr>
  </w:style>
  <w:style w:type="paragraph" w:customStyle="1" w:styleId="MDPI71References">
    <w:name w:val="MDPI_7.1_References"/>
    <w:basedOn w:val="Normal"/>
    <w:qFormat/>
    <w:rsid w:val="00F9441E"/>
    <w:pPr>
      <w:numPr>
        <w:numId w:val="30"/>
      </w:numPr>
      <w:adjustRightInd w:val="0"/>
      <w:snapToGrid w:val="0"/>
      <w:spacing w:after="0" w:line="260" w:lineRule="atLeast"/>
      <w:ind w:left="425" w:hanging="425"/>
      <w:jc w:val="both"/>
    </w:pPr>
    <w:rPr>
      <w:rFonts w:ascii="Palatino Linotype" w:eastAsia="Times New Roman" w:hAnsi="Palatino Linotype" w:cs="Times New Roman"/>
      <w:snapToGrid w:val="0"/>
      <w:color w:val="000000"/>
      <w:sz w:val="18"/>
      <w:szCs w:val="20"/>
      <w:lang w:eastAsia="de-DE" w:bidi="en-US"/>
    </w:rPr>
  </w:style>
  <w:style w:type="paragraph" w:customStyle="1" w:styleId="MDPI12title">
    <w:name w:val="MDPI_1.2_title"/>
    <w:next w:val="Normal"/>
    <w:qFormat/>
    <w:rsid w:val="006C5F45"/>
    <w:pPr>
      <w:adjustRightInd w:val="0"/>
      <w:snapToGrid w:val="0"/>
      <w:spacing w:after="240" w:line="400" w:lineRule="exact"/>
    </w:pPr>
    <w:rPr>
      <w:rFonts w:ascii="Palatino Linotype" w:eastAsia="Times New Roman" w:hAnsi="Palatino Linotype" w:cs="Times New Roman"/>
      <w:b/>
      <w:snapToGrid w:val="0"/>
      <w:color w:val="000000"/>
      <w:sz w:val="36"/>
      <w:szCs w:val="20"/>
      <w:lang w:val="en-US" w:eastAsia="de-DE" w:bidi="en-US"/>
    </w:rPr>
  </w:style>
  <w:style w:type="paragraph" w:customStyle="1" w:styleId="MDPI14history">
    <w:name w:val="MDPI_1.4_history"/>
    <w:basedOn w:val="Normal"/>
    <w:next w:val="Normal"/>
    <w:qFormat/>
    <w:rsid w:val="006C5F45"/>
    <w:pPr>
      <w:adjustRightInd w:val="0"/>
      <w:snapToGrid w:val="0"/>
      <w:spacing w:before="120" w:after="0" w:line="200" w:lineRule="atLeast"/>
      <w:ind w:left="113"/>
    </w:pPr>
    <w:rPr>
      <w:rFonts w:ascii="Palatino Linotype" w:eastAsia="Times New Roman" w:hAnsi="Palatino Linotype" w:cs="Times New Roman"/>
      <w:color w:val="00000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26441">
      <w:bodyDiv w:val="1"/>
      <w:marLeft w:val="0"/>
      <w:marRight w:val="0"/>
      <w:marTop w:val="0"/>
      <w:marBottom w:val="0"/>
      <w:divBdr>
        <w:top w:val="none" w:sz="0" w:space="0" w:color="auto"/>
        <w:left w:val="none" w:sz="0" w:space="0" w:color="auto"/>
        <w:bottom w:val="none" w:sz="0" w:space="0" w:color="auto"/>
        <w:right w:val="none" w:sz="0" w:space="0" w:color="auto"/>
      </w:divBdr>
    </w:div>
    <w:div w:id="1137138921">
      <w:bodyDiv w:val="1"/>
      <w:marLeft w:val="0"/>
      <w:marRight w:val="0"/>
      <w:marTop w:val="0"/>
      <w:marBottom w:val="0"/>
      <w:divBdr>
        <w:top w:val="none" w:sz="0" w:space="0" w:color="auto"/>
        <w:left w:val="none" w:sz="0" w:space="0" w:color="auto"/>
        <w:bottom w:val="none" w:sz="0" w:space="0" w:color="auto"/>
        <w:right w:val="none" w:sz="0" w:space="0" w:color="auto"/>
      </w:divBdr>
    </w:div>
    <w:div w:id="1551577826">
      <w:bodyDiv w:val="1"/>
      <w:marLeft w:val="0"/>
      <w:marRight w:val="0"/>
      <w:marTop w:val="0"/>
      <w:marBottom w:val="0"/>
      <w:divBdr>
        <w:top w:val="none" w:sz="0" w:space="0" w:color="auto"/>
        <w:left w:val="none" w:sz="0" w:space="0" w:color="auto"/>
        <w:bottom w:val="none" w:sz="0" w:space="0" w:color="auto"/>
        <w:right w:val="none" w:sz="0" w:space="0" w:color="auto"/>
      </w:divBdr>
    </w:div>
    <w:div w:id="1653173413">
      <w:bodyDiv w:val="1"/>
      <w:marLeft w:val="0"/>
      <w:marRight w:val="0"/>
      <w:marTop w:val="0"/>
      <w:marBottom w:val="0"/>
      <w:divBdr>
        <w:top w:val="none" w:sz="0" w:space="0" w:color="auto"/>
        <w:left w:val="none" w:sz="0" w:space="0" w:color="auto"/>
        <w:bottom w:val="none" w:sz="0" w:space="0" w:color="auto"/>
        <w:right w:val="none" w:sz="0" w:space="0" w:color="auto"/>
      </w:divBdr>
    </w:div>
    <w:div w:id="177150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ucukvar@qu.edu.q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oregonlng.com/lng_enviro.php" TargetMode="External"/><Relationship Id="rId4" Type="http://schemas.openxmlformats.org/officeDocument/2006/relationships/settings" Target="settings.xml"/><Relationship Id="rId9" Type="http://schemas.openxmlformats.org/officeDocument/2006/relationships/hyperlink" Target="https://www.bp.com/content/dam/bp/pdf/energyeconomics/energy-outlook-2017/bp-energy-outlook-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9B0DC-6A59-42FE-9CC3-F4809F873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3156</Words>
  <Characters>17995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Hussein</dc:creator>
  <cp:keywords/>
  <dc:description/>
  <cp:lastModifiedBy>Hussein Al-Yafei</cp:lastModifiedBy>
  <cp:revision>7</cp:revision>
  <dcterms:created xsi:type="dcterms:W3CDTF">2020-09-17T11:20:00Z</dcterms:created>
  <dcterms:modified xsi:type="dcterms:W3CDTF">2021-10-16T07:08:00Z</dcterms:modified>
</cp:coreProperties>
</file>