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71E" w:rsidRDefault="0002671E" w:rsidP="0002671E">
      <w:pPr>
        <w:jc w:val="center"/>
        <w:rPr>
          <w:rFonts w:ascii="Verdana" w:hAnsi="Verdana"/>
          <w:color w:val="FF0000"/>
          <w:sz w:val="20"/>
          <w:szCs w:val="20"/>
        </w:rPr>
      </w:pPr>
    </w:p>
    <w:p w:rsidR="0002671E" w:rsidRDefault="0002671E" w:rsidP="0002671E">
      <w:pPr>
        <w:jc w:val="center"/>
        <w:rPr>
          <w:rFonts w:ascii="Verdana" w:hAnsi="Verdana"/>
          <w:color w:val="FF0000"/>
          <w:sz w:val="20"/>
          <w:szCs w:val="20"/>
        </w:rPr>
      </w:pPr>
    </w:p>
    <w:p w:rsidR="0002671E" w:rsidRDefault="0002671E" w:rsidP="0002671E">
      <w:pPr>
        <w:jc w:val="center"/>
        <w:rPr>
          <w:rFonts w:ascii="Verdana" w:hAnsi="Verdana"/>
          <w:color w:val="FF0000"/>
          <w:sz w:val="20"/>
          <w:szCs w:val="20"/>
        </w:rPr>
      </w:pPr>
    </w:p>
    <w:p w:rsidR="0002671E" w:rsidRDefault="0002671E" w:rsidP="0002671E">
      <w:pPr>
        <w:jc w:val="center"/>
        <w:rPr>
          <w:rFonts w:ascii="Verdana" w:hAnsi="Verdana"/>
          <w:color w:val="FF0000"/>
          <w:sz w:val="20"/>
          <w:szCs w:val="20"/>
        </w:rPr>
      </w:pPr>
    </w:p>
    <w:p w:rsidR="0002671E" w:rsidRDefault="0002671E" w:rsidP="0002671E">
      <w:pPr>
        <w:jc w:val="center"/>
        <w:rPr>
          <w:rFonts w:ascii="Verdana" w:hAnsi="Verdana"/>
          <w:color w:val="FF0000"/>
          <w:sz w:val="20"/>
          <w:szCs w:val="20"/>
        </w:rPr>
      </w:pPr>
    </w:p>
    <w:p w:rsidR="0002671E" w:rsidRDefault="0002671E" w:rsidP="0002671E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noProof/>
          <w:color w:val="FF0000"/>
          <w:sz w:val="20"/>
          <w:szCs w:val="20"/>
        </w:rPr>
        <w:drawing>
          <wp:inline distT="0" distB="0" distL="0" distR="0" wp14:anchorId="774F3546" wp14:editId="34BBC1B4">
            <wp:extent cx="5257964" cy="3740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711" cy="37684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671E" w:rsidRPr="0002671E" w:rsidRDefault="0002671E" w:rsidP="0002671E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02671E">
        <w:rPr>
          <w:rFonts w:asciiTheme="minorBidi" w:hAnsiTheme="minorBidi"/>
          <w:b/>
          <w:bCs/>
          <w:sz w:val="24"/>
          <w:szCs w:val="24"/>
        </w:rPr>
        <w:t>Figure S1.</w:t>
      </w:r>
      <w:r w:rsidRPr="0002671E">
        <w:rPr>
          <w:rFonts w:asciiTheme="minorBidi" w:hAnsiTheme="minorBidi"/>
          <w:sz w:val="24"/>
          <w:szCs w:val="24"/>
        </w:rPr>
        <w:t xml:space="preserve"> Changes of normalized concentration of HCQ, CQLA, and OAA with time during their chem</w:t>
      </w:r>
      <w:bookmarkStart w:id="0" w:name="_GoBack"/>
      <w:bookmarkEnd w:id="0"/>
      <w:r w:rsidRPr="0002671E">
        <w:rPr>
          <w:rFonts w:asciiTheme="minorBidi" w:hAnsiTheme="minorBidi"/>
          <w:sz w:val="24"/>
          <w:szCs w:val="24"/>
        </w:rPr>
        <w:t>ical oxidation by K</w:t>
      </w:r>
      <w:r w:rsidRPr="0002671E">
        <w:rPr>
          <w:rFonts w:asciiTheme="minorBidi" w:hAnsiTheme="minorBidi"/>
          <w:sz w:val="24"/>
          <w:szCs w:val="24"/>
          <w:vertAlign w:val="subscript"/>
        </w:rPr>
        <w:t>2</w:t>
      </w:r>
      <w:r w:rsidRPr="0002671E">
        <w:rPr>
          <w:rFonts w:asciiTheme="minorBidi" w:hAnsiTheme="minorBidi"/>
          <w:sz w:val="24"/>
          <w:szCs w:val="24"/>
        </w:rPr>
        <w:t>S</w:t>
      </w:r>
      <w:r w:rsidRPr="0002671E">
        <w:rPr>
          <w:rFonts w:asciiTheme="minorBidi" w:hAnsiTheme="minorBidi"/>
          <w:sz w:val="24"/>
          <w:szCs w:val="24"/>
          <w:vertAlign w:val="subscript"/>
        </w:rPr>
        <w:t>2</w:t>
      </w:r>
      <w:r w:rsidRPr="0002671E">
        <w:rPr>
          <w:rFonts w:asciiTheme="minorBidi" w:hAnsiTheme="minorBidi"/>
          <w:sz w:val="24"/>
          <w:szCs w:val="24"/>
        </w:rPr>
        <w:t>O</w:t>
      </w:r>
      <w:r w:rsidRPr="0002671E">
        <w:rPr>
          <w:rFonts w:asciiTheme="minorBidi" w:hAnsiTheme="minorBidi"/>
          <w:sz w:val="24"/>
          <w:szCs w:val="24"/>
          <w:vertAlign w:val="subscript"/>
        </w:rPr>
        <w:t>8</w:t>
      </w:r>
      <w:r w:rsidRPr="0002671E">
        <w:rPr>
          <w:rFonts w:asciiTheme="minorBidi" w:hAnsiTheme="minorBidi"/>
          <w:sz w:val="24"/>
          <w:szCs w:val="24"/>
        </w:rPr>
        <w:t xml:space="preserve"> in aqueous solution. Experimental conditions: initial concentrations: HCQ: 125 mg/L, CQLA: 80 mg/L, OAA: 100 mg/L, S</w:t>
      </w:r>
      <w:r w:rsidRPr="0002671E">
        <w:rPr>
          <w:rFonts w:asciiTheme="minorBidi" w:hAnsiTheme="minorBidi"/>
          <w:sz w:val="24"/>
          <w:szCs w:val="24"/>
          <w:vertAlign w:val="subscript"/>
        </w:rPr>
        <w:t>2</w:t>
      </w:r>
      <w:r w:rsidRPr="0002671E">
        <w:rPr>
          <w:rFonts w:asciiTheme="minorBidi" w:hAnsiTheme="minorBidi"/>
          <w:sz w:val="24"/>
          <w:szCs w:val="24"/>
        </w:rPr>
        <w:t>O</w:t>
      </w:r>
      <w:r w:rsidRPr="0002671E">
        <w:rPr>
          <w:rFonts w:asciiTheme="minorBidi" w:hAnsiTheme="minorBidi"/>
          <w:sz w:val="24"/>
          <w:szCs w:val="24"/>
          <w:vertAlign w:val="subscript"/>
        </w:rPr>
        <w:t>8</w:t>
      </w:r>
      <w:r w:rsidRPr="0002671E">
        <w:rPr>
          <w:rFonts w:asciiTheme="minorBidi" w:hAnsiTheme="minorBidi"/>
          <w:sz w:val="24"/>
          <w:szCs w:val="24"/>
          <w:vertAlign w:val="superscript"/>
        </w:rPr>
        <w:t>2-</w:t>
      </w:r>
      <w:r w:rsidRPr="0002671E">
        <w:rPr>
          <w:rFonts w:asciiTheme="minorBidi" w:hAnsiTheme="minorBidi"/>
          <w:sz w:val="24"/>
          <w:szCs w:val="24"/>
        </w:rPr>
        <w:t xml:space="preserve">: 500 mg/L; pH = 3.0; stirring: 300 rpm; T = 25 °C.   </w:t>
      </w: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Pr="0002671E" w:rsidRDefault="0002671E" w:rsidP="0002671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02671E">
        <w:rPr>
          <w:noProof/>
        </w:rPr>
        <w:drawing>
          <wp:inline distT="0" distB="0" distL="0" distR="0" wp14:anchorId="371DDA33" wp14:editId="0F48AC53">
            <wp:extent cx="5226050" cy="40449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2671E" w:rsidRPr="0002671E" w:rsidRDefault="0002671E" w:rsidP="0002671E">
      <w:pPr>
        <w:jc w:val="both"/>
        <w:rPr>
          <w:rFonts w:asciiTheme="minorBidi" w:hAnsiTheme="minorBidi"/>
          <w:sz w:val="24"/>
          <w:szCs w:val="24"/>
        </w:rPr>
      </w:pPr>
      <w:r w:rsidRPr="0002671E">
        <w:rPr>
          <w:rFonts w:asciiTheme="minorBidi" w:hAnsiTheme="minorBidi"/>
          <w:b/>
          <w:bCs/>
          <w:sz w:val="24"/>
          <w:szCs w:val="24"/>
        </w:rPr>
        <w:t>Figure S2.</w:t>
      </w:r>
      <w:r w:rsidRPr="0002671E">
        <w:rPr>
          <w:rFonts w:asciiTheme="minorBidi" w:hAnsiTheme="minorBidi"/>
          <w:sz w:val="24"/>
          <w:szCs w:val="24"/>
        </w:rPr>
        <w:t xml:space="preserve"> Changes of normalized concentration of HCQ, CQLA, and OAA with time during their chemical oxidation by H</w:t>
      </w:r>
      <w:r w:rsidRPr="0002671E">
        <w:rPr>
          <w:rFonts w:asciiTheme="minorBidi" w:hAnsiTheme="minorBidi"/>
          <w:sz w:val="24"/>
          <w:szCs w:val="24"/>
          <w:vertAlign w:val="subscript"/>
        </w:rPr>
        <w:t>2</w:t>
      </w:r>
      <w:r w:rsidRPr="0002671E">
        <w:rPr>
          <w:rFonts w:asciiTheme="minorBidi" w:hAnsiTheme="minorBidi"/>
          <w:sz w:val="24"/>
          <w:szCs w:val="24"/>
        </w:rPr>
        <w:t>O</w:t>
      </w:r>
      <w:r w:rsidRPr="0002671E">
        <w:rPr>
          <w:rFonts w:asciiTheme="minorBidi" w:hAnsiTheme="minorBidi"/>
          <w:sz w:val="24"/>
          <w:szCs w:val="24"/>
          <w:vertAlign w:val="subscript"/>
        </w:rPr>
        <w:t>2</w:t>
      </w:r>
      <w:r w:rsidRPr="0002671E">
        <w:rPr>
          <w:rFonts w:asciiTheme="minorBidi" w:hAnsiTheme="minorBidi"/>
          <w:sz w:val="24"/>
          <w:szCs w:val="24"/>
        </w:rPr>
        <w:t xml:space="preserve"> in aqueous solution. Experimental conditions: initial concentrations: HCQ: 125 mg/L, CQLA: 80 mg/L, OAA: 100 mg/L, H</w:t>
      </w:r>
      <w:r w:rsidRPr="0002671E">
        <w:rPr>
          <w:rFonts w:asciiTheme="minorBidi" w:hAnsiTheme="minorBidi"/>
          <w:sz w:val="24"/>
          <w:szCs w:val="24"/>
          <w:vertAlign w:val="subscript"/>
        </w:rPr>
        <w:t>2</w:t>
      </w:r>
      <w:r w:rsidRPr="0002671E">
        <w:rPr>
          <w:rFonts w:asciiTheme="minorBidi" w:hAnsiTheme="minorBidi"/>
          <w:sz w:val="24"/>
          <w:szCs w:val="24"/>
        </w:rPr>
        <w:t>O</w:t>
      </w:r>
      <w:r w:rsidRPr="0002671E">
        <w:rPr>
          <w:rFonts w:asciiTheme="minorBidi" w:hAnsiTheme="minorBidi"/>
          <w:sz w:val="24"/>
          <w:szCs w:val="24"/>
          <w:vertAlign w:val="subscript"/>
        </w:rPr>
        <w:t>2</w:t>
      </w:r>
      <w:r w:rsidRPr="0002671E">
        <w:rPr>
          <w:rFonts w:asciiTheme="minorBidi" w:hAnsiTheme="minorBidi"/>
          <w:sz w:val="24"/>
          <w:szCs w:val="24"/>
        </w:rPr>
        <w:t xml:space="preserve">: 250 mg/L; pH = 3.0; stirring: 300 rpm; T = 25 °C.  </w:t>
      </w: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02671E" w:rsidRDefault="0002671E" w:rsidP="0002671E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6EE288DC" wp14:editId="03A95A5C">
            <wp:extent cx="4872621" cy="3651250"/>
            <wp:effectExtent l="0" t="0" r="4445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646" cy="36640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671E" w:rsidRPr="0002671E" w:rsidRDefault="0002671E" w:rsidP="0002671E">
      <w:pPr>
        <w:jc w:val="both"/>
        <w:rPr>
          <w:rFonts w:asciiTheme="minorBidi" w:hAnsiTheme="minorBidi"/>
          <w:sz w:val="20"/>
          <w:szCs w:val="20"/>
        </w:rPr>
      </w:pPr>
      <w:r w:rsidRPr="0002671E">
        <w:rPr>
          <w:rFonts w:asciiTheme="minorBidi" w:hAnsiTheme="minorBidi"/>
          <w:b/>
          <w:bCs/>
          <w:sz w:val="24"/>
          <w:szCs w:val="24"/>
        </w:rPr>
        <w:t>Figure S3.</w:t>
      </w:r>
      <w:r w:rsidRPr="0002671E">
        <w:rPr>
          <w:rFonts w:asciiTheme="minorBidi" w:hAnsiTheme="minorBidi"/>
          <w:sz w:val="24"/>
          <w:szCs w:val="24"/>
        </w:rPr>
        <w:t xml:space="preserve"> Changes of HCQ concentration with time during EO, sonolysis, UV photolysis of HCQ in aqueous solutions. Operating conditions: [HCQ</w:t>
      </w:r>
      <w:proofErr w:type="gramStart"/>
      <w:r w:rsidRPr="0002671E">
        <w:rPr>
          <w:rFonts w:asciiTheme="minorBidi" w:hAnsiTheme="minorBidi"/>
          <w:sz w:val="24"/>
          <w:szCs w:val="24"/>
        </w:rPr>
        <w:t>]</w:t>
      </w:r>
      <w:r w:rsidRPr="0002671E">
        <w:rPr>
          <w:rFonts w:asciiTheme="minorBidi" w:hAnsiTheme="minorBidi"/>
          <w:sz w:val="24"/>
          <w:szCs w:val="24"/>
          <w:vertAlign w:val="subscript"/>
        </w:rPr>
        <w:t>0</w:t>
      </w:r>
      <w:proofErr w:type="gramEnd"/>
      <w:r w:rsidRPr="0002671E">
        <w:rPr>
          <w:rFonts w:asciiTheme="minorBidi" w:hAnsiTheme="minorBidi"/>
          <w:sz w:val="24"/>
          <w:szCs w:val="24"/>
        </w:rPr>
        <w:t xml:space="preserve"> = 1250 mg/L initial pH = 7.1; T = 25 °C; EO: Anode: BDD, cathode: Stainless steel, 0.05 M Na</w:t>
      </w:r>
      <w:r w:rsidRPr="0002671E">
        <w:rPr>
          <w:rFonts w:asciiTheme="minorBidi" w:hAnsiTheme="minorBidi"/>
          <w:sz w:val="24"/>
          <w:szCs w:val="24"/>
          <w:vertAlign w:val="subscript"/>
        </w:rPr>
        <w:t>2</w:t>
      </w:r>
      <w:r w:rsidRPr="0002671E">
        <w:rPr>
          <w:rFonts w:asciiTheme="minorBidi" w:hAnsiTheme="minorBidi"/>
          <w:sz w:val="24"/>
          <w:szCs w:val="24"/>
        </w:rPr>
        <w:t>SO</w:t>
      </w:r>
      <w:r w:rsidRPr="0002671E">
        <w:rPr>
          <w:rFonts w:asciiTheme="minorBidi" w:hAnsiTheme="minorBidi"/>
          <w:sz w:val="24"/>
          <w:szCs w:val="24"/>
          <w:vertAlign w:val="subscript"/>
        </w:rPr>
        <w:t>4</w:t>
      </w:r>
      <w:r w:rsidRPr="0002671E">
        <w:rPr>
          <w:rFonts w:asciiTheme="minorBidi" w:hAnsiTheme="minorBidi"/>
          <w:sz w:val="24"/>
          <w:szCs w:val="24"/>
        </w:rPr>
        <w:t>,; j = 20 mA/cm</w:t>
      </w:r>
      <w:r w:rsidRPr="0002671E">
        <w:rPr>
          <w:rFonts w:asciiTheme="minorBidi" w:hAnsiTheme="minorBidi"/>
          <w:sz w:val="24"/>
          <w:szCs w:val="24"/>
          <w:vertAlign w:val="superscript"/>
        </w:rPr>
        <w:t>2</w:t>
      </w:r>
      <w:r w:rsidRPr="0002671E">
        <w:rPr>
          <w:rFonts w:asciiTheme="minorBidi" w:hAnsiTheme="minorBidi"/>
          <w:sz w:val="24"/>
          <w:szCs w:val="24"/>
        </w:rPr>
        <w:t xml:space="preserve">; Sonolysis: </w:t>
      </w:r>
      <w:r w:rsidRPr="0002671E">
        <w:rPr>
          <w:rFonts w:asciiTheme="minorBidi" w:hAnsiTheme="minorBidi"/>
          <w:sz w:val="24"/>
          <w:szCs w:val="24"/>
          <w:shd w:val="clear" w:color="auto" w:fill="FFFFFF"/>
        </w:rPr>
        <w:t>Sonication probe (40 mm diameter, 100 mm length, 12 Wcm</w:t>
      </w:r>
      <w:r w:rsidRPr="0002671E">
        <w:rPr>
          <w:rFonts w:asciiTheme="minorBidi" w:hAnsiTheme="minorBidi"/>
          <w:sz w:val="24"/>
          <w:szCs w:val="24"/>
          <w:shd w:val="clear" w:color="auto" w:fill="FFFFFF"/>
          <w:vertAlign w:val="superscript"/>
        </w:rPr>
        <w:t>-2</w:t>
      </w:r>
      <w:r w:rsidRPr="0002671E">
        <w:rPr>
          <w:rFonts w:asciiTheme="minorBidi" w:hAnsiTheme="minorBidi"/>
          <w:sz w:val="24"/>
          <w:szCs w:val="24"/>
          <w:shd w:val="clear" w:color="auto" w:fill="FFFFFF"/>
        </w:rPr>
        <w:t>, 24 kHz), sonication power = 9.0 W</w:t>
      </w:r>
      <w:r w:rsidRPr="0002671E">
        <w:rPr>
          <w:rFonts w:asciiTheme="minorBidi" w:hAnsiTheme="minorBidi"/>
          <w:sz w:val="24"/>
          <w:szCs w:val="24"/>
        </w:rPr>
        <w:t xml:space="preserve">; UV photolysis: UV lamp (Mercury medium pressure, </w:t>
      </w:r>
      <w:r w:rsidRPr="0002671E">
        <w:rPr>
          <w:rFonts w:ascii="Cambria Math" w:hAnsi="Cambria Math" w:cs="Cambria Math"/>
          <w:sz w:val="24"/>
          <w:szCs w:val="24"/>
          <w:shd w:val="clear" w:color="auto" w:fill="FFFFFF"/>
        </w:rPr>
        <w:t>𝜆</w:t>
      </w:r>
      <w:r w:rsidRPr="0002671E">
        <w:rPr>
          <w:rFonts w:asciiTheme="minorBidi" w:hAnsiTheme="minorBidi"/>
          <w:sz w:val="24"/>
          <w:szCs w:val="24"/>
          <w:shd w:val="clear" w:color="auto" w:fill="FFFFFF"/>
        </w:rPr>
        <w:t xml:space="preserve"> = 254 nm, 1</w:t>
      </w:r>
      <w:r w:rsidRPr="0002671E">
        <w:rPr>
          <w:rFonts w:asciiTheme="minorBidi" w:hAnsiTheme="minorBidi"/>
          <w:sz w:val="24"/>
          <w:szCs w:val="24"/>
        </w:rPr>
        <w:t>5 W).</w:t>
      </w:r>
    </w:p>
    <w:p w:rsidR="0002671E" w:rsidRP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  <w:r w:rsidRPr="0002671E">
        <w:rPr>
          <w:rFonts w:asciiTheme="minorBidi" w:hAnsiTheme="minorBidi"/>
          <w:color w:val="FF0000"/>
          <w:sz w:val="24"/>
          <w:szCs w:val="24"/>
        </w:rPr>
        <w:t xml:space="preserve"> </w:t>
      </w:r>
    </w:p>
    <w:p w:rsidR="0002671E" w:rsidRPr="0002671E" w:rsidRDefault="0002671E" w:rsidP="0002671E">
      <w:pPr>
        <w:jc w:val="both"/>
        <w:rPr>
          <w:rFonts w:asciiTheme="minorBidi" w:hAnsiTheme="minorBidi"/>
          <w:color w:val="FF0000"/>
          <w:sz w:val="24"/>
          <w:szCs w:val="24"/>
        </w:rPr>
      </w:pPr>
    </w:p>
    <w:p w:rsidR="006C33B3" w:rsidRDefault="0002671E"/>
    <w:sectPr w:rsidR="006C3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71E"/>
    <w:rsid w:val="0002671E"/>
    <w:rsid w:val="005930F4"/>
    <w:rsid w:val="00AD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4911F"/>
  <w15:chartTrackingRefBased/>
  <w15:docId w15:val="{35EC5A9A-F09E-4FCD-B5EB-3535D8F7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sr.bensalah\Desktop\Research\Papers\Paper%203\HCQ-Electroichemical%20AOP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445916377655061"/>
          <c:y val="2.5179856115107913E-2"/>
          <c:w val="0.83130613399223019"/>
          <c:h val="0.83667875148699933"/>
        </c:manualLayout>
      </c:layout>
      <c:scatterChart>
        <c:scatterStyle val="lineMarker"/>
        <c:varyColors val="0"/>
        <c:ser>
          <c:idx val="0"/>
          <c:order val="0"/>
          <c:tx>
            <c:v>HCQ</c:v>
          </c:tx>
          <c:spPr>
            <a:ln w="6350" cap="rnd">
              <a:solidFill>
                <a:srgbClr val="0070C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accent2"/>
                </a:solidFill>
                <a:round/>
              </a:ln>
              <a:effectLst/>
            </c:spPr>
          </c:errBars>
          <c:xVal>
            <c:numRef>
              <c:f>'H2O2 reactivity'!$C$6:$C$12</c:f>
              <c:numCache>
                <c:formatCode>General</c:formatCode>
                <c:ptCount val="7"/>
                <c:pt idx="0">
                  <c:v>0</c:v>
                </c:pt>
                <c:pt idx="1">
                  <c:v>30</c:v>
                </c:pt>
                <c:pt idx="2">
                  <c:v>60</c:v>
                </c:pt>
                <c:pt idx="3">
                  <c:v>90</c:v>
                </c:pt>
                <c:pt idx="4">
                  <c:v>120</c:v>
                </c:pt>
                <c:pt idx="5">
                  <c:v>180</c:v>
                </c:pt>
                <c:pt idx="6">
                  <c:v>240</c:v>
                </c:pt>
              </c:numCache>
            </c:numRef>
          </c:xVal>
          <c:yVal>
            <c:numRef>
              <c:f>'H2O2 reactivity'!$G$6:$G$12</c:f>
              <c:numCache>
                <c:formatCode>General</c:formatCode>
                <c:ptCount val="7"/>
                <c:pt idx="0">
                  <c:v>1</c:v>
                </c:pt>
                <c:pt idx="1">
                  <c:v>0.99359487590072049</c:v>
                </c:pt>
                <c:pt idx="2">
                  <c:v>1.0016012810248198</c:v>
                </c:pt>
                <c:pt idx="3">
                  <c:v>1.0072057646116892</c:v>
                </c:pt>
                <c:pt idx="4">
                  <c:v>1</c:v>
                </c:pt>
                <c:pt idx="5">
                  <c:v>0.99839871897518007</c:v>
                </c:pt>
                <c:pt idx="6">
                  <c:v>0.99919935948758998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9EB-4422-8AAE-70FAB862E017}"/>
            </c:ext>
          </c:extLst>
        </c:ser>
        <c:ser>
          <c:idx val="1"/>
          <c:order val="1"/>
          <c:tx>
            <c:v>CQLA</c:v>
          </c:tx>
          <c:spPr>
            <a:ln w="63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rgbClr val="0070C0"/>
                </a:solidFill>
                <a:round/>
              </a:ln>
              <a:effectLst/>
            </c:spPr>
          </c:errBars>
          <c:xVal>
            <c:numRef>
              <c:f>'H2O2 reactivity'!$C$6:$C$12</c:f>
              <c:numCache>
                <c:formatCode>General</c:formatCode>
                <c:ptCount val="7"/>
                <c:pt idx="0">
                  <c:v>0</c:v>
                </c:pt>
                <c:pt idx="1">
                  <c:v>30</c:v>
                </c:pt>
                <c:pt idx="2">
                  <c:v>60</c:v>
                </c:pt>
                <c:pt idx="3">
                  <c:v>90</c:v>
                </c:pt>
                <c:pt idx="4">
                  <c:v>120</c:v>
                </c:pt>
                <c:pt idx="5">
                  <c:v>180</c:v>
                </c:pt>
                <c:pt idx="6">
                  <c:v>240</c:v>
                </c:pt>
              </c:numCache>
            </c:numRef>
          </c:xVal>
          <c:yVal>
            <c:numRef>
              <c:f>'H2O2 reactivity'!$H$6:$H$12</c:f>
              <c:numCache>
                <c:formatCode>General</c:formatCode>
                <c:ptCount val="7"/>
                <c:pt idx="0">
                  <c:v>0.99750623441396502</c:v>
                </c:pt>
                <c:pt idx="1">
                  <c:v>1.0049875311720697</c:v>
                </c:pt>
                <c:pt idx="2">
                  <c:v>0.99750623441396502</c:v>
                </c:pt>
                <c:pt idx="3">
                  <c:v>1.0074812967581046</c:v>
                </c:pt>
                <c:pt idx="4">
                  <c:v>0.99875311720698245</c:v>
                </c:pt>
                <c:pt idx="5">
                  <c:v>0.98628428927680789</c:v>
                </c:pt>
                <c:pt idx="6">
                  <c:v>1.0074812967581046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9EB-4422-8AAE-70FAB862E017}"/>
            </c:ext>
          </c:extLst>
        </c:ser>
        <c:ser>
          <c:idx val="2"/>
          <c:order val="2"/>
          <c:tx>
            <c:v>OAA</c:v>
          </c:tx>
          <c:spPr>
            <a:ln w="63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bg1">
                    <a:lumMod val="50000"/>
                  </a:schemeClr>
                </a:solidFill>
                <a:round/>
              </a:ln>
              <a:effectLst/>
            </c:spPr>
          </c:errBars>
          <c:xVal>
            <c:numRef>
              <c:f>'H2O2 reactivity'!$C$6:$C$12</c:f>
              <c:numCache>
                <c:formatCode>General</c:formatCode>
                <c:ptCount val="7"/>
                <c:pt idx="0">
                  <c:v>0</c:v>
                </c:pt>
                <c:pt idx="1">
                  <c:v>30</c:v>
                </c:pt>
                <c:pt idx="2">
                  <c:v>60</c:v>
                </c:pt>
                <c:pt idx="3">
                  <c:v>90</c:v>
                </c:pt>
                <c:pt idx="4">
                  <c:v>120</c:v>
                </c:pt>
                <c:pt idx="5">
                  <c:v>180</c:v>
                </c:pt>
                <c:pt idx="6">
                  <c:v>240</c:v>
                </c:pt>
              </c:numCache>
            </c:numRef>
          </c:xVal>
          <c:yVal>
            <c:numRef>
              <c:f>'H2O2 reactivity'!$I$6:$I$12</c:f>
              <c:numCache>
                <c:formatCode>General</c:formatCode>
                <c:ptCount val="7"/>
                <c:pt idx="0">
                  <c:v>1</c:v>
                </c:pt>
                <c:pt idx="1">
                  <c:v>0.94088176352705422</c:v>
                </c:pt>
                <c:pt idx="2">
                  <c:v>0.88977955911823647</c:v>
                </c:pt>
                <c:pt idx="3">
                  <c:v>0.84669338677354711</c:v>
                </c:pt>
                <c:pt idx="4">
                  <c:v>0.80260521042084165</c:v>
                </c:pt>
                <c:pt idx="5">
                  <c:v>0.71943887775551096</c:v>
                </c:pt>
                <c:pt idx="6">
                  <c:v>0.65931863727454909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39EB-4422-8AAE-70FAB862E0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30173279"/>
        <c:axId val="1630179519"/>
      </c:scatterChart>
      <c:valAx>
        <c:axId val="1630173279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Time (min)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cross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630179519"/>
        <c:crosses val="autoZero"/>
        <c:crossBetween val="midCat"/>
        <c:majorUnit val="30"/>
      </c:valAx>
      <c:valAx>
        <c:axId val="1630179519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C/C</a:t>
                </a:r>
                <a:r>
                  <a:rPr lang="en-US" sz="1200" b="1" baseline="-25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</a:p>
            </c:rich>
          </c:tx>
          <c:layout>
            <c:manualLayout>
              <c:xMode val="edge"/>
              <c:yMode val="edge"/>
              <c:x val="2.2408446581228384E-3"/>
              <c:y val="0.3731683000056647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cross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630173279"/>
        <c:crosses val="autoZero"/>
        <c:crossBetween val="midCat"/>
      </c:valAx>
      <c:spPr>
        <a:noFill/>
        <a:ln>
          <a:solidFill>
            <a:schemeClr val="tx1"/>
          </a:solidFill>
        </a:ln>
        <a:effectLst/>
      </c:spPr>
    </c:plotArea>
    <c:legend>
      <c:legendPos val="r"/>
      <c:layout>
        <c:manualLayout>
          <c:xMode val="edge"/>
          <c:yMode val="edge"/>
          <c:x val="0.19634510714516071"/>
          <c:y val="0.40535008213901319"/>
          <c:w val="0.1373915028107309"/>
          <c:h val="0.17211720387469551"/>
        </c:manualLayout>
      </c:layout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 Bensalah</dc:creator>
  <cp:keywords/>
  <dc:description/>
  <cp:lastModifiedBy>Nasr Bensalah</cp:lastModifiedBy>
  <cp:revision>1</cp:revision>
  <dcterms:created xsi:type="dcterms:W3CDTF">2020-06-07T09:54:00Z</dcterms:created>
  <dcterms:modified xsi:type="dcterms:W3CDTF">2020-06-07T09:58:00Z</dcterms:modified>
</cp:coreProperties>
</file>