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23CBD" w14:textId="69174C95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05F">
        <w:rPr>
          <w:rFonts w:ascii="Times New Roman" w:eastAsia="Times New Roman" w:hAnsi="Times New Roman" w:cs="Times New Roman"/>
          <w:sz w:val="28"/>
          <w:szCs w:val="28"/>
        </w:rPr>
        <w:t>Supplementary material for “Searching for the rate determining step of the H</w:t>
      </w:r>
      <w:r w:rsidRPr="0028505F">
        <w:rPr>
          <w:rFonts w:ascii="Times New Roman" w:eastAsia="Times New Roman" w:hAnsi="Times New Roman" w:cs="Times New Roman"/>
          <w:sz w:val="28"/>
          <w:szCs w:val="28"/>
          <w:vertAlign w:val="subscript"/>
        </w:rPr>
        <w:t>2</w:t>
      </w:r>
      <w:r w:rsidRPr="0028505F">
        <w:rPr>
          <w:rFonts w:ascii="Times New Roman" w:eastAsia="Times New Roman" w:hAnsi="Times New Roman" w:cs="Times New Roman"/>
          <w:sz w:val="28"/>
          <w:szCs w:val="28"/>
        </w:rPr>
        <w:t xml:space="preserve">S reaction on </w:t>
      </w:r>
      <w:proofErr w:type="gramStart"/>
      <w:r w:rsidRPr="0028505F">
        <w:rPr>
          <w:rFonts w:ascii="Times New Roman" w:eastAsia="Times New Roman" w:hAnsi="Times New Roman" w:cs="Times New Roman"/>
          <w:sz w:val="28"/>
          <w:szCs w:val="28"/>
        </w:rPr>
        <w:t>Fe(</w:t>
      </w:r>
      <w:proofErr w:type="gramEnd"/>
      <w:r w:rsidRPr="0028505F">
        <w:rPr>
          <w:rFonts w:ascii="Times New Roman" w:eastAsia="Times New Roman" w:hAnsi="Times New Roman" w:cs="Times New Roman"/>
          <w:sz w:val="28"/>
          <w:szCs w:val="28"/>
        </w:rPr>
        <w:t>110) surface</w:t>
      </w:r>
    </w:p>
    <w:p w14:paraId="7480D7C1" w14:textId="77777777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DE1F0B1" w14:textId="21207633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28505F">
        <w:rPr>
          <w:rFonts w:ascii="Times New Roman" w:eastAsia="Times New Roman" w:hAnsi="Times New Roman" w:cs="Times New Roman"/>
          <w:color w:val="0000CC"/>
          <w:sz w:val="28"/>
          <w:szCs w:val="28"/>
        </w:rPr>
        <w:t xml:space="preserve"> </w:t>
      </w:r>
      <w:r w:rsidRPr="0028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Effect of coverage on the H</w:t>
      </w:r>
      <w:r w:rsidRPr="002850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vertAlign w:val="subscript"/>
        </w:rPr>
        <w:t>2</w:t>
      </w:r>
      <w:r w:rsidRPr="0028049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S reaction</w:t>
      </w:r>
      <w:r w:rsidRPr="0028505F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</w:rPr>
        <w:t>s</w:t>
      </w:r>
    </w:p>
    <w:p w14:paraId="0F5174D7" w14:textId="47CD665D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 w:rsidRPr="00280491">
        <w:rPr>
          <w:rFonts w:ascii="Times New Roman" w:eastAsia="Times New Roman" w:hAnsi="Times New Roman" w:cs="Times New Roman"/>
          <w:color w:val="000000"/>
        </w:rPr>
        <w:t>By using larger simulation cell, we probe the effect of coverage on the</w:t>
      </w:r>
      <w:r w:rsidRPr="0028505F">
        <w:rPr>
          <w:rFonts w:ascii="Times New Roman" w:eastAsia="Times New Roman" w:hAnsi="Times New Roman" w:cs="Times New Roman"/>
          <w:color w:val="000000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key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energetics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of adsorption. We looked at the role coverage plays in determining how the orientation of H</w:t>
      </w:r>
      <w:r w:rsidRPr="0028505F">
        <w:rPr>
          <w:rFonts w:ascii="Times New Roman" w:eastAsia="Times New Roman" w:hAnsi="Times New Roman" w:cs="Times New Roman"/>
          <w:color w:val="000000"/>
          <w:vertAlign w:val="subscript"/>
        </w:rPr>
        <w:t>2</w:t>
      </w:r>
      <w:r w:rsidRPr="00280491">
        <w:rPr>
          <w:rFonts w:ascii="Times New Roman" w:eastAsia="Times New Roman" w:hAnsi="Times New Roman" w:cs="Times New Roman"/>
          <w:color w:val="000000"/>
        </w:rPr>
        <w:t>S affect the adsorption energies. Here we make comparison between two different coverage; 0.25 ML and 0.0625 ML, by considering the best adsorption geometries from our earlier analysis.  Generally, the trend obtained for molecular</w:t>
      </w:r>
    </w:p>
    <w:p w14:paraId="7D5F2552" w14:textId="1F8EBE09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 w:rsidRPr="00280491">
        <w:rPr>
          <w:rFonts w:ascii="Times New Roman" w:eastAsia="Times New Roman" w:hAnsi="Times New Roman" w:cs="Times New Roman"/>
          <w:color w:val="000000"/>
        </w:rPr>
        <w:t xml:space="preserve"> adsorption of H</w:t>
      </w:r>
      <w:r w:rsidRPr="00280491">
        <w:rPr>
          <w:rFonts w:ascii="Times New Roman" w:eastAsia="Times New Roman" w:hAnsi="Times New Roman" w:cs="Times New Roman"/>
          <w:color w:val="000000" w:themeColor="text1"/>
          <w:vertAlign w:val="subscript"/>
        </w:rPr>
        <w:t>2</w:t>
      </w:r>
      <w:r w:rsidRPr="00280491">
        <w:rPr>
          <w:rFonts w:ascii="Times New Roman" w:eastAsia="Times New Roman" w:hAnsi="Times New Roman" w:cs="Times New Roman"/>
          <w:color w:val="000000"/>
        </w:rPr>
        <w:t>S as a function of adsorption site remain unchanged irrespective of the coverage, see (Figure</w:t>
      </w:r>
      <w:r w:rsidRPr="0028505F">
        <w:rPr>
          <w:rFonts w:ascii="Times New Roman" w:eastAsia="Times New Roman" w:hAnsi="Times New Roman" w:cs="Times New Roman"/>
          <w:color w:val="000000"/>
        </w:rPr>
        <w:t xml:space="preserve"> S1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), where the most favorable molecular adsorption angle on OT, SB, LB and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TF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are compared.</w:t>
      </w:r>
      <w:r w:rsidRPr="0028505F">
        <w:rPr>
          <w:rFonts w:ascii="Times New Roman" w:eastAsia="Times New Roman" w:hAnsi="Times New Roman" w:cs="Times New Roman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Stronger adsorption is observed as we move from the higher to lower coverage. While the coverage is found to </w:t>
      </w:r>
      <w:r w:rsidRPr="0028505F">
        <w:rPr>
          <w:rFonts w:ascii="Times New Roman" w:eastAsia="Times New Roman" w:hAnsi="Times New Roman" w:cs="Times New Roman"/>
          <w:color w:val="000000"/>
        </w:rPr>
        <w:t>has insignificant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role on the adsorption energies calculated for OT, SB and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TF</w:t>
      </w:r>
      <w:r w:rsidRPr="00280491">
        <w:rPr>
          <w:rFonts w:ascii="Times New Roman" w:eastAsia="Times New Roman" w:hAnsi="Times New Roman" w:cs="Times New Roman"/>
          <w:color w:val="000000"/>
        </w:rPr>
        <w:t>, the LB shows some sensitivity. Indeed, while the difference in adsorption energy for OT site (0.25 vs 0.0625) is negligible, a 70-90</w:t>
      </w:r>
      <w:r w:rsidRPr="0028505F">
        <w:rPr>
          <w:rFonts w:ascii="Times New Roman" w:eastAsia="Times New Roman" w:hAnsi="Times New Roman" w:cs="Times New Roman"/>
        </w:rPr>
        <w:t xml:space="preserve"> </w:t>
      </w:r>
      <w:proofErr w:type="spellStart"/>
      <w:r w:rsidRPr="00280491">
        <w:rPr>
          <w:rFonts w:ascii="Times New Roman" w:eastAsia="Times New Roman" w:hAnsi="Times New Roman" w:cs="Times New Roman"/>
          <w:color w:val="000000"/>
          <w:u w:val="single"/>
        </w:rPr>
        <w:t>meV</w:t>
      </w:r>
      <w:proofErr w:type="spellEnd"/>
      <w:r w:rsidRPr="00280491">
        <w:rPr>
          <w:rFonts w:ascii="Times New Roman" w:eastAsia="Times New Roman" w:hAnsi="Times New Roman" w:cs="Times New Roman"/>
          <w:color w:val="000000"/>
        </w:rPr>
        <w:t xml:space="preserve"> difference was calculated for SB and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TF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. Interestingly, this difference becomes larger for the LB site, </w:t>
      </w:r>
      <w:proofErr w:type="spellStart"/>
      <w:r w:rsidRPr="00280491">
        <w:rPr>
          <w:rFonts w:ascii="Times New Roman" w:eastAsia="Times New Roman" w:hAnsi="Times New Roman" w:cs="Times New Roman"/>
          <w:color w:val="000000"/>
        </w:rPr>
        <w:t>themost</w:t>
      </w:r>
      <w:proofErr w:type="spellEnd"/>
      <w:r w:rsidRPr="00280491">
        <w:rPr>
          <w:rFonts w:ascii="Times New Roman" w:eastAsia="Times New Roman" w:hAnsi="Times New Roman" w:cs="Times New Roman"/>
          <w:color w:val="000000"/>
        </w:rPr>
        <w:t xml:space="preserve"> stable site for H</w:t>
      </w:r>
      <w:r w:rsidRPr="00280491">
        <w:rPr>
          <w:rFonts w:ascii="Times New Roman" w:eastAsia="Times New Roman" w:hAnsi="Times New Roman" w:cs="Times New Roman"/>
          <w:color w:val="008000"/>
        </w:rPr>
        <w:t>$_2$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S adsorption.  The role of coverage can be further elucidated by comparing the diffusion across the bridge, from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R45@LB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to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R00</w:t>
      </w:r>
      <w:r w:rsidRPr="00280491">
        <w:rPr>
          <w:rFonts w:ascii="Times New Roman" w:eastAsia="Times New Roman" w:hAnsi="Times New Roman" w:cs="Times New Roman"/>
          <w:color w:val="000000"/>
        </w:rPr>
        <w:t>, two energetically degenerate sites,</w:t>
      </w:r>
      <w:r w:rsidRPr="0028505F">
        <w:rPr>
          <w:rFonts w:ascii="Times New Roman" w:eastAsia="Times New Roman" w:hAnsi="Times New Roman" w:cs="Times New Roman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as a function of coverage. This barrier </w:t>
      </w:r>
      <w:proofErr w:type="gramStart"/>
      <w:r w:rsidRPr="00280491">
        <w:rPr>
          <w:rFonts w:ascii="Times New Roman" w:eastAsia="Times New Roman" w:hAnsi="Times New Roman" w:cs="Times New Roman"/>
          <w:color w:val="000000"/>
        </w:rPr>
        <w:t>is  dependent</w:t>
      </w:r>
      <w:proofErr w:type="gramEnd"/>
      <w:r w:rsidRPr="00280491">
        <w:rPr>
          <w:rFonts w:ascii="Times New Roman" w:eastAsia="Times New Roman" w:hAnsi="Times New Roman" w:cs="Times New Roman"/>
          <w:color w:val="000000"/>
        </w:rPr>
        <w:t xml:space="preserve"> on coverage, as the calculated barrier is reduced by</w:t>
      </w:r>
      <w:r w:rsidRPr="0028505F">
        <w:rPr>
          <w:rFonts w:ascii="Times New Roman" w:eastAsia="Times New Roman" w:hAnsi="Times New Roman" w:cs="Times New Roman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3meV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upon reducing the coverage to 0.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0625ML</w:t>
      </w:r>
      <w:r w:rsidRPr="00280491">
        <w:rPr>
          <w:rFonts w:ascii="Times New Roman" w:eastAsia="Times New Roman" w:hAnsi="Times New Roman" w:cs="Times New Roman"/>
          <w:color w:val="000000"/>
        </w:rPr>
        <w:t xml:space="preserve"> (see Figure </w:t>
      </w:r>
      <w:r w:rsidRPr="0028505F">
        <w:rPr>
          <w:rFonts w:ascii="Times New Roman" w:eastAsia="Times New Roman" w:hAnsi="Times New Roman" w:cs="Times New Roman"/>
          <w:color w:val="000000"/>
        </w:rPr>
        <w:t>S2</w:t>
      </w:r>
      <w:r w:rsidRPr="00280491">
        <w:rPr>
          <w:rFonts w:ascii="Times New Roman" w:eastAsia="Times New Roman" w:hAnsi="Times New Roman" w:cs="Times New Roman"/>
          <w:color w:val="000000"/>
        </w:rPr>
        <w:t>). Analysis of the bonding at the initial, transition</w:t>
      </w:r>
      <w:r w:rsidRPr="0028505F">
        <w:rPr>
          <w:rFonts w:ascii="Times New Roman" w:eastAsia="Times New Roman" w:hAnsi="Times New Roman" w:cs="Times New Roman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</w:rPr>
        <w:t>state and final state shows that at low coverage suggests that the difference can be related to the somehow</w:t>
      </w:r>
      <w:r w:rsidRPr="0028505F">
        <w:rPr>
          <w:rFonts w:ascii="Times New Roman" w:eastAsia="Times New Roman" w:hAnsi="Times New Roman" w:cs="Times New Roman"/>
          <w:color w:val="000000"/>
        </w:rPr>
        <w:t xml:space="preserve"> </w:t>
      </w:r>
      <w:r w:rsidRPr="00280491">
        <w:rPr>
          <w:rFonts w:ascii="Times New Roman" w:eastAsia="Times New Roman" w:hAnsi="Times New Roman" w:cs="Times New Roman"/>
          <w:color w:val="000000"/>
        </w:rPr>
        <w:t>distinct bonding in the two systems. We find that the Fe-S bond at the transition state for the case of the lower coverage stretch by 2.5% and for the higher coverage it elongates by only 1.6 % with respect to the free molecule.</w:t>
      </w:r>
    </w:p>
    <w:p w14:paraId="4627C555" w14:textId="421D2913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3BD9484" w14:textId="2E24A9B0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05F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4F8E818E" wp14:editId="2FCB33D3">
            <wp:extent cx="3370217" cy="2028095"/>
            <wp:effectExtent l="0" t="0" r="0" b="4445"/>
            <wp:docPr id="2" name="Picture 2" descr="A screenshot of a cell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omparison-eps-converted-to.pd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85784" cy="2037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A62DD5" w14:textId="23390977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5E2CDFD6" w14:textId="7A940B20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14:paraId="6458497B" w14:textId="69796D1C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 w:rsidRPr="0028505F">
        <w:rPr>
          <w:rFonts w:ascii="Times New Roman" w:eastAsia="Times New Roman" w:hAnsi="Times New Roman" w:cs="Times New Roman"/>
        </w:rPr>
        <w:t>Figure S</w:t>
      </w:r>
      <w:proofErr w:type="gramStart"/>
      <w:r w:rsidRPr="0028505F">
        <w:rPr>
          <w:rFonts w:ascii="Times New Roman" w:eastAsia="Times New Roman" w:hAnsi="Times New Roman" w:cs="Times New Roman"/>
        </w:rPr>
        <w:t>1:</w:t>
      </w:r>
      <w:r w:rsidR="0028505F">
        <w:rPr>
          <w:rFonts w:ascii="Times New Roman" w:eastAsia="Times New Roman" w:hAnsi="Times New Roman" w:cs="Times New Roman"/>
        </w:rPr>
        <w:t>Adsorption</w:t>
      </w:r>
      <w:proofErr w:type="gramEnd"/>
      <w:r w:rsidR="0028505F">
        <w:rPr>
          <w:rFonts w:ascii="Times New Roman" w:eastAsia="Times New Roman" w:hAnsi="Times New Roman" w:cs="Times New Roman"/>
        </w:rPr>
        <w:t xml:space="preserve"> energy profile for the best molecular orientation for each site as a function of coverage</w:t>
      </w:r>
    </w:p>
    <w:p w14:paraId="0DDF203E" w14:textId="0911D5E1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505F">
        <w:rPr>
          <w:rFonts w:ascii="Times New Roman" w:eastAsia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 wp14:anchorId="3ABE8F2B" wp14:editId="522A82C6">
            <wp:extent cx="2423872" cy="2286000"/>
            <wp:effectExtent l="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iffusion.eps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7061" r="32170" b="3506"/>
                    <a:stretch/>
                  </pic:blipFill>
                  <pic:spPr bwMode="auto">
                    <a:xfrm>
                      <a:off x="0" y="0"/>
                      <a:ext cx="2430481" cy="229223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944922E" w14:textId="266B7391" w:rsidR="0028505F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  <w:r w:rsidRPr="0028505F">
        <w:rPr>
          <w:rFonts w:ascii="Times New Roman" w:eastAsia="Times New Roman" w:hAnsi="Times New Roman" w:cs="Times New Roman"/>
        </w:rPr>
        <w:t>Figure S2:</w:t>
      </w:r>
      <w:r w:rsidR="0028505F">
        <w:rPr>
          <w:rFonts w:ascii="Times New Roman" w:eastAsia="Times New Roman" w:hAnsi="Times New Roman" w:cs="Times New Roman"/>
        </w:rPr>
        <w:t>Minimum energy path for the diffusion of H</w:t>
      </w:r>
      <w:r w:rsidR="0028505F" w:rsidRPr="0028505F">
        <w:rPr>
          <w:rFonts w:ascii="Times New Roman" w:eastAsia="Times New Roman" w:hAnsi="Times New Roman" w:cs="Times New Roman"/>
          <w:vertAlign w:val="subscript"/>
        </w:rPr>
        <w:t>2</w:t>
      </w:r>
      <w:r w:rsidR="0028505F">
        <w:rPr>
          <w:rFonts w:ascii="Times New Roman" w:eastAsia="Times New Roman" w:hAnsi="Times New Roman" w:cs="Times New Roman"/>
        </w:rPr>
        <w:t>S across two bridge sites for 0.25ML and 0.00625ML</w:t>
      </w:r>
      <w:bookmarkStart w:id="0" w:name="_GoBack"/>
      <w:bookmarkEnd w:id="0"/>
    </w:p>
    <w:p w14:paraId="2CB32287" w14:textId="6F40564E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14:paraId="123BD032" w14:textId="77777777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14:paraId="561320B6" w14:textId="47C8034D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  <w:r w:rsidRPr="00280491">
        <w:rPr>
          <w:rFonts w:ascii="Times New Roman" w:eastAsia="Times New Roman" w:hAnsi="Times New Roman" w:cs="Times New Roman"/>
          <w:color w:val="000000"/>
        </w:rPr>
        <w:t>Adsorption energies and geometrical parameters such as bond length and angles for molecular H</w:t>
      </w:r>
      <w:r w:rsidRPr="0028505F">
        <w:rPr>
          <w:rFonts w:ascii="Times New Roman" w:eastAsia="Times New Roman" w:hAnsi="Times New Roman" w:cs="Times New Roman"/>
          <w:color w:val="000000" w:themeColor="text1"/>
          <w:vertAlign w:val="subscript"/>
        </w:rPr>
        <w:t>2</w:t>
      </w:r>
      <w:r w:rsidRPr="00280491">
        <w:rPr>
          <w:rFonts w:ascii="Times New Roman" w:eastAsia="Times New Roman" w:hAnsi="Times New Roman" w:cs="Times New Roman"/>
          <w:color w:val="000000"/>
        </w:rPr>
        <w:t>S adsorption for 0.</w:t>
      </w:r>
      <w:r w:rsidRPr="00280491">
        <w:rPr>
          <w:rFonts w:ascii="Times New Roman" w:eastAsia="Times New Roman" w:hAnsi="Times New Roman" w:cs="Times New Roman"/>
          <w:color w:val="000000"/>
          <w:u w:val="single"/>
        </w:rPr>
        <w:t>0625ML</w:t>
      </w:r>
    </w:p>
    <w:p w14:paraId="5F33872C" w14:textId="56D599E5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7"/>
        <w:gridCol w:w="1555"/>
        <w:gridCol w:w="1506"/>
        <w:gridCol w:w="1506"/>
        <w:gridCol w:w="1540"/>
      </w:tblGrid>
      <w:tr w:rsidR="0028505F" w:rsidRPr="0028505F" w14:paraId="7B0A623D" w14:textId="77777777" w:rsidTr="0028505F">
        <w:tc>
          <w:tcPr>
            <w:tcW w:w="1787" w:type="dxa"/>
          </w:tcPr>
          <w:p w14:paraId="5D7D28E2" w14:textId="7F3AB929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Configuration</w:t>
            </w:r>
          </w:p>
        </w:tc>
        <w:tc>
          <w:tcPr>
            <w:tcW w:w="1555" w:type="dxa"/>
          </w:tcPr>
          <w:p w14:paraId="259658AB" w14:textId="08870477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280491">
              <w:rPr>
                <w:rFonts w:ascii="Times New Roman" w:eastAsia="Times New Roman" w:hAnsi="Times New Roman" w:cs="Times New Roman"/>
                <w:color w:val="000000"/>
              </w:rPr>
              <w:t>E</w:t>
            </w:r>
            <w:r w:rsidRPr="00280491">
              <w:rPr>
                <w:rFonts w:ascii="Times New Roman" w:eastAsia="Times New Roman" w:hAnsi="Times New Roman" w:cs="Times New Roman"/>
                <w:color w:val="000000" w:themeColor="text1"/>
                <w:vertAlign w:val="subscript"/>
              </w:rPr>
              <w:t>Ads</w:t>
            </w:r>
            <w:proofErr w:type="spellEnd"/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eV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06" w:type="dxa"/>
          </w:tcPr>
          <w:p w14:paraId="13D4678C" w14:textId="17E44CC9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H-S (</w:t>
            </w:r>
            <w:r w:rsidRPr="0028505F">
              <w:rPr>
                <w:rFonts w:ascii="Times New Roman" w:eastAsia="Times New Roman" w:hAnsi="Times New Roman" w:cs="Times New Roman"/>
                <w:color w:val="000000"/>
              </w:rPr>
              <w:t>Ang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06" w:type="dxa"/>
          </w:tcPr>
          <w:p w14:paraId="56952E04" w14:textId="57B44A1E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Fe-S (</w:t>
            </w:r>
            <w:r w:rsidRPr="0028505F">
              <w:rPr>
                <w:rFonts w:ascii="Times New Roman" w:eastAsia="Times New Roman" w:hAnsi="Times New Roman" w:cs="Times New Roman"/>
                <w:color w:val="000000"/>
              </w:rPr>
              <w:t>Ang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540" w:type="dxa"/>
          </w:tcPr>
          <w:p w14:paraId="34132639" w14:textId="094E8B92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H-S-H (</w:t>
            </w:r>
            <w:r w:rsidRPr="0028505F">
              <w:rPr>
                <w:rFonts w:ascii="Times New Roman" w:eastAsia="Times New Roman" w:hAnsi="Times New Roman" w:cs="Times New Roman"/>
                <w:color w:val="000000"/>
              </w:rPr>
              <w:t>degree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</w:tr>
      <w:tr w:rsidR="0028505F" w:rsidRPr="0028505F" w14:paraId="77A989B5" w14:textId="77777777" w:rsidTr="0028505F">
        <w:tc>
          <w:tcPr>
            <w:tcW w:w="1787" w:type="dxa"/>
          </w:tcPr>
          <w:p w14:paraId="5867C9C0" w14:textId="4000D0BB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F90@OT</w:t>
            </w:r>
          </w:p>
        </w:tc>
        <w:tc>
          <w:tcPr>
            <w:tcW w:w="1555" w:type="dxa"/>
          </w:tcPr>
          <w:p w14:paraId="20B3B3E0" w14:textId="2EBB3D7C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-0.41</w:t>
            </w:r>
          </w:p>
        </w:tc>
        <w:tc>
          <w:tcPr>
            <w:tcW w:w="1506" w:type="dxa"/>
          </w:tcPr>
          <w:p w14:paraId="29086C26" w14:textId="1E956275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</w:p>
        </w:tc>
        <w:tc>
          <w:tcPr>
            <w:tcW w:w="1506" w:type="dxa"/>
          </w:tcPr>
          <w:p w14:paraId="4329A421" w14:textId="072B330B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2.21</w:t>
            </w:r>
          </w:p>
        </w:tc>
        <w:tc>
          <w:tcPr>
            <w:tcW w:w="1540" w:type="dxa"/>
          </w:tcPr>
          <w:p w14:paraId="2F8A53EA" w14:textId="0FDFD983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92.10   </w:t>
            </w:r>
          </w:p>
        </w:tc>
      </w:tr>
      <w:tr w:rsidR="0028505F" w:rsidRPr="0028505F" w14:paraId="2FDC8C45" w14:textId="77777777" w:rsidTr="0028505F">
        <w:tc>
          <w:tcPr>
            <w:tcW w:w="1787" w:type="dxa"/>
          </w:tcPr>
          <w:p w14:paraId="3E14EA80" w14:textId="306D228F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F45@OT</w:t>
            </w:r>
          </w:p>
        </w:tc>
        <w:tc>
          <w:tcPr>
            <w:tcW w:w="1555" w:type="dxa"/>
          </w:tcPr>
          <w:p w14:paraId="4375132E" w14:textId="59A63B3A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-0.57</w:t>
            </w:r>
          </w:p>
        </w:tc>
        <w:tc>
          <w:tcPr>
            <w:tcW w:w="1506" w:type="dxa"/>
          </w:tcPr>
          <w:p w14:paraId="7D6DAE03" w14:textId="77B26CFA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1.34</w:t>
            </w:r>
          </w:p>
        </w:tc>
        <w:tc>
          <w:tcPr>
            <w:tcW w:w="1506" w:type="dxa"/>
          </w:tcPr>
          <w:p w14:paraId="73B9B547" w14:textId="2789A90C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2.20</w:t>
            </w:r>
          </w:p>
        </w:tc>
        <w:tc>
          <w:tcPr>
            <w:tcW w:w="1540" w:type="dxa"/>
          </w:tcPr>
          <w:p w14:paraId="366C5F4D" w14:textId="5B24ADF7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91.90  </w:t>
            </w:r>
          </w:p>
        </w:tc>
      </w:tr>
      <w:tr w:rsidR="0028505F" w:rsidRPr="0028505F" w14:paraId="63809F08" w14:textId="77777777" w:rsidTr="0028505F">
        <w:tc>
          <w:tcPr>
            <w:tcW w:w="1787" w:type="dxa"/>
          </w:tcPr>
          <w:p w14:paraId="3AFE0736" w14:textId="66F50B82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R00@LB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555" w:type="dxa"/>
          </w:tcPr>
          <w:p w14:paraId="3E677BC8" w14:textId="1CA8A366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-0.62</w:t>
            </w:r>
          </w:p>
        </w:tc>
        <w:tc>
          <w:tcPr>
            <w:tcW w:w="1506" w:type="dxa"/>
          </w:tcPr>
          <w:p w14:paraId="23048757" w14:textId="1735F87B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</w:p>
        </w:tc>
        <w:tc>
          <w:tcPr>
            <w:tcW w:w="1506" w:type="dxa"/>
          </w:tcPr>
          <w:p w14:paraId="7FC8ECB8" w14:textId="7B1952B9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2.20</w:t>
            </w:r>
          </w:p>
        </w:tc>
        <w:tc>
          <w:tcPr>
            <w:tcW w:w="1540" w:type="dxa"/>
          </w:tcPr>
          <w:p w14:paraId="5A2E400F" w14:textId="59C3C221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90.72  </w:t>
            </w:r>
          </w:p>
        </w:tc>
      </w:tr>
      <w:tr w:rsidR="0028505F" w:rsidRPr="0028505F" w14:paraId="24D33441" w14:textId="77777777" w:rsidTr="0028505F">
        <w:tc>
          <w:tcPr>
            <w:tcW w:w="1787" w:type="dxa"/>
          </w:tcPr>
          <w:p w14:paraId="5861E82C" w14:textId="57C9C769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R00@SB</w:t>
            </w: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  </w:t>
            </w:r>
          </w:p>
        </w:tc>
        <w:tc>
          <w:tcPr>
            <w:tcW w:w="1555" w:type="dxa"/>
          </w:tcPr>
          <w:p w14:paraId="3F14B9E6" w14:textId="149C8D83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-0.65</w:t>
            </w:r>
          </w:p>
        </w:tc>
        <w:tc>
          <w:tcPr>
            <w:tcW w:w="1506" w:type="dxa"/>
          </w:tcPr>
          <w:p w14:paraId="192C8533" w14:textId="024BBD33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1.35</w:t>
            </w:r>
          </w:p>
        </w:tc>
        <w:tc>
          <w:tcPr>
            <w:tcW w:w="1506" w:type="dxa"/>
          </w:tcPr>
          <w:p w14:paraId="5BFEA46E" w14:textId="0D408D54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2.19</w:t>
            </w:r>
          </w:p>
        </w:tc>
        <w:tc>
          <w:tcPr>
            <w:tcW w:w="1540" w:type="dxa"/>
          </w:tcPr>
          <w:p w14:paraId="52F704EC" w14:textId="1F07EC6B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91.80  </w:t>
            </w:r>
          </w:p>
        </w:tc>
      </w:tr>
      <w:tr w:rsidR="0028505F" w:rsidRPr="0028505F" w14:paraId="6DEA2859" w14:textId="77777777" w:rsidTr="0028505F">
        <w:tc>
          <w:tcPr>
            <w:tcW w:w="1787" w:type="dxa"/>
          </w:tcPr>
          <w:p w14:paraId="57B9DA97" w14:textId="44537EB7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  <w:u w:val="single"/>
              </w:rPr>
              <w:t>R45@LB</w:t>
            </w:r>
          </w:p>
        </w:tc>
        <w:tc>
          <w:tcPr>
            <w:tcW w:w="1555" w:type="dxa"/>
          </w:tcPr>
          <w:p w14:paraId="1003BFE1" w14:textId="3BF0A665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-0.75  </w:t>
            </w:r>
          </w:p>
        </w:tc>
        <w:tc>
          <w:tcPr>
            <w:tcW w:w="1506" w:type="dxa"/>
          </w:tcPr>
          <w:p w14:paraId="7AE4D93A" w14:textId="633B8B3D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1.36</w:t>
            </w:r>
          </w:p>
        </w:tc>
        <w:tc>
          <w:tcPr>
            <w:tcW w:w="1506" w:type="dxa"/>
          </w:tcPr>
          <w:p w14:paraId="386E72A4" w14:textId="0995E556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>2.19</w:t>
            </w:r>
          </w:p>
        </w:tc>
        <w:tc>
          <w:tcPr>
            <w:tcW w:w="1540" w:type="dxa"/>
          </w:tcPr>
          <w:p w14:paraId="0030DF10" w14:textId="7F073B18" w:rsidR="0028505F" w:rsidRPr="0028505F" w:rsidRDefault="0028505F" w:rsidP="002804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color w:val="000000"/>
              </w:rPr>
            </w:pPr>
            <w:r w:rsidRPr="00280491">
              <w:rPr>
                <w:rFonts w:ascii="Times New Roman" w:eastAsia="Times New Roman" w:hAnsi="Times New Roman" w:cs="Times New Roman"/>
                <w:color w:val="000000"/>
              </w:rPr>
              <w:t xml:space="preserve">91.20  </w:t>
            </w:r>
          </w:p>
        </w:tc>
      </w:tr>
    </w:tbl>
    <w:p w14:paraId="5B7DCA25" w14:textId="03C0D320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17701266" w14:textId="417E8721" w:rsidR="00280491" w:rsidRPr="0028505F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color w:val="000000"/>
        </w:rPr>
      </w:pPr>
    </w:p>
    <w:p w14:paraId="2E12E00B" w14:textId="77777777" w:rsidR="00280491" w:rsidRPr="00280491" w:rsidRDefault="00280491" w:rsidP="002804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</w:rPr>
      </w:pPr>
    </w:p>
    <w:p w14:paraId="60B0E57E" w14:textId="3EC30972" w:rsidR="00CC1B2A" w:rsidRPr="0028505F" w:rsidRDefault="00CC1B2A" w:rsidP="00280491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CC1B2A" w:rsidRPr="0028505F" w:rsidSect="00A671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491"/>
    <w:rsid w:val="00280491"/>
    <w:rsid w:val="0028505F"/>
    <w:rsid w:val="00A671FA"/>
    <w:rsid w:val="00CC1B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ED4617F"/>
  <w15:chartTrackingRefBased/>
  <w15:docId w15:val="{C1BD4955-53F3-4E4A-8897-E2739F94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804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80491"/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39"/>
    <w:rsid w:val="00280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788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Omotayo Salawu</dc:creator>
  <cp:keywords/>
  <dc:description/>
  <cp:lastModifiedBy>Omotayo Salawu</cp:lastModifiedBy>
  <cp:revision>1</cp:revision>
  <dcterms:created xsi:type="dcterms:W3CDTF">2020-02-02T07:36:00Z</dcterms:created>
  <dcterms:modified xsi:type="dcterms:W3CDTF">2020-02-02T07:57:00Z</dcterms:modified>
</cp:coreProperties>
</file>