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9F0D2CF" w14:textId="77777777" w:rsidR="00CA1B85" w:rsidRDefault="00CA1B85" w:rsidP="00CA1B85">
      <w:pPr>
        <w:jc w:val="center"/>
        <w:rPr>
          <w:rFonts w:ascii="Arial" w:hAnsi="Arial"/>
          <w:sz w:val="31"/>
          <w:szCs w:val="31"/>
        </w:rPr>
      </w:pPr>
      <w:bookmarkStart w:id="0" w:name="_Hlk44865859"/>
      <w:bookmarkStart w:id="1" w:name="_GoBack"/>
      <w:bookmarkEnd w:id="1"/>
      <w:r>
        <w:rPr>
          <w:rFonts w:ascii="Arial" w:hAnsi="Arial"/>
          <w:sz w:val="31"/>
          <w:szCs w:val="31"/>
        </w:rPr>
        <w:t>Industrial Wastewater Volume Reduction through Osmotic Concentration:</w:t>
      </w:r>
      <w:r w:rsidRPr="00D311DC">
        <w:rPr>
          <w:rFonts w:ascii="Arial" w:hAnsi="Arial"/>
          <w:sz w:val="31"/>
          <w:szCs w:val="31"/>
        </w:rPr>
        <w:t xml:space="preserve"> Membrane </w:t>
      </w:r>
      <w:r>
        <w:rPr>
          <w:rFonts w:ascii="Arial" w:hAnsi="Arial"/>
          <w:sz w:val="31"/>
          <w:szCs w:val="31"/>
        </w:rPr>
        <w:t xml:space="preserve">Module </w:t>
      </w:r>
      <w:r w:rsidRPr="00D311DC">
        <w:rPr>
          <w:rFonts w:ascii="Arial" w:hAnsi="Arial"/>
          <w:sz w:val="31"/>
          <w:szCs w:val="31"/>
        </w:rPr>
        <w:t>S</w:t>
      </w:r>
      <w:r>
        <w:rPr>
          <w:rFonts w:ascii="Arial" w:hAnsi="Arial"/>
          <w:sz w:val="31"/>
          <w:szCs w:val="31"/>
        </w:rPr>
        <w:t>election</w:t>
      </w:r>
      <w:r w:rsidRPr="00D311DC">
        <w:rPr>
          <w:rFonts w:ascii="Arial" w:hAnsi="Arial"/>
          <w:sz w:val="31"/>
          <w:szCs w:val="31"/>
        </w:rPr>
        <w:t xml:space="preserve"> and Process </w:t>
      </w:r>
      <w:r>
        <w:rPr>
          <w:rFonts w:ascii="Arial" w:hAnsi="Arial"/>
          <w:sz w:val="31"/>
          <w:szCs w:val="31"/>
        </w:rPr>
        <w:t>Modeling</w:t>
      </w:r>
    </w:p>
    <w:p w14:paraId="184F7988" w14:textId="77777777" w:rsidR="00490B4F" w:rsidRPr="003B1DE4" w:rsidRDefault="00490B4F" w:rsidP="00490B4F">
      <w:pPr>
        <w:spacing w:line="264" w:lineRule="auto"/>
        <w:jc w:val="center"/>
        <w:rPr>
          <w:rFonts w:ascii="Arial" w:hAnsi="Arial"/>
          <w:sz w:val="31"/>
          <w:szCs w:val="31"/>
        </w:rPr>
      </w:pPr>
    </w:p>
    <w:bookmarkEnd w:id="0"/>
    <w:p w14:paraId="4B2E4B43" w14:textId="5DE2AB4A" w:rsidR="00490B4F" w:rsidRDefault="00490B4F" w:rsidP="00490B4F">
      <w:pPr>
        <w:spacing w:line="264" w:lineRule="auto"/>
        <w:jc w:val="center"/>
        <w:rPr>
          <w:rFonts w:ascii="Arial" w:hAnsi="Arial"/>
          <w:b/>
          <w:lang w:val="pt-PT"/>
        </w:rPr>
      </w:pPr>
      <w:r>
        <w:rPr>
          <w:rFonts w:ascii="Arial" w:hAnsi="Arial"/>
          <w:b/>
          <w:lang w:val="pt-PT"/>
        </w:rPr>
        <w:t>Joel Minier-Matar</w:t>
      </w:r>
      <w:r w:rsidRPr="00FA2B9D">
        <w:rPr>
          <w:rFonts w:ascii="Arial" w:hAnsi="Arial"/>
          <w:b/>
          <w:vertAlign w:val="superscript"/>
          <w:lang w:val="pt-PT"/>
        </w:rPr>
        <w:t>1</w:t>
      </w:r>
      <w:r w:rsidR="00CA1B85">
        <w:rPr>
          <w:rFonts w:ascii="Arial" w:hAnsi="Arial"/>
          <w:b/>
          <w:vertAlign w:val="superscript"/>
          <w:lang w:val="pt-PT"/>
        </w:rPr>
        <w:t>*</w:t>
      </w:r>
      <w:r>
        <w:rPr>
          <w:rFonts w:ascii="Arial" w:hAnsi="Arial"/>
          <w:b/>
          <w:lang w:val="pt-PT"/>
        </w:rPr>
        <w:t>, Mashael Al-Ma</w:t>
      </w:r>
      <w:r w:rsidR="006E7361">
        <w:rPr>
          <w:rFonts w:ascii="Arial" w:hAnsi="Arial"/>
          <w:b/>
          <w:lang w:val="pt-PT"/>
        </w:rPr>
        <w:t>a</w:t>
      </w:r>
      <w:r>
        <w:rPr>
          <w:rFonts w:ascii="Arial" w:hAnsi="Arial"/>
          <w:b/>
          <w:lang w:val="pt-PT"/>
        </w:rPr>
        <w:t>s</w:t>
      </w:r>
      <w:r w:rsidRPr="00FA2B9D">
        <w:rPr>
          <w:rFonts w:ascii="Arial" w:hAnsi="Arial"/>
          <w:b/>
          <w:vertAlign w:val="superscript"/>
          <w:lang w:val="pt-PT"/>
        </w:rPr>
        <w:t>1</w:t>
      </w:r>
      <w:r>
        <w:rPr>
          <w:rFonts w:ascii="Arial" w:hAnsi="Arial"/>
          <w:b/>
          <w:lang w:val="pt-PT"/>
        </w:rPr>
        <w:t>, Dareen Dardor</w:t>
      </w:r>
      <w:r w:rsidRPr="00FA2B9D">
        <w:rPr>
          <w:rFonts w:ascii="Arial" w:hAnsi="Arial"/>
          <w:b/>
          <w:vertAlign w:val="superscript"/>
          <w:lang w:val="pt-PT"/>
        </w:rPr>
        <w:t>1</w:t>
      </w:r>
      <w:r>
        <w:rPr>
          <w:rFonts w:ascii="Arial" w:hAnsi="Arial"/>
          <w:b/>
          <w:lang w:val="pt-PT"/>
        </w:rPr>
        <w:t>, Arnold Janson</w:t>
      </w:r>
      <w:r w:rsidRPr="00FA2B9D">
        <w:rPr>
          <w:rFonts w:ascii="Arial" w:hAnsi="Arial"/>
          <w:b/>
          <w:vertAlign w:val="superscript"/>
          <w:lang w:val="pt-PT"/>
        </w:rPr>
        <w:t>1</w:t>
      </w:r>
      <w:r>
        <w:rPr>
          <w:rFonts w:ascii="Arial" w:hAnsi="Arial"/>
          <w:b/>
          <w:lang w:val="pt-PT"/>
        </w:rPr>
        <w:t xml:space="preserve">, </w:t>
      </w:r>
    </w:p>
    <w:p w14:paraId="4A0A1B50" w14:textId="0B28E02C" w:rsidR="00490B4F" w:rsidRPr="004A5AA6" w:rsidRDefault="00490B4F" w:rsidP="00490B4F">
      <w:pPr>
        <w:spacing w:line="264" w:lineRule="auto"/>
        <w:jc w:val="center"/>
        <w:rPr>
          <w:rFonts w:ascii="Arial" w:hAnsi="Arial"/>
          <w:b/>
        </w:rPr>
      </w:pPr>
      <w:r w:rsidRPr="003D5856">
        <w:rPr>
          <w:rFonts w:ascii="Arial" w:hAnsi="Arial"/>
          <w:b/>
          <w:lang w:val="pt-PT"/>
        </w:rPr>
        <w:t>Mustafa S. Nasser</w:t>
      </w:r>
      <w:r>
        <w:rPr>
          <w:rFonts w:ascii="Arial" w:hAnsi="Arial"/>
          <w:b/>
          <w:vertAlign w:val="superscript"/>
          <w:lang w:val="pt-PT"/>
        </w:rPr>
        <w:t>2</w:t>
      </w:r>
      <w:r>
        <w:rPr>
          <w:rFonts w:ascii="Arial" w:hAnsi="Arial"/>
          <w:b/>
          <w:lang w:val="pt-PT"/>
        </w:rPr>
        <w:t>, Samer Adham</w:t>
      </w:r>
      <w:r w:rsidRPr="00FA2B9D">
        <w:rPr>
          <w:rFonts w:ascii="Arial" w:hAnsi="Arial"/>
          <w:b/>
          <w:vertAlign w:val="superscript"/>
          <w:lang w:val="pt-PT"/>
        </w:rPr>
        <w:t>1</w:t>
      </w:r>
      <w:r>
        <w:rPr>
          <w:rFonts w:ascii="Arial" w:hAnsi="Arial"/>
          <w:b/>
          <w:vertAlign w:val="superscript"/>
          <w:lang w:val="pt-PT"/>
        </w:rPr>
        <w:t>,3</w:t>
      </w:r>
      <w:r w:rsidR="00A746BE">
        <w:rPr>
          <w:rFonts w:ascii="Arial" w:hAnsi="Arial"/>
          <w:b/>
          <w:vertAlign w:val="superscript"/>
          <w:lang w:val="pt-PT"/>
        </w:rPr>
        <w:t>,*</w:t>
      </w:r>
    </w:p>
    <w:p w14:paraId="00C69AF7" w14:textId="77777777" w:rsidR="00490B4F" w:rsidRPr="004A5AA6" w:rsidRDefault="00490B4F" w:rsidP="00490B4F">
      <w:pPr>
        <w:spacing w:line="264" w:lineRule="auto"/>
        <w:jc w:val="center"/>
        <w:rPr>
          <w:rFonts w:ascii="Arial" w:hAnsi="Arial"/>
          <w:b/>
          <w:vertAlign w:val="superscript"/>
        </w:rPr>
      </w:pPr>
    </w:p>
    <w:p w14:paraId="5E33B378" w14:textId="77777777" w:rsidR="00490B4F" w:rsidRDefault="00490B4F" w:rsidP="00490B4F">
      <w:pPr>
        <w:spacing w:line="264" w:lineRule="auto"/>
        <w:jc w:val="center"/>
        <w:rPr>
          <w:rFonts w:ascii="Arial" w:hAnsi="Arial"/>
          <w:i/>
          <w:sz w:val="20"/>
        </w:rPr>
      </w:pPr>
      <w:r w:rsidRPr="00BC4BBC">
        <w:rPr>
          <w:rFonts w:ascii="Arial" w:hAnsi="Arial"/>
          <w:i/>
          <w:sz w:val="20"/>
          <w:vertAlign w:val="superscript"/>
        </w:rPr>
        <w:t>1</w:t>
      </w:r>
      <w:r w:rsidRPr="00BC4BBC">
        <w:rPr>
          <w:rFonts w:ascii="Arial" w:hAnsi="Arial"/>
          <w:i/>
          <w:sz w:val="20"/>
        </w:rPr>
        <w:t>ConocoPhillips Global Water Sustainability Centre, Qatar Science &amp; Technology Park, Doha, Qatar</w:t>
      </w:r>
    </w:p>
    <w:p w14:paraId="0078F637" w14:textId="77777777" w:rsidR="00490B4F" w:rsidRPr="00275BD4" w:rsidRDefault="00490B4F" w:rsidP="00490B4F">
      <w:pPr>
        <w:spacing w:line="264" w:lineRule="auto"/>
        <w:jc w:val="center"/>
        <w:rPr>
          <w:rFonts w:ascii="Arial" w:hAnsi="Arial"/>
          <w:i/>
          <w:sz w:val="20"/>
        </w:rPr>
      </w:pPr>
      <w:r w:rsidRPr="00FA2B9D">
        <w:rPr>
          <w:rFonts w:ascii="Arial" w:hAnsi="Arial"/>
          <w:i/>
          <w:sz w:val="20"/>
          <w:vertAlign w:val="superscript"/>
        </w:rPr>
        <w:t>2</w:t>
      </w:r>
      <w:r w:rsidRPr="00275BD4">
        <w:rPr>
          <w:rFonts w:ascii="Arial" w:hAnsi="Arial"/>
          <w:i/>
          <w:sz w:val="20"/>
        </w:rPr>
        <w:t>Gas Processing Centre, College of Engineering, Qatar University, Doha, Qatar</w:t>
      </w:r>
    </w:p>
    <w:p w14:paraId="3B8A3EF9" w14:textId="77777777" w:rsidR="00490B4F" w:rsidRPr="00BC4BBC" w:rsidRDefault="00490B4F" w:rsidP="00490B4F">
      <w:pPr>
        <w:spacing w:line="264" w:lineRule="auto"/>
        <w:jc w:val="center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  <w:vertAlign w:val="superscript"/>
        </w:rPr>
        <w:t>3</w:t>
      </w:r>
      <w:r>
        <w:rPr>
          <w:rFonts w:ascii="Arial" w:hAnsi="Arial"/>
          <w:i/>
          <w:sz w:val="20"/>
        </w:rPr>
        <w:t>Center of Advanced Materials, Qatar University, Doha, Qatar</w:t>
      </w:r>
    </w:p>
    <w:p w14:paraId="66471647" w14:textId="77777777" w:rsidR="00A746BE" w:rsidRDefault="00A746BE" w:rsidP="00A746BE">
      <w:pPr>
        <w:spacing w:line="264" w:lineRule="auto"/>
        <w:jc w:val="center"/>
        <w:rPr>
          <w:rFonts w:ascii="Arial" w:hAnsi="Arial"/>
          <w:i/>
          <w:sz w:val="20"/>
        </w:rPr>
      </w:pPr>
    </w:p>
    <w:p w14:paraId="289FD989" w14:textId="4A0DC482" w:rsidR="002B238F" w:rsidRDefault="002B238F" w:rsidP="002B238F">
      <w:pPr>
        <w:pStyle w:val="Heading2"/>
        <w:keepNext/>
        <w:keepLines/>
        <w:spacing w:before="200" w:beforeAutospacing="0" w:after="120" w:afterAutospacing="0" w:line="276" w:lineRule="auto"/>
        <w:ind w:left="576" w:hanging="576"/>
        <w:rPr>
          <w:rFonts w:ascii="Arial" w:eastAsiaTheme="majorEastAsia" w:hAnsi="Arial" w:cs="Arial"/>
          <w:sz w:val="24"/>
          <w:szCs w:val="26"/>
        </w:rPr>
      </w:pPr>
      <w:r w:rsidRPr="002B238F">
        <w:rPr>
          <w:rFonts w:ascii="Arial" w:eastAsiaTheme="majorEastAsia" w:hAnsi="Arial" w:cs="Arial"/>
          <w:sz w:val="24"/>
          <w:szCs w:val="26"/>
        </w:rPr>
        <w:t>Model graphical User Interface</w:t>
      </w:r>
    </w:p>
    <w:p w14:paraId="0D3898CE" w14:textId="2697B18F" w:rsidR="002B238F" w:rsidRDefault="002B238F" w:rsidP="001C690F">
      <w:pPr>
        <w:pStyle w:val="BodyText"/>
        <w:rPr>
          <w:rFonts w:ascii="Arial" w:hAnsi="Arial" w:cs="Arial"/>
          <w:sz w:val="24"/>
          <w:szCs w:val="24"/>
        </w:rPr>
      </w:pPr>
      <w:r w:rsidRPr="002B238F">
        <w:rPr>
          <w:rFonts w:ascii="Arial" w:hAnsi="Arial" w:cs="Arial"/>
          <w:sz w:val="24"/>
          <w:szCs w:val="24"/>
        </w:rPr>
        <w:t>Figure S1 showed</w:t>
      </w:r>
      <w:r>
        <w:rPr>
          <w:rFonts w:ascii="Arial" w:hAnsi="Arial" w:cs="Arial"/>
          <w:sz w:val="24"/>
          <w:szCs w:val="24"/>
        </w:rPr>
        <w:t xml:space="preserve"> the </w:t>
      </w:r>
      <w:r w:rsidR="001C690F">
        <w:rPr>
          <w:rFonts w:ascii="Arial" w:hAnsi="Arial" w:cs="Arial"/>
          <w:sz w:val="24"/>
          <w:szCs w:val="24"/>
        </w:rPr>
        <w:t xml:space="preserve">graphical </w:t>
      </w:r>
      <w:r>
        <w:rPr>
          <w:rFonts w:ascii="Arial" w:hAnsi="Arial" w:cs="Arial"/>
          <w:sz w:val="24"/>
          <w:szCs w:val="24"/>
        </w:rPr>
        <w:t xml:space="preserve">user interface for the </w:t>
      </w:r>
      <w:r w:rsidR="001C690F">
        <w:rPr>
          <w:rFonts w:ascii="Arial" w:hAnsi="Arial" w:cs="Arial"/>
          <w:sz w:val="24"/>
          <w:szCs w:val="24"/>
        </w:rPr>
        <w:t>model developed to assess the performance of full-scale modules.</w:t>
      </w:r>
      <w:r w:rsidR="00537F0B">
        <w:rPr>
          <w:rFonts w:ascii="Arial" w:hAnsi="Arial" w:cs="Arial"/>
          <w:sz w:val="24"/>
          <w:szCs w:val="24"/>
        </w:rPr>
        <w:t xml:space="preserve"> </w:t>
      </w:r>
    </w:p>
    <w:p w14:paraId="564105B6" w14:textId="77777777" w:rsidR="00DD6ECF" w:rsidRPr="002B238F" w:rsidRDefault="00DD6ECF" w:rsidP="002B238F">
      <w:pPr>
        <w:pStyle w:val="BodyText"/>
        <w:rPr>
          <w:sz w:val="24"/>
          <w:szCs w:val="24"/>
        </w:rPr>
      </w:pPr>
    </w:p>
    <w:p w14:paraId="16FE05F9" w14:textId="0AA8E292" w:rsidR="002B238F" w:rsidRPr="005F4008" w:rsidRDefault="00DD6ECF" w:rsidP="002B238F">
      <w:pPr>
        <w:pStyle w:val="BodyText"/>
        <w:spacing w:before="6"/>
        <w:rPr>
          <w:sz w:val="19"/>
        </w:rPr>
      </w:pPr>
      <w:r>
        <w:rPr>
          <w:noProof/>
          <w:lang w:bidi="ar-SA"/>
        </w:rPr>
        <w:drawing>
          <wp:inline distT="0" distB="0" distL="0" distR="0" wp14:anchorId="0C08BDBB" wp14:editId="48C8FC41">
            <wp:extent cx="5943600" cy="267843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7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37ED5C" w14:textId="423C7A0E" w:rsidR="002B238F" w:rsidRPr="004F2E89" w:rsidRDefault="002B238F" w:rsidP="002B238F">
      <w:pPr>
        <w:pStyle w:val="Caption"/>
        <w:jc w:val="center"/>
        <w:rPr>
          <w:rFonts w:eastAsia="Times New Roman" w:cstheme="minorHAnsi"/>
          <w:b w:val="0"/>
          <w:bCs w:val="0"/>
          <w:color w:val="auto"/>
          <w:sz w:val="32"/>
          <w:szCs w:val="32"/>
        </w:rPr>
      </w:pPr>
      <w:r w:rsidRPr="004F2E89">
        <w:rPr>
          <w:color w:val="auto"/>
        </w:rPr>
        <w:t>Figure S</w:t>
      </w:r>
      <w:r w:rsidR="00BD585A">
        <w:rPr>
          <w:color w:val="auto"/>
        </w:rPr>
        <w:t>1</w:t>
      </w:r>
      <w:r w:rsidRPr="004F2E89">
        <w:rPr>
          <w:color w:val="auto"/>
        </w:rPr>
        <w:t>:</w:t>
      </w:r>
      <w:r w:rsidRPr="004F2E89">
        <w:rPr>
          <w:b w:val="0"/>
          <w:bCs w:val="0"/>
          <w:color w:val="auto"/>
        </w:rPr>
        <w:t xml:space="preserve"> Model – Graphical User Interface</w:t>
      </w:r>
    </w:p>
    <w:p w14:paraId="4B186335" w14:textId="77777777" w:rsidR="002B238F" w:rsidRDefault="002B238F" w:rsidP="005F443C">
      <w:pPr>
        <w:pStyle w:val="Heading2"/>
        <w:keepNext/>
        <w:keepLines/>
        <w:spacing w:before="200" w:beforeAutospacing="0" w:after="120" w:afterAutospacing="0" w:line="276" w:lineRule="auto"/>
        <w:ind w:left="576" w:hanging="576"/>
        <w:rPr>
          <w:rFonts w:ascii="Arial" w:eastAsiaTheme="majorEastAsia" w:hAnsi="Arial" w:cs="Arial"/>
          <w:sz w:val="24"/>
          <w:szCs w:val="26"/>
        </w:rPr>
      </w:pPr>
    </w:p>
    <w:p w14:paraId="31333511" w14:textId="01A2B5F5" w:rsidR="00A14FEE" w:rsidRPr="005F443C" w:rsidRDefault="00427EA0" w:rsidP="005F443C">
      <w:pPr>
        <w:pStyle w:val="Heading2"/>
        <w:keepNext/>
        <w:keepLines/>
        <w:spacing w:before="200" w:beforeAutospacing="0" w:after="120" w:afterAutospacing="0" w:line="276" w:lineRule="auto"/>
        <w:ind w:left="576" w:hanging="576"/>
        <w:rPr>
          <w:rFonts w:ascii="Arial" w:eastAsiaTheme="majorEastAsia" w:hAnsi="Arial" w:cs="Arial"/>
          <w:sz w:val="24"/>
          <w:szCs w:val="26"/>
        </w:rPr>
      </w:pPr>
      <w:r w:rsidRPr="005F443C">
        <w:rPr>
          <w:rFonts w:ascii="Arial" w:eastAsiaTheme="majorEastAsia" w:hAnsi="Arial" w:cs="Arial"/>
          <w:sz w:val="24"/>
          <w:szCs w:val="26"/>
        </w:rPr>
        <w:t xml:space="preserve">Model Profile - </w:t>
      </w:r>
      <w:r w:rsidR="00A14FEE" w:rsidRPr="005F443C">
        <w:rPr>
          <w:rFonts w:ascii="Arial" w:eastAsiaTheme="majorEastAsia" w:hAnsi="Arial" w:cs="Arial"/>
          <w:sz w:val="24"/>
          <w:szCs w:val="26"/>
        </w:rPr>
        <w:t>Feed limited</w:t>
      </w:r>
      <w:r w:rsidR="00135293" w:rsidRPr="005F443C">
        <w:rPr>
          <w:rFonts w:ascii="Arial" w:eastAsiaTheme="majorEastAsia" w:hAnsi="Arial" w:cs="Arial"/>
          <w:sz w:val="24"/>
          <w:szCs w:val="26"/>
        </w:rPr>
        <w:t xml:space="preserve"> conditions</w:t>
      </w:r>
    </w:p>
    <w:p w14:paraId="148787EC" w14:textId="193908C2" w:rsidR="00A14FEE" w:rsidRDefault="00A14FEE" w:rsidP="00A14FEE">
      <w:pPr>
        <w:rPr>
          <w:rFonts w:ascii="Arial" w:hAnsi="Arial" w:cs="Arial"/>
        </w:rPr>
      </w:pPr>
      <w:r w:rsidRPr="0082692F">
        <w:rPr>
          <w:rFonts w:ascii="Arial" w:hAnsi="Arial" w:cs="Arial"/>
        </w:rPr>
        <w:t xml:space="preserve">Figure </w:t>
      </w:r>
      <w:r w:rsidR="00545648">
        <w:rPr>
          <w:rFonts w:ascii="Arial" w:hAnsi="Arial" w:cs="Arial"/>
        </w:rPr>
        <w:t>S</w:t>
      </w:r>
      <w:r w:rsidR="00CC000B">
        <w:rPr>
          <w:rFonts w:ascii="Arial" w:hAnsi="Arial" w:cs="Arial"/>
        </w:rPr>
        <w:t>2</w:t>
      </w:r>
      <w:r w:rsidRPr="0082692F">
        <w:rPr>
          <w:rFonts w:ascii="Arial" w:hAnsi="Arial" w:cs="Arial"/>
        </w:rPr>
        <w:t xml:space="preserve"> show</w:t>
      </w:r>
      <w:r>
        <w:rPr>
          <w:rFonts w:ascii="Arial" w:hAnsi="Arial" w:cs="Arial"/>
        </w:rPr>
        <w:t>ed</w:t>
      </w:r>
      <w:r w:rsidRPr="0082692F">
        <w:rPr>
          <w:rFonts w:ascii="Arial" w:hAnsi="Arial" w:cs="Arial"/>
        </w:rPr>
        <w:t xml:space="preserve"> an example when the process is feed limited and the </w:t>
      </w:r>
      <w:r w:rsidR="00C11E4E">
        <w:rPr>
          <w:rFonts w:ascii="Arial" w:hAnsi="Arial" w:cs="Arial"/>
        </w:rPr>
        <w:t>draw</w:t>
      </w:r>
      <w:r w:rsidRPr="0082692F">
        <w:rPr>
          <w:rFonts w:ascii="Arial" w:hAnsi="Arial" w:cs="Arial"/>
        </w:rPr>
        <w:t xml:space="preserve"> and </w:t>
      </w:r>
      <w:r w:rsidR="00C11E4E">
        <w:rPr>
          <w:rFonts w:ascii="Arial" w:hAnsi="Arial" w:cs="Arial"/>
        </w:rPr>
        <w:t>feed solutions</w:t>
      </w:r>
      <w:r>
        <w:rPr>
          <w:rFonts w:ascii="Arial" w:hAnsi="Arial" w:cs="Arial"/>
        </w:rPr>
        <w:t xml:space="preserve"> reached the same concentration</w:t>
      </w:r>
      <w:r w:rsidRPr="0082692F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In counter-current mode typically the concentration gradient increases as the solutions travelled through the module until it reaches a critical point or inflection point and it starts to decrease reaching zero, which it is the point that the two solutions have similar concentrations (as seen in Figures </w:t>
      </w:r>
      <w:r w:rsidR="00545648">
        <w:rPr>
          <w:rFonts w:ascii="Arial" w:hAnsi="Arial" w:cs="Arial"/>
        </w:rPr>
        <w:t>S</w:t>
      </w:r>
      <w:r w:rsidR="00CC000B">
        <w:rPr>
          <w:rFonts w:ascii="Arial" w:hAnsi="Arial" w:cs="Arial"/>
        </w:rPr>
        <w:t>2</w:t>
      </w:r>
      <w:r w:rsidR="00545648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and Figure S</w:t>
      </w:r>
      <w:r w:rsidR="00CC000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A); when that happen the process is considered being feed limited; increasing the feed flowrate will increase the driving force and hence the flux. In co-current mode, the decline of the driving force is more gradual with the maximum driving force achieved at the inlet of the module (Figures </w:t>
      </w:r>
      <w:r w:rsidR="00545648">
        <w:rPr>
          <w:rFonts w:ascii="Arial" w:hAnsi="Arial" w:cs="Arial"/>
        </w:rPr>
        <w:t>S</w:t>
      </w:r>
      <w:r w:rsidR="00A66590">
        <w:rPr>
          <w:rFonts w:ascii="Arial" w:hAnsi="Arial" w:cs="Arial"/>
        </w:rPr>
        <w:t>2</w:t>
      </w:r>
      <w:r>
        <w:rPr>
          <w:rFonts w:ascii="Arial" w:hAnsi="Arial" w:cs="Arial"/>
        </w:rPr>
        <w:t>B and Figure S</w:t>
      </w:r>
      <w:r w:rsidR="00A66590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B). This mode </w:t>
      </w:r>
      <w:r>
        <w:rPr>
          <w:rFonts w:ascii="Arial" w:hAnsi="Arial" w:cs="Arial"/>
        </w:rPr>
        <w:lastRenderedPageBreak/>
        <w:t>allows less recovery of the feed solution and hence less dilution of the draw. In general, counter current operation is more efficient for minimum liquid discharged; however, there may be applications where co-current operation may be desired, e</w:t>
      </w:r>
      <w:r w:rsidRPr="0082692F">
        <w:rPr>
          <w:rFonts w:ascii="Arial" w:hAnsi="Arial" w:cs="Arial"/>
        </w:rPr>
        <w:t xml:space="preserve">specially with high scaling and fouling streams since </w:t>
      </w:r>
      <w:r>
        <w:rPr>
          <w:rFonts w:ascii="Arial" w:hAnsi="Arial" w:cs="Arial"/>
        </w:rPr>
        <w:t>it</w:t>
      </w:r>
      <w:r w:rsidRPr="0082692F">
        <w:rPr>
          <w:rFonts w:ascii="Arial" w:hAnsi="Arial" w:cs="Arial"/>
        </w:rPr>
        <w:t xml:space="preserve"> minimize</w:t>
      </w:r>
      <w:r>
        <w:rPr>
          <w:rFonts w:ascii="Arial" w:hAnsi="Arial" w:cs="Arial"/>
        </w:rPr>
        <w:t>s</w:t>
      </w:r>
      <w:r w:rsidRPr="0082692F">
        <w:rPr>
          <w:rFonts w:ascii="Arial" w:hAnsi="Arial" w:cs="Arial"/>
        </w:rPr>
        <w:t xml:space="preserve"> the concentration factor. </w:t>
      </w:r>
      <w:r>
        <w:rPr>
          <w:rFonts w:ascii="Arial" w:hAnsi="Arial" w:cs="Arial"/>
        </w:rPr>
        <w:t>At the conditions shown in Figure</w:t>
      </w:r>
      <w:r w:rsidR="00A6659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</w:t>
      </w:r>
      <w:r w:rsidR="00545648">
        <w:rPr>
          <w:rFonts w:ascii="Arial" w:hAnsi="Arial" w:cs="Arial"/>
        </w:rPr>
        <w:t>S</w:t>
      </w:r>
      <w:r w:rsidR="00A66590">
        <w:rPr>
          <w:rFonts w:ascii="Arial" w:hAnsi="Arial" w:cs="Arial"/>
        </w:rPr>
        <w:t>2 and S3</w:t>
      </w:r>
      <w:r>
        <w:rPr>
          <w:rFonts w:ascii="Arial" w:hAnsi="Arial" w:cs="Arial"/>
        </w:rPr>
        <w:t>, a feed recovery of 94% was achieved in counter-current while a recovery of 84% was achieved, under the same operating conditions in co-current mode.</w:t>
      </w:r>
    </w:p>
    <w:p w14:paraId="2E762BCC" w14:textId="77777777" w:rsidR="00A14FEE" w:rsidRDefault="00A14FEE" w:rsidP="00A14FEE">
      <w:pPr>
        <w:rPr>
          <w:rFonts w:ascii="Arial" w:hAnsi="Arial" w:cs="Arial"/>
        </w:rPr>
      </w:pPr>
    </w:p>
    <w:p w14:paraId="067AFA65" w14:textId="77777777" w:rsidR="00A14FEE" w:rsidRDefault="00A14FEE" w:rsidP="00A14FEE">
      <w:pPr>
        <w:jc w:val="center"/>
        <w:rPr>
          <w:rFonts w:ascii="Arial" w:hAnsi="Arial" w:cs="Arial"/>
        </w:rPr>
      </w:pPr>
      <w:r w:rsidRPr="00944D25">
        <w:rPr>
          <w:noProof/>
        </w:rPr>
        <w:drawing>
          <wp:inline distT="0" distB="0" distL="0" distR="0" wp14:anchorId="7B0922D4" wp14:editId="288A0D89">
            <wp:extent cx="4470198" cy="5899833"/>
            <wp:effectExtent l="0" t="0" r="6985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2765" cy="59032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49A88" w14:textId="62ADC467" w:rsidR="00A14FEE" w:rsidRDefault="00A14FEE" w:rsidP="00A14FEE">
      <w:pPr>
        <w:pStyle w:val="Caption"/>
        <w:jc w:val="center"/>
        <w:rPr>
          <w:b w:val="0"/>
          <w:bCs w:val="0"/>
          <w:color w:val="auto"/>
        </w:rPr>
      </w:pPr>
      <w:r w:rsidRPr="00420196">
        <w:rPr>
          <w:color w:val="auto"/>
        </w:rPr>
        <w:t xml:space="preserve">Figure </w:t>
      </w:r>
      <w:r w:rsidR="003D1021">
        <w:rPr>
          <w:color w:val="auto"/>
        </w:rPr>
        <w:t>S</w:t>
      </w:r>
      <w:r w:rsidR="00CC000B">
        <w:rPr>
          <w:color w:val="auto"/>
        </w:rPr>
        <w:t>2</w:t>
      </w:r>
      <w:r w:rsidRPr="00420196">
        <w:rPr>
          <w:color w:val="auto"/>
        </w:rPr>
        <w:t>:</w:t>
      </w:r>
      <w:r w:rsidRPr="004227D5">
        <w:rPr>
          <w:b w:val="0"/>
          <w:bCs w:val="0"/>
          <w:color w:val="auto"/>
        </w:rPr>
        <w:t xml:space="preserve"> Module 1 performance under limited feed flow</w:t>
      </w:r>
      <w:r>
        <w:rPr>
          <w:b w:val="0"/>
          <w:bCs w:val="0"/>
          <w:color w:val="auto"/>
        </w:rPr>
        <w:t xml:space="preserve">. </w:t>
      </w:r>
      <w:r w:rsidRPr="004227D5">
        <w:rPr>
          <w:b w:val="0"/>
          <w:bCs w:val="0"/>
          <w:color w:val="auto"/>
        </w:rPr>
        <w:t>A)</w:t>
      </w:r>
      <w:r>
        <w:rPr>
          <w:b w:val="0"/>
          <w:bCs w:val="0"/>
          <w:color w:val="auto"/>
        </w:rPr>
        <w:t xml:space="preserve"> Driving force vs water flux – counter-current mode - Feed </w:t>
      </w:r>
      <w:r w:rsidR="000B3F84">
        <w:rPr>
          <w:b w:val="0"/>
          <w:bCs w:val="0"/>
          <w:color w:val="auto"/>
        </w:rPr>
        <w:t xml:space="preserve">concentration </w:t>
      </w:r>
      <w:r w:rsidR="00420C20">
        <w:rPr>
          <w:b w:val="0"/>
          <w:bCs w:val="0"/>
          <w:color w:val="auto"/>
        </w:rPr>
        <w:t>factor: 16.6x</w:t>
      </w:r>
      <w:r w:rsidRPr="004227D5">
        <w:rPr>
          <w:b w:val="0"/>
          <w:bCs w:val="0"/>
          <w:color w:val="auto"/>
        </w:rPr>
        <w:t>;</w:t>
      </w:r>
      <w:r>
        <w:rPr>
          <w:b w:val="0"/>
          <w:bCs w:val="0"/>
          <w:color w:val="auto"/>
        </w:rPr>
        <w:t xml:space="preserve"> B) Driving force vs water flux – </w:t>
      </w:r>
      <w:r w:rsidRPr="004227D5">
        <w:rPr>
          <w:b w:val="0"/>
          <w:bCs w:val="0"/>
          <w:color w:val="auto"/>
        </w:rPr>
        <w:t>Co-Current mode</w:t>
      </w:r>
      <w:r>
        <w:rPr>
          <w:b w:val="0"/>
          <w:bCs w:val="0"/>
          <w:color w:val="auto"/>
        </w:rPr>
        <w:t xml:space="preserve"> – Feed </w:t>
      </w:r>
      <w:r w:rsidR="00420C20">
        <w:rPr>
          <w:b w:val="0"/>
          <w:bCs w:val="0"/>
          <w:color w:val="auto"/>
        </w:rPr>
        <w:t xml:space="preserve">concentration factor: </w:t>
      </w:r>
      <w:r w:rsidR="00D75ABE">
        <w:rPr>
          <w:b w:val="0"/>
          <w:bCs w:val="0"/>
          <w:color w:val="auto"/>
        </w:rPr>
        <w:t>6.25x.</w:t>
      </w:r>
    </w:p>
    <w:p w14:paraId="61C839C8" w14:textId="77777777" w:rsidR="002D6F3D" w:rsidRPr="00BD36AF" w:rsidRDefault="002D6F3D" w:rsidP="002D6F3D">
      <w:pPr>
        <w:jc w:val="center"/>
      </w:pPr>
      <w:r w:rsidRPr="00BD36AF">
        <w:rPr>
          <w:noProof/>
        </w:rPr>
        <w:lastRenderedPageBreak/>
        <w:drawing>
          <wp:inline distT="0" distB="0" distL="0" distR="0" wp14:anchorId="741E2510" wp14:editId="4380DECF">
            <wp:extent cx="5065568" cy="6686550"/>
            <wp:effectExtent l="0" t="0" r="1905" b="0"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6074" cy="6687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D8758" w14:textId="03480918" w:rsidR="002D6F3D" w:rsidRDefault="002D6F3D" w:rsidP="002D6F3D">
      <w:pPr>
        <w:pStyle w:val="Caption"/>
        <w:jc w:val="center"/>
        <w:rPr>
          <w:b w:val="0"/>
          <w:bCs w:val="0"/>
          <w:color w:val="auto"/>
        </w:rPr>
      </w:pPr>
      <w:r w:rsidRPr="00781C01">
        <w:rPr>
          <w:color w:val="auto"/>
        </w:rPr>
        <w:t>Figure S</w:t>
      </w:r>
      <w:r w:rsidR="00580746">
        <w:rPr>
          <w:color w:val="auto"/>
        </w:rPr>
        <w:t>3</w:t>
      </w:r>
      <w:r w:rsidRPr="00781C01">
        <w:rPr>
          <w:color w:val="auto"/>
        </w:rPr>
        <w:t>:</w:t>
      </w:r>
      <w:r w:rsidRPr="00781C01">
        <w:rPr>
          <w:b w:val="0"/>
          <w:bCs w:val="0"/>
          <w:color w:val="auto"/>
        </w:rPr>
        <w:t xml:space="preserve"> </w:t>
      </w:r>
      <w:r>
        <w:rPr>
          <w:b w:val="0"/>
          <w:bCs w:val="0"/>
          <w:color w:val="auto"/>
        </w:rPr>
        <w:t xml:space="preserve">Module 1: Feed limited performance: A) Counter-current - </w:t>
      </w:r>
      <w:r w:rsidR="00D75ABE">
        <w:rPr>
          <w:b w:val="0"/>
          <w:bCs w:val="0"/>
          <w:color w:val="auto"/>
        </w:rPr>
        <w:t xml:space="preserve">Feed concentration factor: </w:t>
      </w:r>
      <w:r w:rsidR="00771A1B">
        <w:rPr>
          <w:b w:val="0"/>
          <w:bCs w:val="0"/>
          <w:color w:val="auto"/>
        </w:rPr>
        <w:t>16.6</w:t>
      </w:r>
      <w:r w:rsidR="00D75ABE">
        <w:rPr>
          <w:b w:val="0"/>
          <w:bCs w:val="0"/>
          <w:color w:val="auto"/>
        </w:rPr>
        <w:t>x</w:t>
      </w:r>
      <w:r w:rsidR="00771A1B">
        <w:rPr>
          <w:b w:val="0"/>
          <w:bCs w:val="0"/>
          <w:color w:val="auto"/>
        </w:rPr>
        <w:t xml:space="preserve">; </w:t>
      </w:r>
      <w:r>
        <w:rPr>
          <w:b w:val="0"/>
          <w:bCs w:val="0"/>
          <w:color w:val="auto"/>
        </w:rPr>
        <w:t xml:space="preserve">B) Co-current - Feed </w:t>
      </w:r>
      <w:r w:rsidR="00771A1B">
        <w:rPr>
          <w:b w:val="0"/>
          <w:bCs w:val="0"/>
          <w:color w:val="auto"/>
        </w:rPr>
        <w:t>concentration factor: 6.25x.</w:t>
      </w:r>
    </w:p>
    <w:p w14:paraId="1B7E9288" w14:textId="41F078C0" w:rsidR="002D6F3D" w:rsidRDefault="002D6F3D" w:rsidP="007B4FC5">
      <w:pPr>
        <w:pStyle w:val="Heading2"/>
        <w:rPr>
          <w:rFonts w:asciiTheme="minorHAnsi" w:eastAsia="Times New Roman" w:hAnsiTheme="minorHAnsi" w:cstheme="minorHAnsi"/>
          <w:sz w:val="32"/>
          <w:szCs w:val="32"/>
        </w:rPr>
      </w:pPr>
    </w:p>
    <w:p w14:paraId="41553784" w14:textId="7D3F8DA7" w:rsidR="002D6F3D" w:rsidRDefault="002D6F3D" w:rsidP="007B4FC5">
      <w:pPr>
        <w:pStyle w:val="Heading2"/>
        <w:rPr>
          <w:rFonts w:asciiTheme="minorHAnsi" w:eastAsia="Times New Roman" w:hAnsiTheme="minorHAnsi" w:cstheme="minorHAnsi"/>
          <w:sz w:val="32"/>
          <w:szCs w:val="32"/>
        </w:rPr>
      </w:pPr>
    </w:p>
    <w:p w14:paraId="0A2A438C" w14:textId="7EF6FA54" w:rsidR="002D6F3D" w:rsidRDefault="00445DB7" w:rsidP="00445DB7">
      <w:pPr>
        <w:pStyle w:val="Heading2"/>
        <w:keepNext/>
        <w:keepLines/>
        <w:spacing w:before="200" w:beforeAutospacing="0" w:after="120" w:afterAutospacing="0" w:line="276" w:lineRule="auto"/>
        <w:ind w:left="576" w:hanging="576"/>
        <w:rPr>
          <w:rFonts w:ascii="Arial" w:eastAsiaTheme="majorEastAsia" w:hAnsi="Arial" w:cs="Arial"/>
          <w:sz w:val="24"/>
          <w:szCs w:val="26"/>
        </w:rPr>
      </w:pPr>
      <w:r w:rsidRPr="00445DB7">
        <w:rPr>
          <w:rFonts w:ascii="Arial" w:eastAsiaTheme="majorEastAsia" w:hAnsi="Arial" w:cs="Arial"/>
          <w:sz w:val="24"/>
          <w:szCs w:val="26"/>
        </w:rPr>
        <w:lastRenderedPageBreak/>
        <w:t>Model Profile</w:t>
      </w:r>
      <w:r w:rsidR="00580746">
        <w:rPr>
          <w:rFonts w:ascii="Arial" w:eastAsiaTheme="majorEastAsia" w:hAnsi="Arial" w:cs="Arial"/>
          <w:sz w:val="24"/>
          <w:szCs w:val="26"/>
        </w:rPr>
        <w:t xml:space="preserve"> – Comparison at </w:t>
      </w:r>
      <w:r w:rsidR="00D12195">
        <w:rPr>
          <w:rFonts w:ascii="Arial" w:eastAsiaTheme="majorEastAsia" w:hAnsi="Arial" w:cs="Arial"/>
          <w:sz w:val="24"/>
          <w:szCs w:val="26"/>
        </w:rPr>
        <w:t>a feed concentration factor of 4X</w:t>
      </w:r>
    </w:p>
    <w:p w14:paraId="4EFC2E7A" w14:textId="7B79CB44" w:rsidR="00580746" w:rsidRPr="00445DB7" w:rsidRDefault="00580746" w:rsidP="00580746">
      <w:pPr>
        <w:pStyle w:val="BodyText"/>
      </w:pPr>
      <w:r>
        <w:t xml:space="preserve">Figure S4 showed the </w:t>
      </w:r>
      <w:r w:rsidR="009302C0">
        <w:t xml:space="preserve">performance profile </w:t>
      </w:r>
      <w:r w:rsidR="002303BE">
        <w:t>for Module 1 and Module 2 at 75%</w:t>
      </w:r>
      <w:r w:rsidR="002C1E32">
        <w:t xml:space="preserve"> feed recovery</w:t>
      </w:r>
      <w:r w:rsidR="00F448D9">
        <w:t xml:space="preserve"> under similar conditions</w:t>
      </w:r>
    </w:p>
    <w:p w14:paraId="5B6878E6" w14:textId="2F60E281" w:rsidR="005B2136" w:rsidRDefault="00781C01" w:rsidP="005B2136">
      <w:pPr>
        <w:pStyle w:val="Heading2"/>
        <w:keepNext/>
        <w:jc w:val="center"/>
      </w:pPr>
      <w:r w:rsidRPr="00781C01">
        <w:rPr>
          <w:noProof/>
        </w:rPr>
        <w:drawing>
          <wp:inline distT="0" distB="0" distL="0" distR="0" wp14:anchorId="57BE6E2D" wp14:editId="73D0E151">
            <wp:extent cx="4448175" cy="5934075"/>
            <wp:effectExtent l="0" t="0" r="9525" b="9525"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593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4E119" w14:textId="30F59DCF" w:rsidR="006E3825" w:rsidRDefault="005B2136" w:rsidP="00580746">
      <w:pPr>
        <w:pStyle w:val="Caption"/>
        <w:jc w:val="center"/>
        <w:rPr>
          <w:rFonts w:eastAsia="Times New Roman" w:cstheme="minorHAnsi"/>
          <w:sz w:val="32"/>
          <w:szCs w:val="32"/>
        </w:rPr>
      </w:pPr>
      <w:r w:rsidRPr="00781C01">
        <w:rPr>
          <w:color w:val="auto"/>
        </w:rPr>
        <w:t>Figure S</w:t>
      </w:r>
      <w:r w:rsidR="00580746">
        <w:rPr>
          <w:color w:val="auto"/>
        </w:rPr>
        <w:t>4</w:t>
      </w:r>
      <w:r w:rsidRPr="00781C01">
        <w:rPr>
          <w:color w:val="auto"/>
        </w:rPr>
        <w:t>:</w:t>
      </w:r>
      <w:r w:rsidRPr="00781C01">
        <w:rPr>
          <w:b w:val="0"/>
          <w:bCs w:val="0"/>
          <w:color w:val="auto"/>
        </w:rPr>
        <w:t xml:space="preserve"> </w:t>
      </w:r>
      <w:r w:rsidR="00F45F36" w:rsidRPr="00781C01">
        <w:rPr>
          <w:b w:val="0"/>
          <w:bCs w:val="0"/>
          <w:color w:val="auto"/>
        </w:rPr>
        <w:t>Model performance profile</w:t>
      </w:r>
      <w:r w:rsidR="00445DB7">
        <w:rPr>
          <w:b w:val="0"/>
          <w:bCs w:val="0"/>
          <w:color w:val="auto"/>
        </w:rPr>
        <w:t xml:space="preserve"> at </w:t>
      </w:r>
      <w:r w:rsidR="00BE1027">
        <w:rPr>
          <w:b w:val="0"/>
          <w:bCs w:val="0"/>
          <w:color w:val="auto"/>
        </w:rPr>
        <w:t>a 4X feed concentration factor</w:t>
      </w:r>
      <w:r w:rsidR="00F45F36" w:rsidRPr="00781C01">
        <w:rPr>
          <w:b w:val="0"/>
          <w:bCs w:val="0"/>
          <w:color w:val="auto"/>
        </w:rPr>
        <w:t>. A) Module 1; B) Module 2</w:t>
      </w:r>
      <w:r w:rsidR="00BE1027">
        <w:rPr>
          <w:b w:val="0"/>
          <w:bCs w:val="0"/>
          <w:color w:val="auto"/>
        </w:rPr>
        <w:t>.</w:t>
      </w:r>
    </w:p>
    <w:p w14:paraId="60388E05" w14:textId="77777777" w:rsidR="00C7038A" w:rsidRDefault="00C7038A" w:rsidP="005F4008">
      <w:pPr>
        <w:pStyle w:val="BodyText"/>
        <w:spacing w:before="6"/>
        <w:rPr>
          <w:sz w:val="19"/>
        </w:rPr>
      </w:pPr>
    </w:p>
    <w:sectPr w:rsidR="00C7038A" w:rsidSect="004A4B2C"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185002" w14:textId="77777777" w:rsidR="00E75186" w:rsidRDefault="00E75186" w:rsidP="00BC3F46">
      <w:r>
        <w:separator/>
      </w:r>
    </w:p>
  </w:endnote>
  <w:endnote w:type="continuationSeparator" w:id="0">
    <w:p w14:paraId="2121BC75" w14:textId="77777777" w:rsidR="00E75186" w:rsidRDefault="00E75186" w:rsidP="00BC3F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7498D5" w14:textId="77777777" w:rsidR="002143B8" w:rsidRDefault="002143B8" w:rsidP="004A4B2C">
    <w:pPr>
      <w:spacing w:line="264" w:lineRule="auto"/>
      <w:rPr>
        <w:rFonts w:ascii="Arial" w:hAnsi="Arial"/>
        <w:i/>
        <w:sz w:val="18"/>
        <w:szCs w:val="22"/>
      </w:rPr>
    </w:pPr>
  </w:p>
  <w:p w14:paraId="6CB25860" w14:textId="24F6B8FE" w:rsidR="004A4B2C" w:rsidRPr="004A4B2C" w:rsidRDefault="004A4B2C" w:rsidP="004A4B2C">
    <w:pPr>
      <w:spacing w:line="264" w:lineRule="auto"/>
      <w:rPr>
        <w:rFonts w:ascii="Arial" w:hAnsi="Arial"/>
        <w:i/>
        <w:sz w:val="18"/>
        <w:szCs w:val="22"/>
      </w:rPr>
    </w:pPr>
    <w:r w:rsidRPr="004A4B2C">
      <w:rPr>
        <w:rFonts w:ascii="Arial" w:hAnsi="Arial"/>
        <w:i/>
        <w:sz w:val="18"/>
        <w:szCs w:val="22"/>
      </w:rPr>
      <w:t xml:space="preserve">*Corresponding </w:t>
    </w:r>
    <w:r w:rsidR="003C588F">
      <w:rPr>
        <w:rFonts w:ascii="Arial" w:hAnsi="Arial"/>
        <w:i/>
        <w:sz w:val="18"/>
        <w:szCs w:val="22"/>
      </w:rPr>
      <w:t>a</w:t>
    </w:r>
    <w:r w:rsidRPr="004A4B2C">
      <w:rPr>
        <w:rFonts w:ascii="Arial" w:hAnsi="Arial"/>
        <w:i/>
        <w:sz w:val="18"/>
        <w:szCs w:val="22"/>
      </w:rPr>
      <w:t>uthors</w:t>
    </w:r>
  </w:p>
  <w:p w14:paraId="10F54520" w14:textId="77777777" w:rsidR="004A4B2C" w:rsidRPr="004A4B2C" w:rsidRDefault="004A4B2C" w:rsidP="004A4B2C">
    <w:pPr>
      <w:spacing w:line="264" w:lineRule="auto"/>
      <w:rPr>
        <w:rFonts w:ascii="Arial" w:hAnsi="Arial"/>
        <w:i/>
        <w:sz w:val="18"/>
        <w:szCs w:val="22"/>
      </w:rPr>
    </w:pPr>
    <w:r w:rsidRPr="004A4B2C">
      <w:rPr>
        <w:rFonts w:ascii="Arial" w:hAnsi="Arial"/>
        <w:i/>
        <w:sz w:val="18"/>
        <w:szCs w:val="22"/>
      </w:rPr>
      <w:t xml:space="preserve">Email addresses: </w:t>
    </w:r>
    <w:hyperlink r:id="rId1" w:history="1">
      <w:r w:rsidRPr="004A4B2C">
        <w:rPr>
          <w:rStyle w:val="Hyperlink"/>
          <w:rFonts w:ascii="Arial" w:hAnsi="Arial"/>
          <w:i/>
          <w:sz w:val="18"/>
          <w:szCs w:val="22"/>
        </w:rPr>
        <w:t>Joel.e.miniermatar@conocophillips.com</w:t>
      </w:r>
    </w:hyperlink>
    <w:r w:rsidRPr="004A4B2C">
      <w:rPr>
        <w:rFonts w:ascii="Arial" w:hAnsi="Arial"/>
        <w:i/>
        <w:sz w:val="18"/>
        <w:szCs w:val="22"/>
      </w:rPr>
      <w:t xml:space="preserve"> (J. Minier-Matar) </w:t>
    </w:r>
    <w:hyperlink r:id="rId2" w:history="1">
      <w:r w:rsidRPr="004A4B2C">
        <w:rPr>
          <w:rStyle w:val="Hyperlink"/>
          <w:rFonts w:ascii="Arial" w:hAnsi="Arial"/>
          <w:i/>
          <w:sz w:val="18"/>
          <w:szCs w:val="22"/>
        </w:rPr>
        <w:t>sadham@qu.edu.qa</w:t>
      </w:r>
    </w:hyperlink>
    <w:r w:rsidRPr="004A4B2C">
      <w:rPr>
        <w:rFonts w:ascii="Arial" w:hAnsi="Arial"/>
        <w:i/>
        <w:sz w:val="18"/>
        <w:szCs w:val="22"/>
      </w:rPr>
      <w:t xml:space="preserve"> (S. Adham)</w:t>
    </w:r>
  </w:p>
  <w:p w14:paraId="65F5144B" w14:textId="77777777" w:rsidR="004A4B2C" w:rsidRDefault="004A4B2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7209C1" w14:textId="77777777" w:rsidR="00E75186" w:rsidRDefault="00E75186" w:rsidP="00BC3F46">
      <w:r>
        <w:separator/>
      </w:r>
    </w:p>
  </w:footnote>
  <w:footnote w:type="continuationSeparator" w:id="0">
    <w:p w14:paraId="0933DD00" w14:textId="77777777" w:rsidR="00E75186" w:rsidRDefault="00E75186" w:rsidP="00BC3F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markup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F9D"/>
    <w:rsid w:val="000015B7"/>
    <w:rsid w:val="00007E39"/>
    <w:rsid w:val="00011DBF"/>
    <w:rsid w:val="00075622"/>
    <w:rsid w:val="000B3F84"/>
    <w:rsid w:val="000E7F70"/>
    <w:rsid w:val="000F5A08"/>
    <w:rsid w:val="00102D82"/>
    <w:rsid w:val="00135293"/>
    <w:rsid w:val="001665CA"/>
    <w:rsid w:val="001C0E77"/>
    <w:rsid w:val="001C690F"/>
    <w:rsid w:val="002143B8"/>
    <w:rsid w:val="002303BE"/>
    <w:rsid w:val="00293A88"/>
    <w:rsid w:val="002B238F"/>
    <w:rsid w:val="002C1E32"/>
    <w:rsid w:val="002D6F3D"/>
    <w:rsid w:val="00333E36"/>
    <w:rsid w:val="00397432"/>
    <w:rsid w:val="003C588F"/>
    <w:rsid w:val="003D1021"/>
    <w:rsid w:val="004105B6"/>
    <w:rsid w:val="00420C20"/>
    <w:rsid w:val="00427EA0"/>
    <w:rsid w:val="0043045F"/>
    <w:rsid w:val="00445DB7"/>
    <w:rsid w:val="00484381"/>
    <w:rsid w:val="00490B4F"/>
    <w:rsid w:val="004A4B2C"/>
    <w:rsid w:val="004C35F2"/>
    <w:rsid w:val="004C44B5"/>
    <w:rsid w:val="004C685D"/>
    <w:rsid w:val="004F2E89"/>
    <w:rsid w:val="00513B46"/>
    <w:rsid w:val="00537F0B"/>
    <w:rsid w:val="00545648"/>
    <w:rsid w:val="005559DD"/>
    <w:rsid w:val="00567E45"/>
    <w:rsid w:val="00580746"/>
    <w:rsid w:val="005B2136"/>
    <w:rsid w:val="005B74B3"/>
    <w:rsid w:val="005F4008"/>
    <w:rsid w:val="005F443C"/>
    <w:rsid w:val="006634E8"/>
    <w:rsid w:val="006C759F"/>
    <w:rsid w:val="006E3825"/>
    <w:rsid w:val="006E7361"/>
    <w:rsid w:val="00753A3A"/>
    <w:rsid w:val="007554BC"/>
    <w:rsid w:val="00771A1B"/>
    <w:rsid w:val="00780A68"/>
    <w:rsid w:val="0078194B"/>
    <w:rsid w:val="00781C01"/>
    <w:rsid w:val="007935B4"/>
    <w:rsid w:val="007B4FC5"/>
    <w:rsid w:val="0085457D"/>
    <w:rsid w:val="008652B6"/>
    <w:rsid w:val="00871986"/>
    <w:rsid w:val="00895919"/>
    <w:rsid w:val="008A2D04"/>
    <w:rsid w:val="008B1271"/>
    <w:rsid w:val="008D69F6"/>
    <w:rsid w:val="008F564D"/>
    <w:rsid w:val="00925012"/>
    <w:rsid w:val="009302C0"/>
    <w:rsid w:val="00941725"/>
    <w:rsid w:val="009832D2"/>
    <w:rsid w:val="009C57CF"/>
    <w:rsid w:val="00A14FEE"/>
    <w:rsid w:val="00A178DC"/>
    <w:rsid w:val="00A63944"/>
    <w:rsid w:val="00A66590"/>
    <w:rsid w:val="00A731B1"/>
    <w:rsid w:val="00A746BE"/>
    <w:rsid w:val="00A9262E"/>
    <w:rsid w:val="00AC1B9C"/>
    <w:rsid w:val="00B45211"/>
    <w:rsid w:val="00B62F4F"/>
    <w:rsid w:val="00BB2EBA"/>
    <w:rsid w:val="00BC3F46"/>
    <w:rsid w:val="00BD36AF"/>
    <w:rsid w:val="00BD585A"/>
    <w:rsid w:val="00BE1027"/>
    <w:rsid w:val="00BF717D"/>
    <w:rsid w:val="00BF78A6"/>
    <w:rsid w:val="00C10F00"/>
    <w:rsid w:val="00C11E4E"/>
    <w:rsid w:val="00C7038A"/>
    <w:rsid w:val="00C81173"/>
    <w:rsid w:val="00C85E35"/>
    <w:rsid w:val="00C91BA4"/>
    <w:rsid w:val="00CA1B85"/>
    <w:rsid w:val="00CC000B"/>
    <w:rsid w:val="00CD572E"/>
    <w:rsid w:val="00CE38F3"/>
    <w:rsid w:val="00CE4653"/>
    <w:rsid w:val="00D12046"/>
    <w:rsid w:val="00D12195"/>
    <w:rsid w:val="00D33686"/>
    <w:rsid w:val="00D75ABE"/>
    <w:rsid w:val="00DD0140"/>
    <w:rsid w:val="00DD6ECF"/>
    <w:rsid w:val="00DE0004"/>
    <w:rsid w:val="00DF0BE0"/>
    <w:rsid w:val="00E26F9D"/>
    <w:rsid w:val="00E75186"/>
    <w:rsid w:val="00EE05F7"/>
    <w:rsid w:val="00EF1BFB"/>
    <w:rsid w:val="00EF75F4"/>
    <w:rsid w:val="00F448D9"/>
    <w:rsid w:val="00F45F36"/>
    <w:rsid w:val="00F470F7"/>
    <w:rsid w:val="00F9060A"/>
    <w:rsid w:val="00FB645C"/>
    <w:rsid w:val="00FF2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831EC46"/>
  <w15:chartTrackingRefBased/>
  <w15:docId w15:val="{59E12290-A2DC-43B9-816B-7B10790DB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14FE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Theme="majorHAnsi" w:eastAsiaTheme="majorEastAsia" w:hAnsiTheme="majorHAnsi" w:cstheme="majorBidi" w:hint="default"/>
      <w:color w:val="2F5496" w:themeColor="accent1" w:themeShade="BF"/>
      <w:sz w:val="26"/>
      <w:szCs w:val="26"/>
    </w:rPr>
  </w:style>
  <w:style w:type="paragraph" w:customStyle="1" w:styleId="msonormal0">
    <w:name w:val="msonormal"/>
    <w:basedOn w:val="Normal"/>
    <w:uiPriority w:val="99"/>
    <w:semiHidden/>
    <w:pPr>
      <w:spacing w:before="100" w:beforeAutospacing="1" w:after="100" w:afterAutospacing="1"/>
    </w:p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78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8A6"/>
    <w:rPr>
      <w:rFonts w:ascii="Segoe UI" w:eastAsiaTheme="minorEastAsia" w:hAnsi="Segoe UI" w:cs="Segoe UI"/>
      <w:sz w:val="18"/>
      <w:szCs w:val="18"/>
    </w:rPr>
  </w:style>
  <w:style w:type="paragraph" w:styleId="Caption">
    <w:name w:val="caption"/>
    <w:basedOn w:val="Normal"/>
    <w:next w:val="Normal"/>
    <w:uiPriority w:val="35"/>
    <w:unhideWhenUsed/>
    <w:qFormat/>
    <w:rsid w:val="00BF78A6"/>
    <w:pPr>
      <w:spacing w:after="200"/>
      <w:jc w:val="both"/>
    </w:pPr>
    <w:rPr>
      <w:rFonts w:asciiTheme="minorHAnsi" w:eastAsiaTheme="minorHAnsi" w:hAnsiTheme="minorHAnsi" w:cstheme="minorBidi"/>
      <w:b/>
      <w:bCs/>
      <w:color w:val="4472C4" w:themeColor="accent1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F1BFB"/>
    <w:rPr>
      <w:color w:val="0000FF"/>
      <w:u w:val="single"/>
    </w:rPr>
  </w:style>
  <w:style w:type="paragraph" w:styleId="BodyText">
    <w:name w:val="Body Text"/>
    <w:basedOn w:val="Normal"/>
    <w:link w:val="BodyTextChar"/>
    <w:uiPriority w:val="1"/>
    <w:qFormat/>
    <w:rsid w:val="006634E8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6634E8"/>
    <w:rPr>
      <w:rFonts w:ascii="Calibri" w:eastAsia="Calibri" w:hAnsi="Calibri" w:cs="Calibri"/>
      <w:sz w:val="22"/>
      <w:szCs w:val="22"/>
      <w:lang w:bidi="en-US"/>
    </w:rPr>
  </w:style>
  <w:style w:type="paragraph" w:customStyle="1" w:styleId="TableParagraph">
    <w:name w:val="Table Paragraph"/>
    <w:basedOn w:val="Normal"/>
    <w:uiPriority w:val="1"/>
    <w:qFormat/>
    <w:rsid w:val="006634E8"/>
    <w:pPr>
      <w:widowControl w:val="0"/>
      <w:autoSpaceDE w:val="0"/>
      <w:autoSpaceDN w:val="0"/>
      <w:spacing w:before="25"/>
      <w:ind w:left="200"/>
    </w:pPr>
    <w:rPr>
      <w:rFonts w:ascii="Calibri" w:eastAsia="Calibri" w:hAnsi="Calibri" w:cs="Calibri"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6634E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634E8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634E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634E8"/>
    <w:rPr>
      <w:rFonts w:eastAsiaTheme="minorEastAsia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14FE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14FEE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14FEE"/>
    <w:pPr>
      <w:widowControl w:val="0"/>
    </w:pPr>
    <w:rPr>
      <w:rFonts w:asciiTheme="minorHAnsi" w:hAnsiTheme="minorHAnsi" w:cstheme="minorBidi"/>
      <w:kern w:val="2"/>
      <w:sz w:val="21"/>
      <w:szCs w:val="22"/>
      <w:lang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14FEE"/>
    <w:rPr>
      <w:rFonts w:asciiTheme="minorHAnsi" w:eastAsiaTheme="minorEastAsia" w:hAnsiTheme="minorHAnsi" w:cstheme="minorBidi"/>
      <w:kern w:val="2"/>
      <w:sz w:val="21"/>
      <w:szCs w:val="22"/>
      <w:lang w:eastAsia="zh-C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A1B85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71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6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emf"/><Relationship Id="rId9" Type="http://schemas.openxmlformats.org/officeDocument/2006/relationships/image" Target="media/image3.emf"/><Relationship Id="rId10" Type="http://schemas.openxmlformats.org/officeDocument/2006/relationships/image" Target="media/image4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oel.e.miniermatar@conocophillips.com*" TargetMode="External"/><Relationship Id="rId2" Type="http://schemas.openxmlformats.org/officeDocument/2006/relationships/hyperlink" Target="mailto:sadham@qu.edu.q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63917-8BCD-9748-ACCB-2B61D201F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399</Words>
  <Characters>2278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FO_Model.vi</vt:lpstr>
    </vt:vector>
  </TitlesOfParts>
  <Company/>
  <LinksUpToDate>false</LinksUpToDate>
  <CharactersWithSpaces>2672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FO_Model.vi</dc:title>
  <dc:subject/>
  <dc:creator>Minier Matar, Joel E</dc:creator>
  <cp:keywords/>
  <dc:description/>
  <cp:lastModifiedBy>Microsoft Office User</cp:lastModifiedBy>
  <cp:revision>13</cp:revision>
  <dcterms:created xsi:type="dcterms:W3CDTF">2020-10-24T12:03:00Z</dcterms:created>
  <dcterms:modified xsi:type="dcterms:W3CDTF">2020-11-03T09:12:00Z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http://www.zotero.org/styles/journal-of-membrane-science</vt:lpwstr>
  </property>
  <property fmtid="{D5CDD505-2E9C-101B-9397-08002B2CF9AE}" pid="15" name="Mendeley Recent Style Name 6_1">
    <vt:lpwstr>Journal of Membrane Science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