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FBCA4" w14:textId="4FCEBFBE" w:rsidR="00870E72" w:rsidRPr="006A6FCC" w:rsidRDefault="00870E72" w:rsidP="00870E72">
      <w:pPr>
        <w:spacing w:before="120" w:after="120" w:line="276" w:lineRule="auto"/>
        <w:jc w:val="center"/>
        <w:rPr>
          <w:rFonts w:asciiTheme="majorBidi" w:hAnsiTheme="majorBidi" w:cstheme="majorBidi"/>
          <w:b/>
          <w:bCs/>
          <w:sz w:val="34"/>
          <w:szCs w:val="34"/>
          <w:u w:val="single"/>
        </w:rPr>
      </w:pPr>
      <w:r w:rsidRPr="006A6FCC">
        <w:rPr>
          <w:rFonts w:asciiTheme="majorBidi" w:hAnsiTheme="majorBidi" w:cstheme="majorBidi"/>
          <w:b/>
          <w:bCs/>
          <w:sz w:val="34"/>
          <w:szCs w:val="34"/>
          <w:u w:val="single"/>
        </w:rPr>
        <w:t>Supporting Information</w:t>
      </w:r>
    </w:p>
    <w:p w14:paraId="3C793DC3" w14:textId="5A43E331" w:rsidR="00AA37ED" w:rsidRPr="006A6FCC" w:rsidRDefault="00AA37ED" w:rsidP="00AA37ED">
      <w:pPr>
        <w:spacing w:before="120" w:after="120" w:line="276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A6FCC">
        <w:rPr>
          <w:rFonts w:asciiTheme="majorBidi" w:hAnsiTheme="majorBidi" w:cstheme="majorBidi"/>
          <w:b/>
          <w:bCs/>
          <w:sz w:val="40"/>
          <w:szCs w:val="40"/>
        </w:rPr>
        <w:t>Up-cycling plastic waste into swellable super-sorbents</w:t>
      </w:r>
    </w:p>
    <w:p w14:paraId="6BDACC06" w14:textId="77777777" w:rsidR="00AA37ED" w:rsidRPr="006A6FCC" w:rsidRDefault="00AA37ED" w:rsidP="00AA37ED">
      <w:pPr>
        <w:pStyle w:val="NoSpacing"/>
        <w:jc w:val="center"/>
        <w:rPr>
          <w:rFonts w:cstheme="majorBidi"/>
        </w:rPr>
      </w:pPr>
      <w:r w:rsidRPr="006A6FCC">
        <w:rPr>
          <w:rFonts w:cstheme="majorBidi"/>
        </w:rPr>
        <w:t xml:space="preserve">Junaid </w:t>
      </w:r>
      <w:proofErr w:type="spellStart"/>
      <w:r w:rsidRPr="006A6FCC">
        <w:rPr>
          <w:rFonts w:cstheme="majorBidi"/>
        </w:rPr>
        <w:t>Saleem</w:t>
      </w:r>
      <w:r w:rsidRPr="006A6FCC">
        <w:rPr>
          <w:rFonts w:cstheme="majorBidi"/>
          <w:vertAlign w:val="superscript"/>
        </w:rPr>
        <w:t>±a</w:t>
      </w:r>
      <w:proofErr w:type="spellEnd"/>
      <w:r w:rsidRPr="006A6FCC">
        <w:rPr>
          <w:rFonts w:cstheme="majorBidi"/>
          <w:vertAlign w:val="superscript"/>
        </w:rPr>
        <w:t>*</w:t>
      </w:r>
      <w:r w:rsidRPr="006A6FCC">
        <w:rPr>
          <w:rFonts w:cstheme="majorBidi"/>
        </w:rPr>
        <w:t xml:space="preserve">, Zubair Khalid Baig </w:t>
      </w:r>
      <w:proofErr w:type="spellStart"/>
      <w:r w:rsidRPr="006A6FCC">
        <w:rPr>
          <w:rFonts w:cstheme="majorBidi"/>
        </w:rPr>
        <w:t>Moghal</w:t>
      </w:r>
      <w:r w:rsidRPr="006A6FCC">
        <w:rPr>
          <w:rFonts w:cstheme="majorBidi"/>
          <w:vertAlign w:val="superscript"/>
        </w:rPr>
        <w:t>±b</w:t>
      </w:r>
      <w:proofErr w:type="spellEnd"/>
      <w:r w:rsidRPr="006A6FCC">
        <w:rPr>
          <w:rFonts w:cstheme="majorBidi"/>
        </w:rPr>
        <w:t xml:space="preserve">, and Gordon </w:t>
      </w:r>
      <w:proofErr w:type="spellStart"/>
      <w:r w:rsidRPr="006A6FCC">
        <w:rPr>
          <w:rFonts w:cstheme="majorBidi"/>
        </w:rPr>
        <w:t>McKay</w:t>
      </w:r>
      <w:r w:rsidRPr="006A6FCC">
        <w:rPr>
          <w:rFonts w:cstheme="majorBidi"/>
          <w:vertAlign w:val="superscript"/>
        </w:rPr>
        <w:t>a</w:t>
      </w:r>
      <w:proofErr w:type="spellEnd"/>
    </w:p>
    <w:p w14:paraId="43D1ECE1" w14:textId="77777777" w:rsidR="00AA37ED" w:rsidRPr="006A6FCC" w:rsidRDefault="00AA37ED" w:rsidP="00AA37ED">
      <w:pPr>
        <w:pStyle w:val="NoSpacing"/>
        <w:jc w:val="center"/>
        <w:rPr>
          <w:rFonts w:cstheme="majorBidi"/>
        </w:rPr>
      </w:pPr>
      <w:r w:rsidRPr="006A6FCC">
        <w:rPr>
          <w:rFonts w:cstheme="majorBidi"/>
        </w:rPr>
        <w:t>a: Division of Sustainable Development, College of Science and Engineering, Hamad Bin Khalifa University, Qatar Foundation, Doha, Qatar</w:t>
      </w:r>
    </w:p>
    <w:p w14:paraId="67794063" w14:textId="77777777" w:rsidR="00AA37ED" w:rsidRPr="006A6FCC" w:rsidRDefault="00AA37ED" w:rsidP="00AA37ED">
      <w:pPr>
        <w:pStyle w:val="NoSpacing"/>
        <w:jc w:val="center"/>
        <w:rPr>
          <w:rFonts w:cstheme="majorBidi"/>
        </w:rPr>
      </w:pPr>
      <w:r w:rsidRPr="006A6FCC">
        <w:rPr>
          <w:rFonts w:cstheme="majorBidi"/>
        </w:rPr>
        <w:t>b: Center for Advanced Materials, Qatar University, Doha, Qatar</w:t>
      </w:r>
    </w:p>
    <w:p w14:paraId="31A80F33" w14:textId="77777777" w:rsidR="00AA37ED" w:rsidRPr="006A6FCC" w:rsidRDefault="00AA37ED" w:rsidP="00AA37ED">
      <w:pPr>
        <w:pStyle w:val="NoSpacing"/>
        <w:jc w:val="center"/>
        <w:rPr>
          <w:rFonts w:cstheme="majorBidi"/>
        </w:rPr>
      </w:pPr>
      <w:r w:rsidRPr="006A6FCC">
        <w:rPr>
          <w:rFonts w:cstheme="majorBidi"/>
        </w:rPr>
        <w:t xml:space="preserve">*Corresponding author: </w:t>
      </w:r>
      <w:hyperlink r:id="rId4" w:history="1">
        <w:r w:rsidRPr="006A6FCC">
          <w:rPr>
            <w:rStyle w:val="Hyperlink"/>
            <w:rFonts w:cstheme="majorBidi"/>
            <w:szCs w:val="24"/>
          </w:rPr>
          <w:t>jsaleem@hbku.edu.qa</w:t>
        </w:r>
      </w:hyperlink>
    </w:p>
    <w:p w14:paraId="175BED53" w14:textId="77777777" w:rsidR="00AA37ED" w:rsidRPr="006A6FCC" w:rsidRDefault="00AA37ED" w:rsidP="00AA37ED">
      <w:pPr>
        <w:pStyle w:val="NoSpacing"/>
        <w:jc w:val="center"/>
        <w:rPr>
          <w:rFonts w:cstheme="majorBidi"/>
        </w:rPr>
      </w:pPr>
      <w:r w:rsidRPr="006A6FCC">
        <w:rPr>
          <w:rFonts w:cstheme="majorBidi"/>
        </w:rPr>
        <w:t>±</w:t>
      </w:r>
      <w:r w:rsidRPr="006A6FCC">
        <w:rPr>
          <w:rFonts w:cstheme="majorBidi"/>
          <w:vertAlign w:val="superscript"/>
        </w:rPr>
        <w:t xml:space="preserve"> </w:t>
      </w:r>
      <w:r w:rsidRPr="006A6FCC">
        <w:rPr>
          <w:rFonts w:cstheme="majorBidi"/>
        </w:rPr>
        <w:t>First and second authors have equal contribution.</w:t>
      </w:r>
    </w:p>
    <w:p w14:paraId="3D9A8FA3" w14:textId="77777777" w:rsidR="00AA37ED" w:rsidRPr="006A6FCC" w:rsidRDefault="00AA37ED">
      <w:pPr>
        <w:rPr>
          <w:rFonts w:asciiTheme="majorBidi" w:hAnsiTheme="majorBidi" w:cstheme="majorBidi"/>
        </w:rPr>
      </w:pPr>
    </w:p>
    <w:p w14:paraId="2795E4DA" w14:textId="45797323" w:rsidR="00AA37ED" w:rsidRPr="006A6FCC" w:rsidRDefault="003150BC">
      <w:pPr>
        <w:rPr>
          <w:rFonts w:asciiTheme="majorBidi" w:hAnsiTheme="majorBidi" w:cstheme="majorBidi"/>
          <w:i/>
          <w:iCs/>
        </w:rPr>
      </w:pPr>
      <w:r w:rsidRPr="006A6FCC">
        <w:rPr>
          <w:rFonts w:asciiTheme="majorBidi" w:hAnsiTheme="majorBidi" w:cstheme="majorBidi"/>
          <w:i/>
          <w:iCs/>
        </w:rPr>
        <w:t>Table S1: Area under the curve</w:t>
      </w:r>
      <w:r w:rsidR="00EA1274">
        <w:rPr>
          <w:rFonts w:asciiTheme="majorBidi" w:hAnsiTheme="majorBidi" w:cstheme="majorBidi"/>
          <w:i/>
          <w:iCs/>
        </w:rPr>
        <w:t xml:space="preserve"> (AUC)</w:t>
      </w:r>
      <w:r w:rsidRPr="006A6FCC">
        <w:rPr>
          <w:rFonts w:asciiTheme="majorBidi" w:hAnsiTheme="majorBidi" w:cstheme="majorBidi"/>
          <w:i/>
          <w:iCs/>
        </w:rPr>
        <w:t xml:space="preserve"> </w:t>
      </w:r>
      <w:r w:rsidR="00B50AC0" w:rsidRPr="006A6FCC">
        <w:rPr>
          <w:rFonts w:asciiTheme="majorBidi" w:hAnsiTheme="majorBidi" w:cstheme="majorBidi"/>
          <w:i/>
          <w:iCs/>
        </w:rPr>
        <w:t>and percentage of polymers in the blends.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960"/>
        <w:gridCol w:w="960"/>
        <w:gridCol w:w="960"/>
        <w:gridCol w:w="960"/>
      </w:tblGrid>
      <w:tr w:rsidR="004D2F7A" w:rsidRPr="006A6FCC" w14:paraId="6F57E342" w14:textId="77777777" w:rsidTr="00754E72">
        <w:trPr>
          <w:trHeight w:val="20"/>
          <w:jc w:val="center"/>
        </w:trPr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9A8FEE3" w14:textId="0CDAD6A4" w:rsidR="004D2F7A" w:rsidRPr="006A6FCC" w:rsidRDefault="00F233F4" w:rsidP="0069397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A6FCC">
              <w:rPr>
                <w:rFonts w:asciiTheme="majorBidi" w:hAnsiTheme="majorBidi" w:cstheme="majorBidi"/>
                <w:b/>
                <w:bCs/>
              </w:rPr>
              <w:t>Polymers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734724E7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A6FCC">
              <w:rPr>
                <w:rFonts w:asciiTheme="majorBidi" w:hAnsiTheme="majorBidi" w:cstheme="majorBidi"/>
                <w:b/>
                <w:bCs/>
              </w:rPr>
              <w:t>PE AUC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B5F94FA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A6FCC">
              <w:rPr>
                <w:rFonts w:asciiTheme="majorBidi" w:hAnsiTheme="majorBidi" w:cstheme="majorBidi"/>
                <w:b/>
                <w:bCs/>
              </w:rPr>
              <w:t>PP AUC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CE2F364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A6FCC">
              <w:rPr>
                <w:rFonts w:asciiTheme="majorBidi" w:hAnsiTheme="majorBidi" w:cstheme="majorBidi"/>
                <w:b/>
                <w:bCs/>
              </w:rPr>
              <w:t>PE %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9A0227C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A6FCC">
              <w:rPr>
                <w:rFonts w:asciiTheme="majorBidi" w:hAnsiTheme="majorBidi" w:cstheme="majorBidi"/>
                <w:b/>
                <w:bCs/>
              </w:rPr>
              <w:t>PP %</w:t>
            </w:r>
          </w:p>
        </w:tc>
      </w:tr>
      <w:tr w:rsidR="004D2F7A" w:rsidRPr="006A6FCC" w14:paraId="6DC973D1" w14:textId="77777777" w:rsidTr="00754E72">
        <w:trPr>
          <w:trHeight w:val="20"/>
          <w:jc w:val="center"/>
        </w:trPr>
        <w:tc>
          <w:tcPr>
            <w:tcW w:w="112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9B6509E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A6FCC">
              <w:rPr>
                <w:rFonts w:asciiTheme="majorBidi" w:hAnsiTheme="majorBidi" w:cstheme="majorBidi"/>
                <w:b/>
                <w:bCs/>
                <w:i/>
                <w:iCs/>
              </w:rPr>
              <w:t>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</w:tcBorders>
            <w:noWrap/>
            <w:vAlign w:val="center"/>
            <w:hideMark/>
          </w:tcPr>
          <w:p w14:paraId="023F77C6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140.95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7E28726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8679AB2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A659A2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0</w:t>
            </w:r>
          </w:p>
        </w:tc>
      </w:tr>
      <w:tr w:rsidR="004D2F7A" w:rsidRPr="006A6FCC" w14:paraId="46AE6A0A" w14:textId="77777777" w:rsidTr="00754E72">
        <w:trPr>
          <w:trHeight w:val="20"/>
          <w:jc w:val="center"/>
        </w:trPr>
        <w:tc>
          <w:tcPr>
            <w:tcW w:w="1121" w:type="dxa"/>
            <w:noWrap/>
            <w:vAlign w:val="center"/>
            <w:hideMark/>
          </w:tcPr>
          <w:p w14:paraId="646CFC34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A6FCC">
              <w:rPr>
                <w:rFonts w:asciiTheme="majorBidi" w:hAnsiTheme="majorBidi" w:cstheme="majorBidi"/>
                <w:b/>
                <w:bCs/>
                <w:i/>
                <w:iCs/>
              </w:rPr>
              <w:t>PP</w:t>
            </w:r>
          </w:p>
        </w:tc>
        <w:tc>
          <w:tcPr>
            <w:tcW w:w="960" w:type="dxa"/>
            <w:tcBorders>
              <w:left w:val="nil"/>
            </w:tcBorders>
            <w:noWrap/>
            <w:vAlign w:val="center"/>
            <w:hideMark/>
          </w:tcPr>
          <w:p w14:paraId="44144AA8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60" w:type="dxa"/>
            <w:noWrap/>
            <w:vAlign w:val="center"/>
            <w:hideMark/>
          </w:tcPr>
          <w:p w14:paraId="5980DADC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112</w:t>
            </w:r>
          </w:p>
        </w:tc>
        <w:tc>
          <w:tcPr>
            <w:tcW w:w="960" w:type="dxa"/>
            <w:noWrap/>
            <w:vAlign w:val="center"/>
            <w:hideMark/>
          </w:tcPr>
          <w:p w14:paraId="3F58FCDE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60" w:type="dxa"/>
            <w:noWrap/>
            <w:vAlign w:val="center"/>
            <w:hideMark/>
          </w:tcPr>
          <w:p w14:paraId="53E9AD69" w14:textId="77777777" w:rsidR="004D2F7A" w:rsidRPr="006A6FCC" w:rsidRDefault="004D2F7A" w:rsidP="0069397D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</w:rPr>
              <w:t>100</w:t>
            </w:r>
          </w:p>
        </w:tc>
      </w:tr>
      <w:tr w:rsidR="00754E72" w:rsidRPr="006A6FCC" w14:paraId="0A9DF489" w14:textId="77777777" w:rsidTr="00754E72">
        <w:trPr>
          <w:trHeight w:val="20"/>
          <w:jc w:val="center"/>
        </w:trPr>
        <w:tc>
          <w:tcPr>
            <w:tcW w:w="1121" w:type="dxa"/>
            <w:noWrap/>
            <w:vAlign w:val="center"/>
            <w:hideMark/>
          </w:tcPr>
          <w:p w14:paraId="2C26D3C1" w14:textId="77777777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A6FCC">
              <w:rPr>
                <w:rFonts w:asciiTheme="majorBidi" w:hAnsiTheme="majorBidi" w:cstheme="majorBidi"/>
                <w:b/>
                <w:bCs/>
                <w:i/>
                <w:iCs/>
              </w:rPr>
              <w:t>PE25PP75</w:t>
            </w:r>
          </w:p>
        </w:tc>
        <w:tc>
          <w:tcPr>
            <w:tcW w:w="960" w:type="dxa"/>
            <w:tcBorders>
              <w:left w:val="nil"/>
            </w:tcBorders>
            <w:noWrap/>
            <w:vAlign w:val="bottom"/>
            <w:hideMark/>
          </w:tcPr>
          <w:p w14:paraId="68966FF3" w14:textId="2FBFBA23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35.2</w:t>
            </w:r>
          </w:p>
        </w:tc>
        <w:tc>
          <w:tcPr>
            <w:tcW w:w="960" w:type="dxa"/>
            <w:noWrap/>
            <w:vAlign w:val="bottom"/>
            <w:hideMark/>
          </w:tcPr>
          <w:p w14:paraId="6E519923" w14:textId="6C20894C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83.8</w:t>
            </w:r>
          </w:p>
        </w:tc>
        <w:tc>
          <w:tcPr>
            <w:tcW w:w="960" w:type="dxa"/>
            <w:noWrap/>
            <w:vAlign w:val="bottom"/>
            <w:hideMark/>
          </w:tcPr>
          <w:p w14:paraId="4B6CC814" w14:textId="2EFDF844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24.97</w:t>
            </w:r>
          </w:p>
        </w:tc>
        <w:tc>
          <w:tcPr>
            <w:tcW w:w="960" w:type="dxa"/>
            <w:noWrap/>
            <w:vAlign w:val="bottom"/>
            <w:hideMark/>
          </w:tcPr>
          <w:p w14:paraId="2744848E" w14:textId="489381AA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74.82</w:t>
            </w:r>
          </w:p>
        </w:tc>
      </w:tr>
      <w:tr w:rsidR="00754E72" w:rsidRPr="006A6FCC" w14:paraId="13B72C16" w14:textId="77777777" w:rsidTr="00754E72">
        <w:trPr>
          <w:trHeight w:val="20"/>
          <w:jc w:val="center"/>
        </w:trPr>
        <w:tc>
          <w:tcPr>
            <w:tcW w:w="1121" w:type="dxa"/>
            <w:noWrap/>
            <w:vAlign w:val="center"/>
            <w:hideMark/>
          </w:tcPr>
          <w:p w14:paraId="68BAE10B" w14:textId="77777777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A6FCC">
              <w:rPr>
                <w:rFonts w:asciiTheme="majorBidi" w:hAnsiTheme="majorBidi" w:cstheme="majorBidi"/>
                <w:b/>
                <w:bCs/>
                <w:i/>
                <w:iCs/>
              </w:rPr>
              <w:t>PE50PP50</w:t>
            </w:r>
          </w:p>
        </w:tc>
        <w:tc>
          <w:tcPr>
            <w:tcW w:w="960" w:type="dxa"/>
            <w:tcBorders>
              <w:left w:val="nil"/>
            </w:tcBorders>
            <w:noWrap/>
            <w:vAlign w:val="bottom"/>
            <w:hideMark/>
          </w:tcPr>
          <w:p w14:paraId="64584274" w14:textId="48585BCC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70.4</w:t>
            </w:r>
          </w:p>
        </w:tc>
        <w:tc>
          <w:tcPr>
            <w:tcW w:w="960" w:type="dxa"/>
            <w:noWrap/>
            <w:vAlign w:val="bottom"/>
            <w:hideMark/>
          </w:tcPr>
          <w:p w14:paraId="28FA45B7" w14:textId="5BC052EB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55.7</w:t>
            </w:r>
          </w:p>
        </w:tc>
        <w:tc>
          <w:tcPr>
            <w:tcW w:w="960" w:type="dxa"/>
            <w:noWrap/>
            <w:vAlign w:val="bottom"/>
            <w:hideMark/>
          </w:tcPr>
          <w:p w14:paraId="245154B3" w14:textId="55B20030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49.95</w:t>
            </w:r>
          </w:p>
        </w:tc>
        <w:tc>
          <w:tcPr>
            <w:tcW w:w="960" w:type="dxa"/>
            <w:noWrap/>
            <w:vAlign w:val="bottom"/>
            <w:hideMark/>
          </w:tcPr>
          <w:p w14:paraId="5F2B1AFC" w14:textId="1F27E46E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49.73</w:t>
            </w:r>
          </w:p>
        </w:tc>
      </w:tr>
      <w:tr w:rsidR="00754E72" w:rsidRPr="006A6FCC" w14:paraId="5BB433D0" w14:textId="77777777" w:rsidTr="00754E72">
        <w:trPr>
          <w:trHeight w:val="20"/>
          <w:jc w:val="center"/>
        </w:trPr>
        <w:tc>
          <w:tcPr>
            <w:tcW w:w="1121" w:type="dxa"/>
            <w:noWrap/>
            <w:vAlign w:val="center"/>
            <w:hideMark/>
          </w:tcPr>
          <w:p w14:paraId="7523091A" w14:textId="77777777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A6FCC">
              <w:rPr>
                <w:rFonts w:asciiTheme="majorBidi" w:hAnsiTheme="majorBidi" w:cstheme="majorBidi"/>
                <w:b/>
                <w:bCs/>
                <w:i/>
                <w:iCs/>
              </w:rPr>
              <w:t>PE66PP33</w:t>
            </w:r>
          </w:p>
        </w:tc>
        <w:tc>
          <w:tcPr>
            <w:tcW w:w="960" w:type="dxa"/>
            <w:tcBorders>
              <w:left w:val="nil"/>
            </w:tcBorders>
            <w:noWrap/>
            <w:vAlign w:val="bottom"/>
            <w:hideMark/>
          </w:tcPr>
          <w:p w14:paraId="5C2124BA" w14:textId="532EC521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92.04</w:t>
            </w:r>
          </w:p>
        </w:tc>
        <w:tc>
          <w:tcPr>
            <w:tcW w:w="960" w:type="dxa"/>
            <w:noWrap/>
            <w:vAlign w:val="bottom"/>
            <w:hideMark/>
          </w:tcPr>
          <w:p w14:paraId="7E8ADE31" w14:textId="685EF222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39.1</w:t>
            </w:r>
          </w:p>
        </w:tc>
        <w:tc>
          <w:tcPr>
            <w:tcW w:w="960" w:type="dxa"/>
            <w:noWrap/>
            <w:vAlign w:val="bottom"/>
            <w:hideMark/>
          </w:tcPr>
          <w:p w14:paraId="307AE9D9" w14:textId="3519C5B2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65.30</w:t>
            </w:r>
          </w:p>
        </w:tc>
        <w:tc>
          <w:tcPr>
            <w:tcW w:w="960" w:type="dxa"/>
            <w:noWrap/>
            <w:vAlign w:val="bottom"/>
            <w:hideMark/>
          </w:tcPr>
          <w:p w14:paraId="766A00F8" w14:textId="0860094C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34.91</w:t>
            </w:r>
          </w:p>
        </w:tc>
      </w:tr>
      <w:tr w:rsidR="00754E72" w:rsidRPr="006A6FCC" w14:paraId="2C5CC319" w14:textId="77777777" w:rsidTr="00754E72">
        <w:trPr>
          <w:trHeight w:val="20"/>
          <w:jc w:val="center"/>
        </w:trPr>
        <w:tc>
          <w:tcPr>
            <w:tcW w:w="1121" w:type="dxa"/>
            <w:noWrap/>
            <w:vAlign w:val="center"/>
            <w:hideMark/>
          </w:tcPr>
          <w:p w14:paraId="2B348702" w14:textId="77777777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A6FCC">
              <w:rPr>
                <w:rFonts w:asciiTheme="majorBidi" w:hAnsiTheme="majorBidi" w:cstheme="majorBidi"/>
                <w:b/>
                <w:bCs/>
                <w:i/>
                <w:iCs/>
              </w:rPr>
              <w:t>PE75PP25</w:t>
            </w:r>
          </w:p>
        </w:tc>
        <w:tc>
          <w:tcPr>
            <w:tcW w:w="960" w:type="dxa"/>
            <w:tcBorders>
              <w:left w:val="nil"/>
            </w:tcBorders>
            <w:noWrap/>
            <w:vAlign w:val="bottom"/>
            <w:hideMark/>
          </w:tcPr>
          <w:p w14:paraId="192C2667" w14:textId="39C4ACF4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106.18</w:t>
            </w:r>
          </w:p>
        </w:tc>
        <w:tc>
          <w:tcPr>
            <w:tcW w:w="960" w:type="dxa"/>
            <w:noWrap/>
            <w:vAlign w:val="bottom"/>
            <w:hideMark/>
          </w:tcPr>
          <w:p w14:paraId="4DCA0C9E" w14:textId="3504C50C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27.6</w:t>
            </w:r>
          </w:p>
        </w:tc>
        <w:tc>
          <w:tcPr>
            <w:tcW w:w="960" w:type="dxa"/>
            <w:noWrap/>
            <w:vAlign w:val="bottom"/>
            <w:hideMark/>
          </w:tcPr>
          <w:p w14:paraId="5B52E303" w14:textId="38F0629A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75.33</w:t>
            </w:r>
          </w:p>
        </w:tc>
        <w:tc>
          <w:tcPr>
            <w:tcW w:w="960" w:type="dxa"/>
            <w:noWrap/>
            <w:vAlign w:val="bottom"/>
            <w:hideMark/>
          </w:tcPr>
          <w:p w14:paraId="15DBCD39" w14:textId="179F7A24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24.64</w:t>
            </w:r>
          </w:p>
        </w:tc>
      </w:tr>
      <w:tr w:rsidR="00754E72" w:rsidRPr="006A6FCC" w14:paraId="67057464" w14:textId="77777777" w:rsidTr="00754E72">
        <w:trPr>
          <w:trHeight w:val="20"/>
          <w:jc w:val="center"/>
        </w:trPr>
        <w:tc>
          <w:tcPr>
            <w:tcW w:w="112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DB5632E" w14:textId="77777777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6A6FCC">
              <w:rPr>
                <w:rFonts w:asciiTheme="majorBidi" w:hAnsiTheme="majorBidi" w:cstheme="majorBidi"/>
                <w:b/>
                <w:bCs/>
                <w:i/>
                <w:iCs/>
              </w:rPr>
              <w:t>PEXPPY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</w:tcBorders>
            <w:noWrap/>
            <w:vAlign w:val="bottom"/>
            <w:hideMark/>
          </w:tcPr>
          <w:p w14:paraId="32AAD865" w14:textId="73986CB3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99.1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F3C57C2" w14:textId="3C5A0972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33.2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28FF88BE" w14:textId="777062AC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70.31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E2D9DA3" w14:textId="15E7C0E5" w:rsidR="00754E72" w:rsidRPr="006A6FCC" w:rsidRDefault="00754E72" w:rsidP="00754E72">
            <w:pPr>
              <w:jc w:val="center"/>
              <w:rPr>
                <w:rFonts w:asciiTheme="majorBidi" w:hAnsiTheme="majorBidi" w:cstheme="majorBidi"/>
              </w:rPr>
            </w:pPr>
            <w:r w:rsidRPr="006A6FCC">
              <w:rPr>
                <w:rFonts w:asciiTheme="majorBidi" w:hAnsiTheme="majorBidi" w:cstheme="majorBidi"/>
                <w:color w:val="000000"/>
              </w:rPr>
              <w:t>29.64</w:t>
            </w:r>
          </w:p>
        </w:tc>
      </w:tr>
    </w:tbl>
    <w:p w14:paraId="68686A8C" w14:textId="10E00582" w:rsidR="00F04DA5" w:rsidRPr="006A6FCC" w:rsidRDefault="00F04DA5">
      <w:pPr>
        <w:rPr>
          <w:rFonts w:asciiTheme="majorBidi" w:hAnsiTheme="majorBidi" w:cstheme="majorBidi"/>
        </w:rPr>
      </w:pPr>
    </w:p>
    <w:p w14:paraId="12641FC7" w14:textId="45AF6422" w:rsidR="00F04DA5" w:rsidRPr="006A6FCC" w:rsidRDefault="00DB18F6">
      <w:pPr>
        <w:rPr>
          <w:rFonts w:asciiTheme="majorBidi" w:hAnsiTheme="majorBidi" w:cstheme="majorBidi"/>
        </w:rPr>
      </w:pPr>
      <m:oMathPara>
        <m:oMath>
          <m:r>
            <w:rPr>
              <w:rFonts w:ascii="Cambria Math" w:hAnsi="Cambria Math" w:cstheme="majorBidi"/>
            </w:rPr>
            <m:t xml:space="preserve">PE%= </m:t>
          </m:r>
          <m:f>
            <m:fPr>
              <m:ctrlPr>
                <w:rPr>
                  <w:rFonts w:ascii="Cambria Math" w:hAnsi="Cambria Math" w:cstheme="majorBidi"/>
                  <w:i/>
                </w:rPr>
              </m:ctrlPr>
            </m:fPr>
            <m:num>
              <m:r>
                <w:rPr>
                  <w:rFonts w:ascii="Cambria Math" w:hAnsi="Cambria Math" w:cstheme="majorBidi"/>
                </w:rPr>
                <m:t>PE AUC in blend</m:t>
              </m:r>
            </m:num>
            <m:den>
              <m:r>
                <w:rPr>
                  <w:rFonts w:ascii="Cambria Math" w:hAnsi="Cambria Math" w:cstheme="majorBidi"/>
                </w:rPr>
                <m:t>PE AUC in Pure PE</m:t>
              </m:r>
            </m:den>
          </m:f>
          <m:r>
            <w:rPr>
              <w:rFonts w:ascii="Cambria Math" w:hAnsi="Cambria Math" w:cstheme="majorBidi"/>
            </w:rPr>
            <m:t xml:space="preserve"> x 100</m:t>
          </m:r>
        </m:oMath>
      </m:oMathPara>
    </w:p>
    <w:p w14:paraId="5AF12DC5" w14:textId="61AB8818" w:rsidR="00552E43" w:rsidRPr="006A6FCC" w:rsidRDefault="00552E43" w:rsidP="00552E43">
      <w:pPr>
        <w:rPr>
          <w:rFonts w:asciiTheme="majorBidi" w:hAnsiTheme="majorBidi" w:cstheme="majorBidi"/>
        </w:rPr>
      </w:pPr>
      <m:oMathPara>
        <m:oMath>
          <m:r>
            <w:rPr>
              <w:rFonts w:ascii="Cambria Math" w:hAnsi="Cambria Math" w:cstheme="majorBidi"/>
            </w:rPr>
            <m:t xml:space="preserve">PP%= </m:t>
          </m:r>
          <m:f>
            <m:fPr>
              <m:ctrlPr>
                <w:rPr>
                  <w:rFonts w:ascii="Cambria Math" w:hAnsi="Cambria Math" w:cstheme="majorBidi"/>
                  <w:i/>
                </w:rPr>
              </m:ctrlPr>
            </m:fPr>
            <m:num>
              <m:r>
                <w:rPr>
                  <w:rFonts w:ascii="Cambria Math" w:hAnsi="Cambria Math" w:cstheme="majorBidi"/>
                </w:rPr>
                <m:t>PP AUC in blend</m:t>
              </m:r>
            </m:num>
            <m:den>
              <m:r>
                <w:rPr>
                  <w:rFonts w:ascii="Cambria Math" w:hAnsi="Cambria Math" w:cstheme="majorBidi"/>
                </w:rPr>
                <m:t>PP AUC in Pure PP</m:t>
              </m:r>
            </m:den>
          </m:f>
          <m:r>
            <w:rPr>
              <w:rFonts w:ascii="Cambria Math" w:hAnsi="Cambria Math" w:cstheme="majorBidi"/>
            </w:rPr>
            <m:t xml:space="preserve"> x 100</m:t>
          </m:r>
        </m:oMath>
      </m:oMathPara>
    </w:p>
    <w:p w14:paraId="25D7980F" w14:textId="77777777" w:rsidR="00552E43" w:rsidRPr="006A6FCC" w:rsidRDefault="00552E43">
      <w:pPr>
        <w:rPr>
          <w:rFonts w:asciiTheme="majorBidi" w:hAnsiTheme="majorBidi" w:cstheme="majorBidi"/>
        </w:rPr>
      </w:pPr>
    </w:p>
    <w:sectPr w:rsidR="00552E43" w:rsidRPr="006A6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G0MLe0sLA0NrA0NTBS0lEKTi0uzszPAykwqgUAZFDTEywAAAA="/>
  </w:docVars>
  <w:rsids>
    <w:rsidRoot w:val="00D52F4A"/>
    <w:rsid w:val="000D7D9A"/>
    <w:rsid w:val="003150BC"/>
    <w:rsid w:val="004542F2"/>
    <w:rsid w:val="004D2F7A"/>
    <w:rsid w:val="00552E43"/>
    <w:rsid w:val="0069397D"/>
    <w:rsid w:val="006A6FCC"/>
    <w:rsid w:val="00754E72"/>
    <w:rsid w:val="00870E72"/>
    <w:rsid w:val="00871A59"/>
    <w:rsid w:val="008E2355"/>
    <w:rsid w:val="009A61E7"/>
    <w:rsid w:val="009F2977"/>
    <w:rsid w:val="00A9172D"/>
    <w:rsid w:val="00AA37ED"/>
    <w:rsid w:val="00B50AC0"/>
    <w:rsid w:val="00B97ABC"/>
    <w:rsid w:val="00BD033C"/>
    <w:rsid w:val="00D52F4A"/>
    <w:rsid w:val="00DB18F6"/>
    <w:rsid w:val="00EA1274"/>
    <w:rsid w:val="00F04DA5"/>
    <w:rsid w:val="00F05906"/>
    <w:rsid w:val="00F233F4"/>
    <w:rsid w:val="00F6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7472C"/>
  <w15:chartTrackingRefBased/>
  <w15:docId w15:val="{45359271-E81F-4595-9545-223757C7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2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37ED"/>
    <w:rPr>
      <w:color w:val="0000FF"/>
      <w:u w:val="single"/>
    </w:rPr>
  </w:style>
  <w:style w:type="paragraph" w:styleId="NoSpacing">
    <w:name w:val="No Spacing"/>
    <w:uiPriority w:val="1"/>
    <w:qFormat/>
    <w:rsid w:val="00AA37ED"/>
    <w:pPr>
      <w:spacing w:after="0" w:line="240" w:lineRule="auto"/>
      <w:jc w:val="both"/>
    </w:pPr>
    <w:rPr>
      <w:rFonts w:asciiTheme="majorBidi" w:eastAsiaTheme="minorHAnsi" w:hAnsiTheme="majorBidi"/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F04D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saleem@hbku.edu.q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moghal zubair khalid</dc:creator>
  <cp:keywords/>
  <dc:description/>
  <cp:lastModifiedBy>Dr. Junaid Saleem</cp:lastModifiedBy>
  <cp:revision>24</cp:revision>
  <dcterms:created xsi:type="dcterms:W3CDTF">2023-04-03T09:33:00Z</dcterms:created>
  <dcterms:modified xsi:type="dcterms:W3CDTF">2023-04-03T10:15:00Z</dcterms:modified>
</cp:coreProperties>
</file>