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54187" w14:textId="0824A199" w:rsidR="00882814" w:rsidRPr="00882814" w:rsidRDefault="00882814" w:rsidP="008332E8">
      <w:pPr>
        <w:tabs>
          <w:tab w:val="left" w:pos="1554"/>
        </w:tabs>
        <w:spacing w:line="360" w:lineRule="auto"/>
        <w:jc w:val="both"/>
        <w:rPr>
          <w:b/>
          <w:bCs/>
          <w:u w:val="single"/>
          <w:lang w:val="en-US"/>
        </w:rPr>
      </w:pPr>
      <w:r w:rsidRPr="00882814">
        <w:rPr>
          <w:b/>
          <w:bCs/>
          <w:u w:val="single"/>
          <w:lang w:val="en-US"/>
        </w:rPr>
        <w:t>Supplementary Figure Legends:</w:t>
      </w:r>
    </w:p>
    <w:p w14:paraId="0058324B" w14:textId="77777777" w:rsidR="00882814" w:rsidRDefault="00882814" w:rsidP="008332E8">
      <w:pPr>
        <w:tabs>
          <w:tab w:val="left" w:pos="1554"/>
        </w:tabs>
        <w:spacing w:line="360" w:lineRule="auto"/>
        <w:jc w:val="both"/>
        <w:rPr>
          <w:u w:val="single"/>
          <w:lang w:val="en-US"/>
        </w:rPr>
      </w:pPr>
    </w:p>
    <w:p w14:paraId="416B8FA1" w14:textId="345C4D8C" w:rsidR="00D97940" w:rsidRDefault="00882814" w:rsidP="008332E8">
      <w:pPr>
        <w:tabs>
          <w:tab w:val="left" w:pos="1554"/>
        </w:tabs>
        <w:spacing w:line="360" w:lineRule="auto"/>
        <w:jc w:val="both"/>
        <w:rPr>
          <w:b/>
          <w:bCs/>
          <w:u w:val="single"/>
          <w:lang w:val="en-US"/>
        </w:rPr>
      </w:pPr>
      <w:r w:rsidRPr="0043771C">
        <w:rPr>
          <w:b/>
          <w:bCs/>
          <w:u w:val="single"/>
          <w:lang w:val="en-US"/>
        </w:rPr>
        <w:t>Supplementary Figure-1</w:t>
      </w:r>
      <w:r w:rsidR="00A44C40" w:rsidRPr="0043771C">
        <w:rPr>
          <w:b/>
          <w:bCs/>
          <w:u w:val="single"/>
          <w:lang w:val="en-US"/>
        </w:rPr>
        <w:t>:</w:t>
      </w:r>
    </w:p>
    <w:p w14:paraId="5417D604" w14:textId="77777777" w:rsidR="001236A2" w:rsidRPr="0043771C" w:rsidRDefault="001236A2" w:rsidP="008332E8">
      <w:pPr>
        <w:tabs>
          <w:tab w:val="left" w:pos="1554"/>
        </w:tabs>
        <w:spacing w:line="360" w:lineRule="auto"/>
        <w:jc w:val="both"/>
        <w:rPr>
          <w:b/>
          <w:bCs/>
          <w:u w:val="single"/>
          <w:lang w:val="en-US"/>
        </w:rPr>
      </w:pPr>
    </w:p>
    <w:p w14:paraId="105CA799" w14:textId="19DBD52F" w:rsidR="00354B97" w:rsidRDefault="00D97940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317B0A">
        <w:rPr>
          <w:b/>
          <w:bCs/>
          <w:u w:val="single"/>
          <w:lang w:val="en-US"/>
        </w:rPr>
        <w:t>(A)</w:t>
      </w:r>
      <w:r w:rsidR="00882814" w:rsidRPr="00317B0A">
        <w:rPr>
          <w:b/>
          <w:bCs/>
          <w:u w:val="single"/>
          <w:lang w:val="en-US"/>
        </w:rPr>
        <w:t>:</w:t>
      </w:r>
      <w:r w:rsidR="00882814" w:rsidRPr="00317B0A">
        <w:rPr>
          <w:lang w:val="en-US"/>
        </w:rPr>
        <w:t xml:space="preserve"> </w:t>
      </w:r>
      <w:r w:rsidR="001236A2" w:rsidRPr="00317B0A">
        <w:rPr>
          <w:u w:val="single"/>
          <w:lang w:val="en-US"/>
        </w:rPr>
        <w:t>Detection of phosphorylation on endogenous and overexpressed BAD:</w:t>
      </w:r>
      <w:r w:rsidR="001236A2" w:rsidRPr="00317B0A">
        <w:rPr>
          <w:lang w:val="en-US"/>
        </w:rPr>
        <w:t xml:space="preserve"> </w:t>
      </w:r>
      <w:r w:rsidR="00354B97" w:rsidRPr="00317B0A">
        <w:rPr>
          <w:lang w:val="en-US"/>
        </w:rPr>
        <w:t xml:space="preserve">Cell lysates in Fig-1A, along with known positive and negative control cell lysates, were probed with phospho-specific anti-BAD antibodies to detect phosphorylation of both endogenous and overexpressed BAD. </w:t>
      </w:r>
      <w:r w:rsidR="00182B52" w:rsidRPr="00317B0A">
        <w:rPr>
          <w:lang w:val="en-US"/>
        </w:rPr>
        <w:t>S112 phosphorylation blot w</w:t>
      </w:r>
      <w:r w:rsidR="00410F6A" w:rsidRPr="00317B0A">
        <w:rPr>
          <w:lang w:val="en-US"/>
        </w:rPr>
        <w:t>as</w:t>
      </w:r>
      <w:r w:rsidR="00182B52" w:rsidRPr="00317B0A">
        <w:rPr>
          <w:lang w:val="en-US"/>
        </w:rPr>
        <w:t xml:space="preserve"> developed with </w:t>
      </w:r>
      <w:proofErr w:type="spellStart"/>
      <w:r w:rsidR="00182B52" w:rsidRPr="00317B0A">
        <w:rPr>
          <w:lang w:val="en-US"/>
        </w:rPr>
        <w:t>Luminata</w:t>
      </w:r>
      <w:proofErr w:type="spellEnd"/>
      <w:r w:rsidR="00182B52" w:rsidRPr="00317B0A">
        <w:rPr>
          <w:lang w:val="en-US"/>
        </w:rPr>
        <w:t xml:space="preserve"> </w:t>
      </w:r>
      <w:proofErr w:type="spellStart"/>
      <w:r w:rsidR="00182B52" w:rsidRPr="00317B0A">
        <w:rPr>
          <w:lang w:val="en-US"/>
        </w:rPr>
        <w:t>Classico</w:t>
      </w:r>
      <w:proofErr w:type="spellEnd"/>
      <w:r w:rsidR="00182B52" w:rsidRPr="00317B0A">
        <w:rPr>
          <w:lang w:val="en-US"/>
        </w:rPr>
        <w:t xml:space="preserve"> Western HRP substrate (Millipore)</w:t>
      </w:r>
      <w:r w:rsidR="006042D3" w:rsidRPr="00317B0A">
        <w:rPr>
          <w:lang w:val="en-US"/>
        </w:rPr>
        <w:t xml:space="preserve">, whereas </w:t>
      </w:r>
      <w:r w:rsidR="00485A83" w:rsidRPr="00317B0A">
        <w:rPr>
          <w:lang w:val="en-US"/>
        </w:rPr>
        <w:t xml:space="preserve">S136 and S155 phospho-BAD blots were developed with </w:t>
      </w:r>
      <w:r w:rsidR="00792C90" w:rsidRPr="00317B0A">
        <w:rPr>
          <w:lang w:val="en-US"/>
        </w:rPr>
        <w:t>most sensitive chemiluminescence substrate-</w:t>
      </w:r>
      <w:proofErr w:type="spellStart"/>
      <w:r w:rsidR="00485A83" w:rsidRPr="00317B0A">
        <w:rPr>
          <w:lang w:val="en-US"/>
        </w:rPr>
        <w:t>Luminata</w:t>
      </w:r>
      <w:proofErr w:type="spellEnd"/>
      <w:r w:rsidR="00485A83" w:rsidRPr="00317B0A">
        <w:rPr>
          <w:lang w:val="en-US"/>
        </w:rPr>
        <w:t xml:space="preserve"> Forte </w:t>
      </w:r>
      <w:r w:rsidR="001C3E87" w:rsidRPr="00317B0A">
        <w:rPr>
          <w:lang w:val="en-US"/>
        </w:rPr>
        <w:t>W</w:t>
      </w:r>
      <w:r w:rsidR="00485A83" w:rsidRPr="00317B0A">
        <w:rPr>
          <w:lang w:val="en-US"/>
        </w:rPr>
        <w:t>estern HRP substrate (Millip</w:t>
      </w:r>
      <w:r w:rsidR="005B5D87" w:rsidRPr="00317B0A">
        <w:rPr>
          <w:lang w:val="en-US"/>
        </w:rPr>
        <w:t>o</w:t>
      </w:r>
      <w:r w:rsidR="00485A83" w:rsidRPr="00317B0A">
        <w:rPr>
          <w:lang w:val="en-US"/>
        </w:rPr>
        <w:t>re)</w:t>
      </w:r>
      <w:r w:rsidR="009F34FA" w:rsidRPr="00317B0A">
        <w:rPr>
          <w:lang w:val="en-US"/>
        </w:rPr>
        <w:t xml:space="preserve"> to detect the signal</w:t>
      </w:r>
      <w:r w:rsidR="00485A83" w:rsidRPr="00317B0A">
        <w:rPr>
          <w:lang w:val="en-US"/>
        </w:rPr>
        <w:t xml:space="preserve">. </w:t>
      </w:r>
      <w:r w:rsidR="00354B97" w:rsidRPr="00317B0A">
        <w:rPr>
          <w:lang w:val="en-US"/>
        </w:rPr>
        <w:t>These results confirm that both overexpressed and endogenous BAD behave similarly with respect to their phosphorylation on S112, S136 and S155.</w:t>
      </w:r>
    </w:p>
    <w:p w14:paraId="218E3E6C" w14:textId="77777777" w:rsidR="008237E2" w:rsidRDefault="008237E2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5B83D2F1" w14:textId="68FD809C" w:rsidR="00354430" w:rsidRDefault="00354B97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317B0A">
        <w:rPr>
          <w:b/>
          <w:bCs/>
          <w:lang w:val="en-US"/>
        </w:rPr>
        <w:t>(B):</w:t>
      </w:r>
      <w:r w:rsidRPr="00317B0A">
        <w:rPr>
          <w:lang w:val="en-US"/>
        </w:rPr>
        <w:t xml:space="preserve"> </w:t>
      </w:r>
      <w:r w:rsidR="00D56A1B" w:rsidRPr="00317B0A">
        <w:rPr>
          <w:u w:val="single"/>
          <w:lang w:val="en-US"/>
        </w:rPr>
        <w:t>Transfection efficiency in different melanocytes:</w:t>
      </w:r>
      <w:r w:rsidR="00D56A1B" w:rsidRPr="00317B0A">
        <w:rPr>
          <w:lang w:val="en-US"/>
        </w:rPr>
        <w:t xml:space="preserve"> </w:t>
      </w:r>
      <w:r w:rsidR="00354430" w:rsidRPr="00317B0A">
        <w:rPr>
          <w:lang w:val="en-US"/>
        </w:rPr>
        <w:t xml:space="preserve">To track the efficiency of transfection, three different melanocyte cell types were transfected with </w:t>
      </w:r>
      <w:r w:rsidR="00A20A6B" w:rsidRPr="00317B0A">
        <w:rPr>
          <w:lang w:val="en-US"/>
        </w:rPr>
        <w:t xml:space="preserve">HA-BAD and </w:t>
      </w:r>
      <w:r w:rsidR="00354430" w:rsidRPr="00317B0A">
        <w:rPr>
          <w:lang w:val="en-US"/>
        </w:rPr>
        <w:t>GFP</w:t>
      </w:r>
      <w:r w:rsidR="00C178F5" w:rsidRPr="00317B0A">
        <w:rPr>
          <w:lang w:val="en-US"/>
        </w:rPr>
        <w:t xml:space="preserve"> (as in Fig-1)</w:t>
      </w:r>
      <w:r w:rsidR="00354430" w:rsidRPr="00317B0A">
        <w:rPr>
          <w:lang w:val="en-US"/>
        </w:rPr>
        <w:t xml:space="preserve"> and images were taken</w:t>
      </w:r>
      <w:r w:rsidR="00376F69" w:rsidRPr="00317B0A">
        <w:rPr>
          <w:lang w:val="en-US"/>
        </w:rPr>
        <w:t xml:space="preserve"> using EVOS fluorescent microscope</w:t>
      </w:r>
      <w:r w:rsidR="00354430" w:rsidRPr="00317B0A">
        <w:rPr>
          <w:lang w:val="en-US"/>
        </w:rPr>
        <w:t xml:space="preserve">. </w:t>
      </w:r>
      <w:r w:rsidR="0038386E" w:rsidRPr="00317B0A">
        <w:rPr>
          <w:lang w:val="en-US"/>
        </w:rPr>
        <w:t xml:space="preserve">Enumeration of GFP positive cells in 3 random fields suggests that the transfection efficiency was </w:t>
      </w:r>
      <w:r w:rsidR="006729C5" w:rsidRPr="00317B0A">
        <w:rPr>
          <w:lang w:val="en-US"/>
        </w:rPr>
        <w:t xml:space="preserve">at least </w:t>
      </w:r>
      <w:r w:rsidR="0038386E" w:rsidRPr="00317B0A">
        <w:rPr>
          <w:lang w:val="en-US"/>
        </w:rPr>
        <w:t>15%.</w:t>
      </w:r>
    </w:p>
    <w:p w14:paraId="603BD688" w14:textId="77777777" w:rsidR="008237E2" w:rsidRDefault="008237E2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164E47F3" w14:textId="274B5B7A" w:rsidR="00354430" w:rsidRDefault="0068012A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43771C">
        <w:rPr>
          <w:b/>
          <w:bCs/>
          <w:u w:val="single"/>
          <w:lang w:val="en-US"/>
        </w:rPr>
        <w:t>(C)</w:t>
      </w:r>
      <w:r w:rsidR="009711D8" w:rsidRPr="0043771C">
        <w:rPr>
          <w:b/>
          <w:bCs/>
          <w:u w:val="single"/>
          <w:lang w:val="en-US"/>
        </w:rPr>
        <w:t>:</w:t>
      </w:r>
      <w:r w:rsidR="009711D8" w:rsidRPr="00844EEF">
        <w:rPr>
          <w:lang w:val="en-US"/>
        </w:rPr>
        <w:t xml:space="preserve"> </w:t>
      </w:r>
      <w:r w:rsidR="00354430" w:rsidRPr="00140CF5">
        <w:rPr>
          <w:u w:val="single"/>
          <w:lang w:val="en-US"/>
        </w:rPr>
        <w:t>Small molecule inhibitors display specificity towards their kinases:</w:t>
      </w:r>
      <w:r w:rsidR="00354430" w:rsidRPr="00844EEF">
        <w:rPr>
          <w:lang w:val="en-US"/>
        </w:rPr>
        <w:t xml:space="preserve"> PIG1 cells were exposed to 25 </w:t>
      </w:r>
      <w:proofErr w:type="spellStart"/>
      <w:r w:rsidR="00354430" w:rsidRPr="00844EEF">
        <w:rPr>
          <w:lang w:val="en-US"/>
        </w:rPr>
        <w:t>μM</w:t>
      </w:r>
      <w:proofErr w:type="spellEnd"/>
      <w:r w:rsidR="00354430" w:rsidRPr="00844EEF">
        <w:rPr>
          <w:lang w:val="en-US"/>
        </w:rPr>
        <w:t xml:space="preserve"> LY294002, 10 </w:t>
      </w:r>
      <w:proofErr w:type="spellStart"/>
      <w:r w:rsidR="00354430" w:rsidRPr="00844EEF">
        <w:rPr>
          <w:lang w:val="en-US"/>
        </w:rPr>
        <w:t>μM</w:t>
      </w:r>
      <w:proofErr w:type="spellEnd"/>
      <w:r w:rsidR="00354430" w:rsidRPr="00844EEF">
        <w:rPr>
          <w:lang w:val="en-US"/>
        </w:rPr>
        <w:t xml:space="preserve"> U0126, 10 </w:t>
      </w:r>
      <w:proofErr w:type="spellStart"/>
      <w:r w:rsidR="00354430" w:rsidRPr="00844EEF">
        <w:rPr>
          <w:lang w:val="en-US"/>
        </w:rPr>
        <w:t>μM</w:t>
      </w:r>
      <w:proofErr w:type="spellEnd"/>
      <w:r w:rsidR="00354430" w:rsidRPr="00844EEF">
        <w:rPr>
          <w:lang w:val="en-US"/>
        </w:rPr>
        <w:t xml:space="preserve"> H89 or 1 </w:t>
      </w:r>
      <w:proofErr w:type="spellStart"/>
      <w:r w:rsidR="00354430" w:rsidRPr="00844EEF">
        <w:rPr>
          <w:lang w:val="en-US"/>
        </w:rPr>
        <w:t>μM</w:t>
      </w:r>
      <w:proofErr w:type="spellEnd"/>
      <w:r w:rsidR="00354430" w:rsidRPr="00844EEF">
        <w:rPr>
          <w:lang w:val="en-US"/>
        </w:rPr>
        <w:t xml:space="preserve"> Go6983 for 3 h, and cells were lysed and immunoblotted. Each phospho blot was stripped and reprobed with antibodies that bind respective total protein. Equal loading was verified using β-actin antibodies.</w:t>
      </w:r>
      <w:r w:rsidR="00354430">
        <w:rPr>
          <w:lang w:val="en-US"/>
        </w:rPr>
        <w:t xml:space="preserve"> </w:t>
      </w:r>
    </w:p>
    <w:p w14:paraId="11010F38" w14:textId="77777777" w:rsidR="001236A2" w:rsidRDefault="001236A2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0D55641B" w14:textId="70B19E26" w:rsidR="00354430" w:rsidRDefault="00BB74A7" w:rsidP="008332E8">
      <w:pPr>
        <w:tabs>
          <w:tab w:val="left" w:pos="1554"/>
        </w:tabs>
        <w:spacing w:line="360" w:lineRule="auto"/>
        <w:jc w:val="both"/>
        <w:rPr>
          <w:b/>
          <w:bCs/>
          <w:u w:val="single"/>
          <w:lang w:val="en-US"/>
        </w:rPr>
      </w:pPr>
      <w:r w:rsidRPr="00030040">
        <w:rPr>
          <w:b/>
          <w:bCs/>
          <w:u w:val="single"/>
          <w:lang w:val="en-US"/>
        </w:rPr>
        <w:t>Supplementary Figure-</w:t>
      </w:r>
      <w:r w:rsidR="00770861" w:rsidRPr="00030040">
        <w:rPr>
          <w:b/>
          <w:bCs/>
          <w:u w:val="single"/>
          <w:lang w:val="en-US"/>
        </w:rPr>
        <w:t>2</w:t>
      </w:r>
      <w:r w:rsidRPr="00030040">
        <w:rPr>
          <w:b/>
          <w:bCs/>
          <w:u w:val="single"/>
          <w:lang w:val="en-US"/>
        </w:rPr>
        <w:t>:</w:t>
      </w:r>
    </w:p>
    <w:p w14:paraId="690D0A98" w14:textId="77777777" w:rsidR="001236A2" w:rsidRPr="00030040" w:rsidRDefault="001236A2" w:rsidP="008332E8">
      <w:pPr>
        <w:tabs>
          <w:tab w:val="left" w:pos="1554"/>
        </w:tabs>
        <w:spacing w:line="360" w:lineRule="auto"/>
        <w:jc w:val="both"/>
        <w:rPr>
          <w:b/>
          <w:bCs/>
          <w:lang w:val="en-US"/>
        </w:rPr>
      </w:pPr>
    </w:p>
    <w:p w14:paraId="4E51F26E" w14:textId="67167000" w:rsidR="00882814" w:rsidRDefault="00376F69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030040">
        <w:rPr>
          <w:b/>
          <w:bCs/>
          <w:lang w:val="en-US"/>
        </w:rPr>
        <w:t>(A):</w:t>
      </w:r>
      <w:r>
        <w:rPr>
          <w:lang w:val="en-US"/>
        </w:rPr>
        <w:t xml:space="preserve"> </w:t>
      </w:r>
      <w:r w:rsidR="00810F78" w:rsidRPr="00810F78">
        <w:rPr>
          <w:u w:val="single"/>
          <w:lang w:val="en-US"/>
        </w:rPr>
        <w:t>Lentiviral infection efficiency</w:t>
      </w:r>
      <w:r w:rsidR="00810F78">
        <w:rPr>
          <w:lang w:val="en-US"/>
        </w:rPr>
        <w:t xml:space="preserve">: </w:t>
      </w:r>
      <w:r w:rsidR="00882814" w:rsidRPr="00844EEF">
        <w:rPr>
          <w:lang w:val="en-US"/>
        </w:rPr>
        <w:t>PIG1 melanocytes were infected with either BAD-shRNA or control-shRNA. 48 h after infection, cells were imaged using EVOS fluorescent microscope. Expression of GFP confirms that the efficiency of infection was near 100%.</w:t>
      </w:r>
    </w:p>
    <w:p w14:paraId="27C3F859" w14:textId="77777777" w:rsidR="003A0D87" w:rsidRPr="00844EEF" w:rsidRDefault="003A0D87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38CE3EAD" w14:textId="3EF16F1A" w:rsidR="00882814" w:rsidRDefault="00FA5408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030040">
        <w:rPr>
          <w:b/>
          <w:bCs/>
          <w:u w:val="single"/>
          <w:lang w:val="en-US"/>
        </w:rPr>
        <w:t>(B)</w:t>
      </w:r>
      <w:r w:rsidR="00882814" w:rsidRPr="00030040">
        <w:rPr>
          <w:b/>
          <w:bCs/>
          <w:u w:val="single"/>
          <w:lang w:val="en-US"/>
        </w:rPr>
        <w:t>:</w:t>
      </w:r>
      <w:r w:rsidR="00882814" w:rsidRPr="00844EEF">
        <w:rPr>
          <w:lang w:val="en-US"/>
        </w:rPr>
        <w:t xml:space="preserve"> </w:t>
      </w:r>
      <w:r w:rsidR="001E2488" w:rsidRPr="00810F78">
        <w:rPr>
          <w:u w:val="single"/>
          <w:lang w:val="en-US"/>
        </w:rPr>
        <w:t>BAD knockdown using BAD-shRNA</w:t>
      </w:r>
      <w:r w:rsidR="00317B0A">
        <w:rPr>
          <w:u w:val="single"/>
          <w:lang w:val="en-US"/>
        </w:rPr>
        <w:t>-2</w:t>
      </w:r>
      <w:r w:rsidR="001E2488">
        <w:rPr>
          <w:lang w:val="en-US"/>
        </w:rPr>
        <w:t xml:space="preserve">: </w:t>
      </w:r>
      <w:r w:rsidR="00882814" w:rsidRPr="00844EEF">
        <w:rPr>
          <w:lang w:val="en-US"/>
        </w:rPr>
        <w:t xml:space="preserve">PIG1 and PHEM </w:t>
      </w:r>
      <w:r w:rsidR="00D749EB">
        <w:rPr>
          <w:lang w:val="en-US"/>
        </w:rPr>
        <w:t xml:space="preserve">melanocytes </w:t>
      </w:r>
      <w:r w:rsidR="00882814" w:rsidRPr="00844EEF">
        <w:rPr>
          <w:lang w:val="en-US"/>
        </w:rPr>
        <w:t>were infected with</w:t>
      </w:r>
      <w:r w:rsidR="00C24223">
        <w:rPr>
          <w:lang w:val="en-US"/>
        </w:rPr>
        <w:t xml:space="preserve"> lentiviral particles </w:t>
      </w:r>
      <w:r w:rsidR="00317B0A" w:rsidRPr="00046F50">
        <w:rPr>
          <w:lang w:val="en-US"/>
        </w:rPr>
        <w:t>expressing BAD-shRNA</w:t>
      </w:r>
      <w:r w:rsidR="00317B0A">
        <w:rPr>
          <w:lang w:val="en-US"/>
        </w:rPr>
        <w:t>-2</w:t>
      </w:r>
      <w:r w:rsidR="00317B0A" w:rsidRPr="00046F50">
        <w:rPr>
          <w:lang w:val="en-US"/>
        </w:rPr>
        <w:t xml:space="preserve"> or </w:t>
      </w:r>
      <w:proofErr w:type="spellStart"/>
      <w:r w:rsidR="00317B0A" w:rsidRPr="00046F50">
        <w:rPr>
          <w:lang w:val="en-US"/>
        </w:rPr>
        <w:t>Scr</w:t>
      </w:r>
      <w:proofErr w:type="spellEnd"/>
      <w:r w:rsidR="00317B0A" w:rsidRPr="00046F50">
        <w:rPr>
          <w:lang w:val="en-US"/>
        </w:rPr>
        <w:t>-shRNA</w:t>
      </w:r>
      <w:r w:rsidR="00317B0A">
        <w:rPr>
          <w:lang w:val="en-US"/>
        </w:rPr>
        <w:t xml:space="preserve"> at</w:t>
      </w:r>
      <w:r w:rsidR="00C24223">
        <w:rPr>
          <w:lang w:val="en-US"/>
        </w:rPr>
        <w:t xml:space="preserve"> 5, 10 and 20 Multiplicity of Infection (MOI)</w:t>
      </w:r>
      <w:r w:rsidR="00882814" w:rsidRPr="00844EEF">
        <w:rPr>
          <w:lang w:val="en-US"/>
        </w:rPr>
        <w:t>. About 48 h after infection, cells were probed for BAD expression</w:t>
      </w:r>
      <w:r w:rsidR="00D749EB">
        <w:rPr>
          <w:lang w:val="en-US"/>
        </w:rPr>
        <w:t xml:space="preserve"> (left panel)</w:t>
      </w:r>
      <w:r w:rsidR="00882814" w:rsidRPr="00844EEF">
        <w:rPr>
          <w:lang w:val="en-US"/>
        </w:rPr>
        <w:t>.</w:t>
      </w:r>
      <w:r w:rsidR="00D749EB">
        <w:rPr>
          <w:lang w:val="en-US"/>
        </w:rPr>
        <w:t xml:space="preserve"> </w:t>
      </w:r>
      <w:r w:rsidR="00882814" w:rsidRPr="00844EEF">
        <w:rPr>
          <w:lang w:val="en-US"/>
        </w:rPr>
        <w:t xml:space="preserve">Cells expressing either BAD-shRNA or con-shRNA were treated with the </w:t>
      </w:r>
      <w:r w:rsidR="00A349F2">
        <w:rPr>
          <w:lang w:val="en-US"/>
        </w:rPr>
        <w:t xml:space="preserve">combination of four </w:t>
      </w:r>
      <w:r w:rsidR="00A349F2">
        <w:rPr>
          <w:lang w:val="en-US"/>
        </w:rPr>
        <w:lastRenderedPageBreak/>
        <w:t>kinase</w:t>
      </w:r>
      <w:r w:rsidR="00882814" w:rsidRPr="00844EEF">
        <w:rPr>
          <w:lang w:val="en-US"/>
        </w:rPr>
        <w:t xml:space="preserve"> inhibitors and caspase assay was performed using fluorogenic substrate Ac-DEVD-AMC</w:t>
      </w:r>
      <w:r w:rsidR="00D749EB">
        <w:rPr>
          <w:lang w:val="en-US"/>
        </w:rPr>
        <w:t xml:space="preserve"> (right panel)</w:t>
      </w:r>
      <w:r w:rsidR="00882814" w:rsidRPr="00844EEF">
        <w:rPr>
          <w:lang w:val="en-US"/>
        </w:rPr>
        <w:t>.</w:t>
      </w:r>
    </w:p>
    <w:p w14:paraId="7AD39503" w14:textId="54EFCC9E" w:rsidR="00AB42B4" w:rsidRDefault="00AB42B4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7A0B24">
        <w:rPr>
          <w:b/>
          <w:bCs/>
          <w:u w:val="single"/>
          <w:lang w:val="en-US"/>
        </w:rPr>
        <w:t>(C):</w:t>
      </w:r>
      <w:r w:rsidR="00764BA6" w:rsidRPr="007A0B24">
        <w:rPr>
          <w:u w:val="single"/>
          <w:lang w:val="en-US"/>
        </w:rPr>
        <w:t xml:space="preserve"> BAD knockdown using BAD-shRNA</w:t>
      </w:r>
      <w:r w:rsidR="007A0B24" w:rsidRPr="007A0B24">
        <w:rPr>
          <w:u w:val="single"/>
          <w:lang w:val="en-US"/>
        </w:rPr>
        <w:t>-3</w:t>
      </w:r>
      <w:r w:rsidR="00764BA6" w:rsidRPr="007A0B24">
        <w:rPr>
          <w:lang w:val="en-US"/>
        </w:rPr>
        <w:t xml:space="preserve">: </w:t>
      </w:r>
      <w:r w:rsidRPr="007A0B24">
        <w:rPr>
          <w:lang w:val="en-US"/>
        </w:rPr>
        <w:t xml:space="preserve"> PIG1 and PHEM melanocytes were infected with lentiviral particles </w:t>
      </w:r>
      <w:r w:rsidR="007A0B24" w:rsidRPr="007A0B24">
        <w:rPr>
          <w:lang w:val="en-US"/>
        </w:rPr>
        <w:t xml:space="preserve">expressing BAD-shRNA-3 or </w:t>
      </w:r>
      <w:proofErr w:type="spellStart"/>
      <w:r w:rsidR="007A0B24" w:rsidRPr="007A0B24">
        <w:rPr>
          <w:lang w:val="en-US"/>
        </w:rPr>
        <w:t>Scr</w:t>
      </w:r>
      <w:proofErr w:type="spellEnd"/>
      <w:r w:rsidR="007A0B24" w:rsidRPr="007A0B24">
        <w:rPr>
          <w:lang w:val="en-US"/>
        </w:rPr>
        <w:t xml:space="preserve">-shRNA </w:t>
      </w:r>
      <w:r w:rsidRPr="007A0B24">
        <w:rPr>
          <w:lang w:val="en-US"/>
        </w:rPr>
        <w:t xml:space="preserve">at 20 MOI. About 48 h after infection, </w:t>
      </w:r>
      <w:r w:rsidR="001E2488" w:rsidRPr="007A0B24">
        <w:rPr>
          <w:lang w:val="en-US"/>
        </w:rPr>
        <w:t>images were taken using EVOS fluorescent microscope</w:t>
      </w:r>
      <w:r w:rsidR="004B4AD8" w:rsidRPr="007A0B24">
        <w:rPr>
          <w:lang w:val="en-US"/>
        </w:rPr>
        <w:t xml:space="preserve"> for PHE melanocytes</w:t>
      </w:r>
      <w:r w:rsidR="00DF4502" w:rsidRPr="007A0B24">
        <w:rPr>
          <w:lang w:val="en-US"/>
        </w:rPr>
        <w:t xml:space="preserve"> (left top panel)</w:t>
      </w:r>
      <w:r w:rsidR="004A4561" w:rsidRPr="007A0B24">
        <w:rPr>
          <w:lang w:val="en-US"/>
        </w:rPr>
        <w:t>. C</w:t>
      </w:r>
      <w:r w:rsidRPr="007A0B24">
        <w:rPr>
          <w:lang w:val="en-US"/>
        </w:rPr>
        <w:t>ell</w:t>
      </w:r>
      <w:r w:rsidR="00856E8D" w:rsidRPr="007A0B24">
        <w:rPr>
          <w:lang w:val="en-US"/>
        </w:rPr>
        <w:t xml:space="preserve"> lysates</w:t>
      </w:r>
      <w:r w:rsidRPr="007A0B24">
        <w:rPr>
          <w:lang w:val="en-US"/>
        </w:rPr>
        <w:t xml:space="preserve"> were probed for BAD expression (left </w:t>
      </w:r>
      <w:r w:rsidR="00BA1D7A" w:rsidRPr="007A0B24">
        <w:rPr>
          <w:lang w:val="en-US"/>
        </w:rPr>
        <w:t xml:space="preserve">bottom </w:t>
      </w:r>
      <w:r w:rsidRPr="007A0B24">
        <w:rPr>
          <w:lang w:val="en-US"/>
        </w:rPr>
        <w:t>panel). Cells expressing either BAD-shRNA or con-shRNA were treated with the combination of four kinase inhibitors and caspase assay was performed using fluorogenic substrate Ac-DEVD-AMC (right panel).</w:t>
      </w:r>
    </w:p>
    <w:p w14:paraId="41B5DF4F" w14:textId="77777777" w:rsidR="003A0D87" w:rsidRPr="00844EEF" w:rsidRDefault="003A0D87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2BD6A683" w14:textId="7DB31C3B" w:rsidR="003B16F5" w:rsidRDefault="00882814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3B16F5">
        <w:rPr>
          <w:b/>
          <w:bCs/>
          <w:u w:val="single"/>
          <w:lang w:val="en-US"/>
        </w:rPr>
        <w:t>Supplementary Figure-3:</w:t>
      </w:r>
      <w:r w:rsidRPr="00844EEF">
        <w:rPr>
          <w:lang w:val="en-US"/>
        </w:rPr>
        <w:t xml:space="preserve"> </w:t>
      </w:r>
    </w:p>
    <w:p w14:paraId="5B4F119C" w14:textId="77777777" w:rsidR="00CE0B77" w:rsidRDefault="00CE0B77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</w:p>
    <w:p w14:paraId="5B216CE2" w14:textId="0855E174" w:rsidR="003A0D87" w:rsidRPr="00844EEF" w:rsidRDefault="003B16F5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3B16F5">
        <w:rPr>
          <w:b/>
          <w:bCs/>
          <w:lang w:val="en-US"/>
        </w:rPr>
        <w:t>(A):</w:t>
      </w:r>
      <w:r>
        <w:rPr>
          <w:lang w:val="en-US"/>
        </w:rPr>
        <w:t xml:space="preserve"> </w:t>
      </w:r>
      <w:r w:rsidR="00882814" w:rsidRPr="00600DB4">
        <w:rPr>
          <w:u w:val="single"/>
          <w:lang w:val="en-US"/>
        </w:rPr>
        <w:t>Mutant BAD expression is lethal to melanocytes:</w:t>
      </w:r>
      <w:r w:rsidR="00882814" w:rsidRPr="00844EEF">
        <w:rPr>
          <w:lang w:val="en-US"/>
        </w:rPr>
        <w:t xml:space="preserve"> Primary human epidermal melanocytes were cotransfected with EGFP vector and either empty vector, BAD-</w:t>
      </w:r>
      <w:proofErr w:type="spellStart"/>
      <w:r w:rsidR="00882814" w:rsidRPr="00844EEF">
        <w:rPr>
          <w:lang w:val="en-US"/>
        </w:rPr>
        <w:t>wt</w:t>
      </w:r>
      <w:proofErr w:type="spellEnd"/>
      <w:r w:rsidR="00882814" w:rsidRPr="00844EEF">
        <w:rPr>
          <w:lang w:val="en-US"/>
        </w:rPr>
        <w:t>, BAD-1SA, BAD-2SA or BAD-3SA. Where indicated cells were incubated with 20 μM Z-VAD-FMK. Approximately 20 h after transfection, cells were washed</w:t>
      </w:r>
      <w:r w:rsidR="008B0D20">
        <w:rPr>
          <w:lang w:val="en-US"/>
        </w:rPr>
        <w:t xml:space="preserve"> </w:t>
      </w:r>
      <w:r w:rsidR="00882814" w:rsidRPr="00844EEF">
        <w:rPr>
          <w:lang w:val="en-US"/>
        </w:rPr>
        <w:t>and GFP fluorescence reading was taken using microplate reader.</w:t>
      </w:r>
    </w:p>
    <w:p w14:paraId="59B1C978" w14:textId="6E6E63FF" w:rsidR="00882814" w:rsidRPr="00844EEF" w:rsidRDefault="00600DB4" w:rsidP="008332E8">
      <w:pPr>
        <w:tabs>
          <w:tab w:val="left" w:pos="1554"/>
        </w:tabs>
        <w:spacing w:line="360" w:lineRule="auto"/>
        <w:jc w:val="both"/>
        <w:rPr>
          <w:lang w:val="en-US"/>
        </w:rPr>
      </w:pPr>
      <w:r w:rsidRPr="00600DB4">
        <w:rPr>
          <w:b/>
          <w:bCs/>
          <w:u w:val="single"/>
          <w:lang w:val="en-US"/>
        </w:rPr>
        <w:t>(B):</w:t>
      </w:r>
      <w:r w:rsidR="00882814" w:rsidRPr="00844EEF">
        <w:rPr>
          <w:lang w:val="en-US"/>
        </w:rPr>
        <w:t xml:space="preserve"> </w:t>
      </w:r>
      <w:r w:rsidR="008441FF" w:rsidRPr="008441FF">
        <w:rPr>
          <w:u w:val="single"/>
          <w:lang w:val="en-US"/>
        </w:rPr>
        <w:t>BAD overexpression induced early apoptosis:</w:t>
      </w:r>
      <w:r w:rsidR="008441FF">
        <w:rPr>
          <w:lang w:val="en-US"/>
        </w:rPr>
        <w:t xml:space="preserve"> </w:t>
      </w:r>
      <w:r w:rsidR="00882814" w:rsidRPr="00844EEF">
        <w:rPr>
          <w:lang w:val="en-US"/>
        </w:rPr>
        <w:t xml:space="preserve">Primary human epidermal melanocytes were cotransfected with EGFP vector and HA-BAD-wt. 20 h after transfection, cells were treated with indicated inhibitors for 4 h and 24 h. At the end of incubation, cells were </w:t>
      </w:r>
      <w:r w:rsidR="00952D1B">
        <w:rPr>
          <w:lang w:val="en-US"/>
        </w:rPr>
        <w:t>washed</w:t>
      </w:r>
      <w:r w:rsidR="00882814" w:rsidRPr="00844EEF">
        <w:rPr>
          <w:lang w:val="en-US"/>
        </w:rPr>
        <w:t xml:space="preserve"> and GFP fluorescence reading was taken using microplate reader.</w:t>
      </w:r>
    </w:p>
    <w:p w14:paraId="3DD72A4F" w14:textId="77777777" w:rsidR="00214622" w:rsidRPr="00882814" w:rsidRDefault="00214622" w:rsidP="008332E8">
      <w:pPr>
        <w:spacing w:line="360" w:lineRule="auto"/>
        <w:rPr>
          <w:lang w:val="en-US"/>
        </w:rPr>
      </w:pPr>
    </w:p>
    <w:sectPr w:rsidR="00214622" w:rsidRPr="00882814" w:rsidSect="0015095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814"/>
    <w:rsid w:val="0002673C"/>
    <w:rsid w:val="00030040"/>
    <w:rsid w:val="00080080"/>
    <w:rsid w:val="00086693"/>
    <w:rsid w:val="000C43A4"/>
    <w:rsid w:val="000C4467"/>
    <w:rsid w:val="000F6469"/>
    <w:rsid w:val="0011037D"/>
    <w:rsid w:val="00114584"/>
    <w:rsid w:val="001236A2"/>
    <w:rsid w:val="00140CF5"/>
    <w:rsid w:val="00150951"/>
    <w:rsid w:val="00163EAE"/>
    <w:rsid w:val="00182B52"/>
    <w:rsid w:val="0019285B"/>
    <w:rsid w:val="001C3E87"/>
    <w:rsid w:val="001D2B3E"/>
    <w:rsid w:val="001D3FD8"/>
    <w:rsid w:val="001D63F4"/>
    <w:rsid w:val="001E2488"/>
    <w:rsid w:val="00214622"/>
    <w:rsid w:val="002319FF"/>
    <w:rsid w:val="00243B60"/>
    <w:rsid w:val="002754E4"/>
    <w:rsid w:val="002B1E95"/>
    <w:rsid w:val="00317B0A"/>
    <w:rsid w:val="003210C3"/>
    <w:rsid w:val="00354430"/>
    <w:rsid w:val="00354B97"/>
    <w:rsid w:val="00364143"/>
    <w:rsid w:val="00376F69"/>
    <w:rsid w:val="0038386E"/>
    <w:rsid w:val="00396B47"/>
    <w:rsid w:val="003A0D87"/>
    <w:rsid w:val="003B16F5"/>
    <w:rsid w:val="003C5869"/>
    <w:rsid w:val="003D18BF"/>
    <w:rsid w:val="003F0529"/>
    <w:rsid w:val="004036F7"/>
    <w:rsid w:val="00410F6A"/>
    <w:rsid w:val="004242DC"/>
    <w:rsid w:val="0043771C"/>
    <w:rsid w:val="00456567"/>
    <w:rsid w:val="00485A83"/>
    <w:rsid w:val="00490EED"/>
    <w:rsid w:val="004913B8"/>
    <w:rsid w:val="004A4561"/>
    <w:rsid w:val="004B4AD8"/>
    <w:rsid w:val="004D3D46"/>
    <w:rsid w:val="00524BA6"/>
    <w:rsid w:val="00567727"/>
    <w:rsid w:val="005A79DC"/>
    <w:rsid w:val="005B5D87"/>
    <w:rsid w:val="005F02CA"/>
    <w:rsid w:val="00600DB4"/>
    <w:rsid w:val="006042D3"/>
    <w:rsid w:val="00651844"/>
    <w:rsid w:val="006729C5"/>
    <w:rsid w:val="0068012A"/>
    <w:rsid w:val="006C5808"/>
    <w:rsid w:val="00764BA6"/>
    <w:rsid w:val="00770861"/>
    <w:rsid w:val="00770C20"/>
    <w:rsid w:val="00791F17"/>
    <w:rsid w:val="00792C90"/>
    <w:rsid w:val="007A0B24"/>
    <w:rsid w:val="008002BB"/>
    <w:rsid w:val="008013C7"/>
    <w:rsid w:val="00810F78"/>
    <w:rsid w:val="008237E2"/>
    <w:rsid w:val="008332E8"/>
    <w:rsid w:val="008441FF"/>
    <w:rsid w:val="00856E8D"/>
    <w:rsid w:val="00882814"/>
    <w:rsid w:val="008B0D20"/>
    <w:rsid w:val="008D4D08"/>
    <w:rsid w:val="008E303D"/>
    <w:rsid w:val="00952D1B"/>
    <w:rsid w:val="009711D8"/>
    <w:rsid w:val="009D0897"/>
    <w:rsid w:val="009D653F"/>
    <w:rsid w:val="009F0972"/>
    <w:rsid w:val="009F34FA"/>
    <w:rsid w:val="00A20A6B"/>
    <w:rsid w:val="00A349F2"/>
    <w:rsid w:val="00A44C40"/>
    <w:rsid w:val="00A6150A"/>
    <w:rsid w:val="00AB42B4"/>
    <w:rsid w:val="00AB4904"/>
    <w:rsid w:val="00AF21B7"/>
    <w:rsid w:val="00BA1D7A"/>
    <w:rsid w:val="00BB4109"/>
    <w:rsid w:val="00BB74A7"/>
    <w:rsid w:val="00BD7BF4"/>
    <w:rsid w:val="00C178F5"/>
    <w:rsid w:val="00C24223"/>
    <w:rsid w:val="00C57273"/>
    <w:rsid w:val="00C85FFE"/>
    <w:rsid w:val="00CB2BD3"/>
    <w:rsid w:val="00CB318E"/>
    <w:rsid w:val="00CE0B77"/>
    <w:rsid w:val="00CF3EB6"/>
    <w:rsid w:val="00D56A1B"/>
    <w:rsid w:val="00D749EB"/>
    <w:rsid w:val="00D90EBB"/>
    <w:rsid w:val="00D926A1"/>
    <w:rsid w:val="00D97940"/>
    <w:rsid w:val="00DF4502"/>
    <w:rsid w:val="00E219C7"/>
    <w:rsid w:val="00EB5F1D"/>
    <w:rsid w:val="00EC2FF7"/>
    <w:rsid w:val="00ED2F24"/>
    <w:rsid w:val="00F52E33"/>
    <w:rsid w:val="00FA5408"/>
    <w:rsid w:val="00FD5866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5022C"/>
  <w15:chartTrackingRefBased/>
  <w15:docId w15:val="{C861999E-BFE4-E54C-89AC-2ED715B1A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8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Sastry Konduru</cp:lastModifiedBy>
  <cp:revision>74</cp:revision>
  <dcterms:created xsi:type="dcterms:W3CDTF">2020-03-29T13:17:00Z</dcterms:created>
  <dcterms:modified xsi:type="dcterms:W3CDTF">2020-08-12T10:24:00Z</dcterms:modified>
</cp:coreProperties>
</file>