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868" w:rsidRDefault="00B13868" w:rsidP="00B13868">
      <w:pPr>
        <w:spacing w:after="0" w:line="480" w:lineRule="auto"/>
        <w:jc w:val="both"/>
        <w:rPr>
          <w:rFonts w:asciiTheme="minorBidi" w:hAnsiTheme="minorBidi"/>
          <w:b/>
          <w:bCs/>
          <w:sz w:val="20"/>
          <w:szCs w:val="20"/>
        </w:rPr>
      </w:pPr>
      <w:r w:rsidRPr="00DF4D58">
        <w:rPr>
          <w:rFonts w:asciiTheme="minorBidi" w:hAnsiTheme="minorBidi"/>
          <w:b/>
          <w:bCs/>
          <w:sz w:val="20"/>
          <w:szCs w:val="20"/>
        </w:rPr>
        <w:t>Supplementary table 1</w:t>
      </w:r>
      <w:r>
        <w:rPr>
          <w:rFonts w:asciiTheme="minorBidi" w:hAnsiTheme="minorBidi"/>
          <w:b/>
          <w:bCs/>
          <w:sz w:val="20"/>
          <w:szCs w:val="20"/>
        </w:rPr>
        <w:t>: Literature review of the previously reported patients with GS2 in the MENA region.</w:t>
      </w:r>
    </w:p>
    <w:tbl>
      <w:tblPr>
        <w:tblStyle w:val="TableGrid"/>
        <w:tblW w:w="0" w:type="auto"/>
        <w:tblLayout w:type="fixed"/>
        <w:tblCellMar>
          <w:left w:w="0" w:type="dxa"/>
          <w:right w:w="0" w:type="dxa"/>
        </w:tblCellMar>
        <w:tblLook w:val="04A0" w:firstRow="1" w:lastRow="0" w:firstColumn="1" w:lastColumn="0" w:noHBand="0" w:noVBand="1"/>
      </w:tblPr>
      <w:tblGrid>
        <w:gridCol w:w="704"/>
        <w:gridCol w:w="1276"/>
        <w:gridCol w:w="992"/>
        <w:gridCol w:w="992"/>
        <w:gridCol w:w="851"/>
        <w:gridCol w:w="1701"/>
        <w:gridCol w:w="1780"/>
        <w:gridCol w:w="1671"/>
      </w:tblGrid>
      <w:tr w:rsidR="00B13868" w:rsidRPr="00C67805" w:rsidTr="00D7291A">
        <w:tc>
          <w:tcPr>
            <w:tcW w:w="704" w:type="dxa"/>
            <w:vAlign w:val="center"/>
          </w:tcPr>
          <w:p w:rsidR="00B13868" w:rsidRPr="00DF4D58" w:rsidRDefault="00B13868" w:rsidP="00D7291A">
            <w:pPr>
              <w:jc w:val="center"/>
              <w:rPr>
                <w:rFonts w:ascii="Arial Narrow" w:hAnsi="Arial Narrow"/>
                <w:b/>
                <w:bCs/>
                <w:sz w:val="20"/>
                <w:szCs w:val="20"/>
              </w:rPr>
            </w:pPr>
            <w:r w:rsidRPr="00DF4D58">
              <w:rPr>
                <w:rFonts w:ascii="Arial Narrow" w:hAnsi="Arial Narrow"/>
                <w:b/>
                <w:bCs/>
                <w:sz w:val="20"/>
                <w:szCs w:val="20"/>
              </w:rPr>
              <w:t>No. of patients</w:t>
            </w:r>
          </w:p>
        </w:tc>
        <w:tc>
          <w:tcPr>
            <w:tcW w:w="1276" w:type="dxa"/>
            <w:vAlign w:val="center"/>
          </w:tcPr>
          <w:p w:rsidR="00B13868" w:rsidRPr="00DF4D58" w:rsidRDefault="00B13868" w:rsidP="00D7291A">
            <w:pPr>
              <w:jc w:val="center"/>
              <w:rPr>
                <w:rFonts w:ascii="Arial Narrow" w:hAnsi="Arial Narrow"/>
                <w:b/>
                <w:bCs/>
                <w:sz w:val="20"/>
                <w:szCs w:val="20"/>
              </w:rPr>
            </w:pPr>
            <w:r w:rsidRPr="00DF4D58">
              <w:rPr>
                <w:rFonts w:ascii="Arial Narrow" w:hAnsi="Arial Narrow"/>
                <w:b/>
                <w:bCs/>
                <w:sz w:val="20"/>
                <w:szCs w:val="20"/>
              </w:rPr>
              <w:t>Consanguinity</w:t>
            </w:r>
          </w:p>
        </w:tc>
        <w:tc>
          <w:tcPr>
            <w:tcW w:w="992" w:type="dxa"/>
            <w:vAlign w:val="center"/>
          </w:tcPr>
          <w:p w:rsidR="00B13868" w:rsidRPr="00DF4D58" w:rsidRDefault="00B13868" w:rsidP="00D7291A">
            <w:pPr>
              <w:jc w:val="center"/>
              <w:rPr>
                <w:rFonts w:ascii="Arial Narrow" w:hAnsi="Arial Narrow"/>
                <w:b/>
                <w:bCs/>
                <w:sz w:val="20"/>
                <w:szCs w:val="20"/>
              </w:rPr>
            </w:pPr>
            <w:r w:rsidRPr="00DF4D58">
              <w:rPr>
                <w:rFonts w:ascii="Arial Narrow" w:hAnsi="Arial Narrow"/>
                <w:b/>
                <w:bCs/>
                <w:sz w:val="20"/>
                <w:szCs w:val="20"/>
              </w:rPr>
              <w:t>Cutaneous findings</w:t>
            </w:r>
          </w:p>
        </w:tc>
        <w:tc>
          <w:tcPr>
            <w:tcW w:w="992" w:type="dxa"/>
            <w:vAlign w:val="center"/>
          </w:tcPr>
          <w:p w:rsidR="00B13868" w:rsidRPr="00DF4D58" w:rsidRDefault="00B13868" w:rsidP="00D7291A">
            <w:pPr>
              <w:jc w:val="center"/>
              <w:rPr>
                <w:rFonts w:ascii="Arial Narrow" w:hAnsi="Arial Narrow"/>
                <w:b/>
                <w:bCs/>
                <w:sz w:val="20"/>
                <w:szCs w:val="20"/>
              </w:rPr>
            </w:pPr>
            <w:r w:rsidRPr="00DF4D58">
              <w:rPr>
                <w:rFonts w:ascii="Arial Narrow" w:hAnsi="Arial Narrow"/>
                <w:b/>
                <w:bCs/>
                <w:sz w:val="20"/>
                <w:szCs w:val="20"/>
              </w:rPr>
              <w:t>CNS findings</w:t>
            </w:r>
          </w:p>
        </w:tc>
        <w:tc>
          <w:tcPr>
            <w:tcW w:w="851" w:type="dxa"/>
            <w:vAlign w:val="center"/>
          </w:tcPr>
          <w:p w:rsidR="00B13868" w:rsidRPr="00DF4D58" w:rsidRDefault="00B13868" w:rsidP="00D7291A">
            <w:pPr>
              <w:jc w:val="center"/>
              <w:rPr>
                <w:rFonts w:ascii="Arial Narrow" w:hAnsi="Arial Narrow"/>
                <w:b/>
                <w:bCs/>
                <w:sz w:val="20"/>
                <w:szCs w:val="20"/>
              </w:rPr>
            </w:pPr>
            <w:r w:rsidRPr="00DF4D58">
              <w:rPr>
                <w:rFonts w:ascii="Arial Narrow" w:hAnsi="Arial Narrow"/>
                <w:b/>
                <w:bCs/>
                <w:sz w:val="20"/>
                <w:szCs w:val="20"/>
              </w:rPr>
              <w:t>HLH</w:t>
            </w:r>
          </w:p>
        </w:tc>
        <w:tc>
          <w:tcPr>
            <w:tcW w:w="1701" w:type="dxa"/>
            <w:vAlign w:val="center"/>
          </w:tcPr>
          <w:p w:rsidR="00B13868" w:rsidRPr="00DF4D58" w:rsidRDefault="00B13868" w:rsidP="00D7291A">
            <w:pPr>
              <w:jc w:val="center"/>
              <w:rPr>
                <w:rFonts w:ascii="Arial Narrow" w:hAnsi="Arial Narrow"/>
                <w:b/>
                <w:bCs/>
                <w:sz w:val="20"/>
                <w:szCs w:val="20"/>
              </w:rPr>
            </w:pPr>
            <w:r w:rsidRPr="00DF4D58">
              <w:rPr>
                <w:rFonts w:ascii="Arial Narrow" w:hAnsi="Arial Narrow"/>
                <w:b/>
                <w:bCs/>
                <w:sz w:val="20"/>
                <w:szCs w:val="20"/>
              </w:rPr>
              <w:t>RAB27A pathogenic variant</w:t>
            </w:r>
          </w:p>
        </w:tc>
        <w:tc>
          <w:tcPr>
            <w:tcW w:w="1780" w:type="dxa"/>
          </w:tcPr>
          <w:p w:rsidR="00B13868" w:rsidRPr="00DF4D58" w:rsidRDefault="00B13868" w:rsidP="00D7291A">
            <w:pPr>
              <w:jc w:val="center"/>
              <w:rPr>
                <w:rFonts w:ascii="Arial Narrow" w:hAnsi="Arial Narrow"/>
                <w:b/>
                <w:bCs/>
                <w:sz w:val="20"/>
                <w:szCs w:val="20"/>
              </w:rPr>
            </w:pPr>
            <w:r w:rsidRPr="00DF4D58">
              <w:rPr>
                <w:rFonts w:ascii="Arial Narrow" w:hAnsi="Arial Narrow"/>
                <w:b/>
                <w:bCs/>
                <w:sz w:val="20"/>
                <w:szCs w:val="20"/>
              </w:rPr>
              <w:t>Origin</w:t>
            </w:r>
          </w:p>
        </w:tc>
        <w:tc>
          <w:tcPr>
            <w:tcW w:w="1671" w:type="dxa"/>
          </w:tcPr>
          <w:p w:rsidR="00B13868" w:rsidRPr="00DF4D58" w:rsidRDefault="00B13868" w:rsidP="00D7291A">
            <w:pPr>
              <w:jc w:val="center"/>
              <w:rPr>
                <w:rFonts w:ascii="Arial Narrow" w:hAnsi="Arial Narrow"/>
                <w:b/>
                <w:bCs/>
                <w:sz w:val="20"/>
                <w:szCs w:val="20"/>
              </w:rPr>
            </w:pPr>
            <w:r w:rsidRPr="00DF4D58">
              <w:rPr>
                <w:rFonts w:ascii="Arial Narrow" w:hAnsi="Arial Narrow"/>
                <w:b/>
                <w:bCs/>
                <w:sz w:val="20"/>
                <w:szCs w:val="20"/>
              </w:rPr>
              <w:t>Reference</w:t>
            </w:r>
          </w:p>
        </w:tc>
      </w:tr>
      <w:tr w:rsidR="00B13868" w:rsidRPr="00C67805" w:rsidTr="00D7291A">
        <w:trPr>
          <w:trHeight w:val="764"/>
        </w:trPr>
        <w:tc>
          <w:tcPr>
            <w:tcW w:w="704"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12</w:t>
            </w:r>
          </w:p>
        </w:tc>
        <w:tc>
          <w:tcPr>
            <w:tcW w:w="1276"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12/12</w:t>
            </w:r>
          </w:p>
        </w:tc>
        <w:tc>
          <w:tcPr>
            <w:tcW w:w="992"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12/12</w:t>
            </w:r>
          </w:p>
        </w:tc>
        <w:tc>
          <w:tcPr>
            <w:tcW w:w="992"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7/12</w:t>
            </w:r>
          </w:p>
        </w:tc>
        <w:tc>
          <w:tcPr>
            <w:tcW w:w="851"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7/12</w:t>
            </w:r>
          </w:p>
        </w:tc>
        <w:tc>
          <w:tcPr>
            <w:tcW w:w="1701"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N/A</w:t>
            </w:r>
          </w:p>
        </w:tc>
        <w:tc>
          <w:tcPr>
            <w:tcW w:w="1780" w:type="dxa"/>
          </w:tcPr>
          <w:p w:rsidR="00B13868" w:rsidRDefault="00B13868" w:rsidP="00D7291A">
            <w:pPr>
              <w:jc w:val="center"/>
              <w:rPr>
                <w:rFonts w:ascii="Arial Narrow" w:hAnsi="Arial Narrow"/>
                <w:sz w:val="20"/>
                <w:szCs w:val="20"/>
              </w:rPr>
            </w:pPr>
            <w:r w:rsidRPr="00DF4D58">
              <w:rPr>
                <w:rFonts w:ascii="Arial Narrow" w:hAnsi="Arial Narrow"/>
                <w:sz w:val="20"/>
                <w:szCs w:val="20"/>
              </w:rPr>
              <w:t>Arabian</w:t>
            </w:r>
          </w:p>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Peninsula</w:t>
            </w:r>
          </w:p>
        </w:tc>
        <w:tc>
          <w:tcPr>
            <w:tcW w:w="1671" w:type="dxa"/>
          </w:tcPr>
          <w:p w:rsidR="00B13868" w:rsidRPr="00DF4D58" w:rsidRDefault="00B13868" w:rsidP="00D7291A">
            <w:pPr>
              <w:rPr>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ADDIN ZOTERO_ITEM CSL_CITATION {"citationID":"a1e253c9uvu","properties":{"formattedCitation":"(Harfi et al., 1992)","plainCitation":"(Harfi et al., 1992)","noteIndex":0},"citationItems":[{"id":36,"uris":["http://zotero.org/users/local/28isNqcP/items/U3G8565T"],"uri":["http://zotero.org/users/local/28isNqcP/items/U3G8565T"],"itemData":{"id":36,"type":"article-journal","abstract":"We studied 12 children who presented with a recently recognized syndrome. The salient features of this new syndrome were recurrent fever; hepatosplenomegaly; pancytopenia; blond, golden to silvery gray hair; hypopigmented skin, progressive white matter demyelination; and early death. Seven patients died, four with severe central nervous system (CNS) involvement, and three with bone marrow failure and sepsis. Cutaneous anergy to recall antigens was present in all patients. Other immunological abnormalities were poor antibody responses; deficient T-cell responses to phytohemagglutinin (PHA), concanavalin A (Con-A), and allogeneic lymphocytes; hyperresponsiveness of B lymphocytes to pokeweed mitogen; and variable phagocytic defects. Histopathologic examination of the hair and skin biopsies showed characteristic distribution of melanin with melanocytes present in normal numbers but with fewer short dendritic processes. Langerhans' cells were present in normal numbers in some patients and sparse in others. This syndrome seems to cluster into two tribes from two different geographical areas in the Arabian Peninsula. In the eight families studied, 12 other siblings and close relatives were found to be affected. The mode of inheritance in this syndrome is that of an autosomal recessive pattern. We propose the term \"PAID syndrome\" to identify patients with the above features.","container-title":"Allergy Proceedings: The Official Journal of Regional and State Allergy Societies","DOI":"10.2500/108854192778816933","ISSN":"1046-9354","issue":"6","journalAbbreviation":"Allergy Proc","language":"eng","note":"PMID: 1490625","page":"321-328","source":"PubMed","title":"Partial albinism, immunodeficiency, and progressive white matter disease: a new primary immunodeficiency","title-short":"Partial albinism, immunodeficiency, and progressive white matter disease","volume":"13","author":[{"family":"Harfi","given":"H. A."},{"family":"Brismar","given":"J."},{"family":"Hainau","given":"B."},{"family":"Sabbah","given":"R."}],"issued":{"date-parts":[["1992",12]]}}}],"schema":"https://github.com/citation-style-language/schema/raw/master/csl-citation.json"} </w:instrText>
            </w:r>
            <w:r>
              <w:rPr>
                <w:rFonts w:ascii="Arial Narrow" w:hAnsi="Arial Narrow"/>
                <w:sz w:val="20"/>
                <w:szCs w:val="20"/>
              </w:rPr>
              <w:fldChar w:fldCharType="separate"/>
            </w:r>
            <w:r w:rsidRPr="00382335">
              <w:rPr>
                <w:rFonts w:ascii="Arial Narrow" w:hAnsi="Arial Narrow" w:cs="Times New Roman"/>
                <w:sz w:val="20"/>
              </w:rPr>
              <w:t>(</w:t>
            </w:r>
            <w:proofErr w:type="spellStart"/>
            <w:r w:rsidRPr="00382335">
              <w:rPr>
                <w:rFonts w:ascii="Arial Narrow" w:hAnsi="Arial Narrow" w:cs="Times New Roman"/>
                <w:sz w:val="20"/>
              </w:rPr>
              <w:t>Harfi</w:t>
            </w:r>
            <w:proofErr w:type="spellEnd"/>
            <w:r w:rsidRPr="00382335">
              <w:rPr>
                <w:rFonts w:ascii="Arial Narrow" w:hAnsi="Arial Narrow" w:cs="Times New Roman"/>
                <w:sz w:val="20"/>
              </w:rPr>
              <w:t xml:space="preserve"> et al., 1992)</w:t>
            </w:r>
            <w:r>
              <w:rPr>
                <w:rFonts w:ascii="Arial Narrow" w:hAnsi="Arial Narrow"/>
                <w:sz w:val="20"/>
                <w:szCs w:val="20"/>
              </w:rPr>
              <w:fldChar w:fldCharType="end"/>
            </w:r>
          </w:p>
        </w:tc>
      </w:tr>
      <w:tr w:rsidR="00B13868" w:rsidRPr="00C67805" w:rsidTr="00D7291A">
        <w:trPr>
          <w:trHeight w:val="521"/>
        </w:trPr>
        <w:tc>
          <w:tcPr>
            <w:tcW w:w="704"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1</w:t>
            </w:r>
          </w:p>
        </w:tc>
        <w:tc>
          <w:tcPr>
            <w:tcW w:w="1276"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w:t>
            </w:r>
          </w:p>
        </w:tc>
        <w:tc>
          <w:tcPr>
            <w:tcW w:w="992"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w:t>
            </w:r>
          </w:p>
        </w:tc>
        <w:tc>
          <w:tcPr>
            <w:tcW w:w="992"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w:t>
            </w:r>
          </w:p>
        </w:tc>
        <w:tc>
          <w:tcPr>
            <w:tcW w:w="851"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w:t>
            </w:r>
          </w:p>
        </w:tc>
        <w:tc>
          <w:tcPr>
            <w:tcW w:w="1701" w:type="dxa"/>
          </w:tcPr>
          <w:p w:rsidR="00B13868" w:rsidRPr="00DF4D58" w:rsidRDefault="00B13868" w:rsidP="00D7291A">
            <w:pPr>
              <w:pStyle w:val="NormalWeb"/>
              <w:spacing w:before="0" w:beforeAutospacing="0" w:after="0" w:afterAutospacing="0"/>
              <w:jc w:val="center"/>
              <w:rPr>
                <w:rFonts w:ascii="Arial Narrow" w:hAnsi="Arial Narrow" w:cstheme="minorBidi"/>
                <w:sz w:val="20"/>
                <w:szCs w:val="20"/>
              </w:rPr>
            </w:pPr>
            <w:r w:rsidRPr="00DF4D58">
              <w:rPr>
                <w:rFonts w:ascii="Arial Narrow" w:hAnsi="Arial Narrow" w:cstheme="minorBidi"/>
                <w:sz w:val="20"/>
                <w:szCs w:val="20"/>
              </w:rPr>
              <w:t>p.S18WfsX15</w:t>
            </w:r>
          </w:p>
          <w:p w:rsidR="00B13868" w:rsidRPr="00DF4D58" w:rsidRDefault="00B13868" w:rsidP="00D7291A">
            <w:pPr>
              <w:jc w:val="center"/>
              <w:rPr>
                <w:rFonts w:ascii="Arial Narrow" w:hAnsi="Arial Narrow"/>
                <w:sz w:val="20"/>
                <w:szCs w:val="20"/>
              </w:rPr>
            </w:pPr>
          </w:p>
        </w:tc>
        <w:tc>
          <w:tcPr>
            <w:tcW w:w="1780" w:type="dxa"/>
          </w:tcPr>
          <w:p w:rsidR="00B13868" w:rsidRPr="00DF4D58" w:rsidRDefault="00B13868" w:rsidP="00D7291A">
            <w:pPr>
              <w:pStyle w:val="NormalWeb"/>
              <w:spacing w:before="0" w:beforeAutospacing="0" w:after="0" w:afterAutospacing="0"/>
              <w:jc w:val="center"/>
              <w:rPr>
                <w:rFonts w:ascii="Arial Narrow" w:hAnsi="Arial Narrow" w:cstheme="minorBidi"/>
                <w:sz w:val="20"/>
                <w:szCs w:val="20"/>
              </w:rPr>
            </w:pPr>
            <w:r>
              <w:rPr>
                <w:rFonts w:ascii="Arial Narrow" w:hAnsi="Arial Narrow" w:cstheme="minorBidi"/>
                <w:sz w:val="20"/>
                <w:szCs w:val="20"/>
              </w:rPr>
              <w:t>Arabic</w:t>
            </w:r>
          </w:p>
        </w:tc>
        <w:tc>
          <w:tcPr>
            <w:tcW w:w="1671" w:type="dxa"/>
          </w:tcPr>
          <w:p w:rsidR="00B13868" w:rsidRPr="001806D4" w:rsidRDefault="00B13868" w:rsidP="00D7291A">
            <w:pPr>
              <w:pStyle w:val="NormalWeb"/>
              <w:spacing w:before="0" w:beforeAutospacing="0" w:after="0" w:afterAutospacing="0"/>
              <w:jc w:val="center"/>
              <w:rPr>
                <w:rFonts w:ascii="Arial Narrow" w:eastAsiaTheme="minorHAnsi" w:hAnsi="Arial Narrow" w:cstheme="minorBidi"/>
                <w:sz w:val="20"/>
                <w:szCs w:val="20"/>
              </w:rPr>
            </w:pPr>
            <w:r>
              <w:rPr>
                <w:rFonts w:ascii="Arial Narrow" w:eastAsiaTheme="minorHAnsi" w:hAnsi="Arial Narrow" w:cstheme="minorBidi"/>
                <w:sz w:val="20"/>
                <w:szCs w:val="20"/>
              </w:rPr>
              <w:fldChar w:fldCharType="begin"/>
            </w:r>
            <w:r>
              <w:rPr>
                <w:rFonts w:ascii="Arial Narrow" w:eastAsiaTheme="minorHAnsi" w:hAnsi="Arial Narrow" w:cstheme="minorBidi"/>
                <w:sz w:val="20"/>
                <w:szCs w:val="20"/>
              </w:rPr>
              <w:instrText xml:space="preserve"> ADDIN ZOTERO_ITEM CSL_CITATION {"citationID":"ar4h52qrnv","properties":{"formattedCitation":"(Aksu et al., 2003)","plainCitation":"(Aksu et al., 2003)","noteIndex":0},"citationItems":[{"id":32,"uris":["http://zotero.org/users/local/28isNqcP/items/38T7WI86"],"uri":["http://zotero.org/users/local/28isNqcP/items/38T7WI86"],"itemData":{"id":32,"type":"article-journal","abstract":"We present an eleven-year-old female patient who was referred to us with silvery hair, hepatosplenomegaly, neutropenia-thrombocytopenia, hypogammaglobulinemia and degenerative white matter disease, with a family history of a female sibling dying at the age of five and two living male cousins, ages 10 and 11. She had been followed up for her cytopenia the last three years and had totally recovered from a hemiplegic episode before admission. The family was of Arabic origin, and a second-degree consanguinity was reported between the parents. Microscopic analysis of her hair shafts revealed irregularly distributed small and large clumps of melanin, and skin biopsy findings were consistent with partial albinism. Bone marrow aspiration and biopsy did not detect any evidence of hemophagocytosis. Genetic analysis identified a homozygous two-base-pair deletion (51 del CT leading to S18X) in the Rab27A gene of the patient. She suffered from febrile neutropenic episodes. Her persistent cytopenia could not be corrected with immunoglobulin, thrombocyte infusions, or a short course of growth factor treatment. Splenectomy was planned due to her progressive splenic enlargement. She was also considered for bone marrow transplantation. She unfortunately died from an intracranial hemorrhage. Her clinical presentation was remarkable, mostly resembling partial albinism immunodeficiency/Elejalde syndrome due to her older age and absence of hemophagocytosis, but with molecular findings confirming Griscelli syndrome.","container-title":"American Journal of Medical Genetics. Part A","DOI":"10.1002/ajmg.a.10836","ISSN":"1552-4825","issue":"4","journalAbbreviation":"Am. J. Med. Genet. A","language":"eng","note":"PMID: 12522785","page":"329-333","source":"PubMed","title":"Griscelli syndrome without hemophagocytosis in an eleven-year-old girl: expanding the phenotypic spectrum of Rab27A mutations in humans","title-short":"Griscelli syndrome without hemophagocytosis in an eleven-year-old girl","volume":"116A","author":[{"family":"Aksu","given":"Güzide"},{"family":"Kütükçüler","given":"Necil"},{"family":"Genel","given":"Ferah"},{"family":"Vergin","given":"Canan"},{"family":"Omowaire","given":"Benjamin"}],"issued":{"date-parts":[["2003",2,1]]}}}],"schema":"https://github.com/citation-style-language/schema/raw/master/csl-citation.json"} </w:instrText>
            </w:r>
            <w:r>
              <w:rPr>
                <w:rFonts w:ascii="Arial Narrow" w:eastAsiaTheme="minorHAnsi" w:hAnsi="Arial Narrow" w:cstheme="minorBidi"/>
                <w:sz w:val="20"/>
                <w:szCs w:val="20"/>
              </w:rPr>
              <w:fldChar w:fldCharType="separate"/>
            </w:r>
            <w:r w:rsidRPr="00382335">
              <w:rPr>
                <w:rFonts w:ascii="Arial Narrow" w:hAnsi="Arial Narrow"/>
                <w:sz w:val="20"/>
              </w:rPr>
              <w:t>(</w:t>
            </w:r>
            <w:proofErr w:type="spellStart"/>
            <w:r w:rsidRPr="00382335">
              <w:rPr>
                <w:rFonts w:ascii="Arial Narrow" w:hAnsi="Arial Narrow"/>
                <w:sz w:val="20"/>
              </w:rPr>
              <w:t>Aksu</w:t>
            </w:r>
            <w:proofErr w:type="spellEnd"/>
            <w:r w:rsidRPr="00382335">
              <w:rPr>
                <w:rFonts w:ascii="Arial Narrow" w:hAnsi="Arial Narrow"/>
                <w:sz w:val="20"/>
              </w:rPr>
              <w:t xml:space="preserve"> et al., 2003)</w:t>
            </w:r>
            <w:r>
              <w:rPr>
                <w:rFonts w:ascii="Arial Narrow" w:eastAsiaTheme="minorHAnsi" w:hAnsi="Arial Narrow" w:cstheme="minorBidi"/>
                <w:sz w:val="20"/>
                <w:szCs w:val="20"/>
              </w:rPr>
              <w:fldChar w:fldCharType="end"/>
            </w:r>
          </w:p>
        </w:tc>
      </w:tr>
      <w:tr w:rsidR="00B13868" w:rsidRPr="00C67805" w:rsidTr="00D7291A">
        <w:trPr>
          <w:trHeight w:val="431"/>
        </w:trPr>
        <w:tc>
          <w:tcPr>
            <w:tcW w:w="704" w:type="dxa"/>
            <w:vMerge w:val="restart"/>
          </w:tcPr>
          <w:p w:rsidR="00B13868" w:rsidRDefault="00B13868" w:rsidP="00D7291A">
            <w:pPr>
              <w:jc w:val="center"/>
              <w:rPr>
                <w:rFonts w:ascii="Arial Narrow" w:hAnsi="Arial Narrow"/>
                <w:sz w:val="20"/>
                <w:szCs w:val="20"/>
              </w:rPr>
            </w:pPr>
          </w:p>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2</w:t>
            </w:r>
          </w:p>
        </w:tc>
        <w:tc>
          <w:tcPr>
            <w:tcW w:w="1276"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w:t>
            </w:r>
          </w:p>
        </w:tc>
        <w:tc>
          <w:tcPr>
            <w:tcW w:w="992"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w:t>
            </w:r>
          </w:p>
        </w:tc>
        <w:tc>
          <w:tcPr>
            <w:tcW w:w="992"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w:t>
            </w:r>
          </w:p>
        </w:tc>
        <w:tc>
          <w:tcPr>
            <w:tcW w:w="851"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w:t>
            </w:r>
          </w:p>
        </w:tc>
        <w:tc>
          <w:tcPr>
            <w:tcW w:w="1701"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N/A</w:t>
            </w:r>
          </w:p>
        </w:tc>
        <w:tc>
          <w:tcPr>
            <w:tcW w:w="1780" w:type="dxa"/>
            <w:vMerge w:val="restart"/>
          </w:tcPr>
          <w:p w:rsidR="00B13868" w:rsidRDefault="00B13868" w:rsidP="00D7291A">
            <w:pPr>
              <w:jc w:val="center"/>
              <w:rPr>
                <w:rFonts w:ascii="Arial Narrow" w:hAnsi="Arial Narrow"/>
                <w:sz w:val="20"/>
                <w:szCs w:val="20"/>
              </w:rPr>
            </w:pPr>
          </w:p>
          <w:p w:rsidR="00B13868" w:rsidRPr="00DF4D58" w:rsidRDefault="00B13868" w:rsidP="00D7291A">
            <w:pPr>
              <w:jc w:val="center"/>
              <w:rPr>
                <w:rFonts w:ascii="Arial Narrow" w:hAnsi="Arial Narrow"/>
                <w:sz w:val="20"/>
                <w:szCs w:val="20"/>
              </w:rPr>
            </w:pPr>
            <w:r>
              <w:rPr>
                <w:rFonts w:ascii="Arial Narrow" w:hAnsi="Arial Narrow"/>
                <w:sz w:val="20"/>
                <w:szCs w:val="20"/>
              </w:rPr>
              <w:t>Iran</w:t>
            </w:r>
          </w:p>
        </w:tc>
        <w:tc>
          <w:tcPr>
            <w:tcW w:w="1671" w:type="dxa"/>
            <w:vMerge w:val="restart"/>
          </w:tcPr>
          <w:p w:rsidR="00B13868" w:rsidRPr="00812533" w:rsidRDefault="00B13868" w:rsidP="00D7291A">
            <w:pPr>
              <w:jc w:val="center"/>
              <w:rPr>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ADDIN ZOTERO_ITEM CSL_CITATION {"citationID":"a8bfemkej6","properties":{"formattedCitation":"(Ashrafi et al., 2006)","plainCitation":"(Ashrafi et al., 2006)","noteIndex":0},"citationItems":[{"id":27,"uris":["http://zotero.org/users/local/28isNqcP/items/MJJSZ9KG"],"uri":["http://zotero.org/users/local/28isNqcP/items/MJJSZ9KG"],"itemData":{"id":27,"type":"article-journal","abstract":"We report a 6-year-old Iranian boy with silvery-gray hair, eyelashes and the eyebrows who was admitted because of seizures and subsequent stupor. He had previous history of acute hemiparesis at 1 year of age and hepatitis-like syndrome 3 months ago. Microscopic examination of the patient's hair shaft revealed different sized clumps of melanin seen in the center of the shafts. Bone marrow aspiration revealed erythroid hyperplasia and erythrophagocytic cells. Bilateral frontal cortical and subcortical high signal lesions, dirty white matter, high signal areas in the upper pons and in both caudates and lentiform nuclei in T2 WI were the brain MRI findings of the patient. He died in the accelerated phase of Griscelli Syndrome (GS) type 2. To our knowledge we report the first case of GS from Iran.","container-title":"European journal of paediatric neurology: EJPN: official journal of the European Paediatric Neurology Society","DOI":"10.1016/j.ejpn.2006.07.005","ISSN":"1090-3798","issue":"4","journalAbbreviation":"Eur. J. Paediatr. Neurol.","language":"eng","note":"PMID: 16952471","page":"207-209","source":"PubMed","title":"Bilateral basal ganglia involvement in a patient with Griscelli syndrome","volume":"10","author":[{"family":"Ashrafi","given":"Mahmoud Reza"},{"family":"Mohseni","given":"Meysam"},{"family":"Yazdani","given":"Shahrooz"},{"family":"Alizadeh","given":"Houman"},{"family":"Ramyar","given":"Asghar"},{"family":"Aghamohammadi","given":"Asghar"},{"family":"Izadyar","given":"Mina"},{"family":"Mahjoub","given":"Fatemeh"},{"family":"Heris","given":"Javad Ahmadian"}],"issued":{"date-parts":[["2006",7]]}}}],"schema":"https://github.com/citation-style-language/schema/raw/master/csl-citation.json"} </w:instrText>
            </w:r>
            <w:r>
              <w:rPr>
                <w:rFonts w:ascii="Arial Narrow" w:hAnsi="Arial Narrow"/>
                <w:sz w:val="20"/>
                <w:szCs w:val="20"/>
              </w:rPr>
              <w:fldChar w:fldCharType="separate"/>
            </w:r>
            <w:r w:rsidRPr="00382335">
              <w:rPr>
                <w:rFonts w:ascii="Arial Narrow" w:hAnsi="Arial Narrow" w:cs="Times New Roman"/>
                <w:sz w:val="20"/>
              </w:rPr>
              <w:t>(Ashrafi et al., 2006)</w:t>
            </w:r>
            <w:r>
              <w:rPr>
                <w:rFonts w:ascii="Arial Narrow" w:hAnsi="Arial Narrow"/>
                <w:sz w:val="20"/>
                <w:szCs w:val="20"/>
              </w:rPr>
              <w:fldChar w:fldCharType="end"/>
            </w:r>
          </w:p>
          <w:p w:rsidR="00B13868" w:rsidRPr="00DF4D58" w:rsidRDefault="00B13868" w:rsidP="00D7291A">
            <w:pPr>
              <w:ind w:left="-170" w:right="1610" w:hanging="142"/>
              <w:jc w:val="center"/>
              <w:rPr>
                <w:rFonts w:ascii="Arial Narrow" w:hAnsi="Arial Narrow"/>
                <w:sz w:val="20"/>
                <w:szCs w:val="20"/>
              </w:rPr>
            </w:pPr>
            <w:r w:rsidRPr="001806D4">
              <w:rPr>
                <w:rFonts w:ascii="Arial Narrow" w:hAnsi="Arial Narrow"/>
                <w:sz w:val="20"/>
                <w:szCs w:val="20"/>
              </w:rPr>
              <w:t>(2</w:t>
            </w:r>
            <w:r w:rsidRPr="00DF4D58">
              <w:rPr>
                <w:rFonts w:ascii="Arial Narrow" w:hAnsi="Arial Narrow"/>
                <w:sz w:val="20"/>
                <w:szCs w:val="20"/>
              </w:rPr>
              <w:t>t al</w:t>
            </w:r>
          </w:p>
        </w:tc>
      </w:tr>
      <w:tr w:rsidR="00B13868" w:rsidRPr="00C67805" w:rsidTr="00D7291A">
        <w:trPr>
          <w:trHeight w:val="431"/>
        </w:trPr>
        <w:tc>
          <w:tcPr>
            <w:tcW w:w="704" w:type="dxa"/>
            <w:vMerge/>
          </w:tcPr>
          <w:p w:rsidR="00B13868" w:rsidRPr="00DF4D58" w:rsidRDefault="00B13868" w:rsidP="00D7291A">
            <w:pPr>
              <w:jc w:val="center"/>
              <w:rPr>
                <w:rFonts w:ascii="Arial Narrow" w:hAnsi="Arial Narrow"/>
                <w:sz w:val="20"/>
                <w:szCs w:val="20"/>
              </w:rPr>
            </w:pPr>
          </w:p>
        </w:tc>
        <w:tc>
          <w:tcPr>
            <w:tcW w:w="1276"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w:t>
            </w:r>
          </w:p>
        </w:tc>
        <w:tc>
          <w:tcPr>
            <w:tcW w:w="992"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w:t>
            </w:r>
          </w:p>
        </w:tc>
        <w:tc>
          <w:tcPr>
            <w:tcW w:w="992"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N/A</w:t>
            </w:r>
          </w:p>
        </w:tc>
        <w:tc>
          <w:tcPr>
            <w:tcW w:w="851"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N/A</w:t>
            </w:r>
          </w:p>
        </w:tc>
        <w:tc>
          <w:tcPr>
            <w:tcW w:w="1701"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N/A</w:t>
            </w:r>
          </w:p>
        </w:tc>
        <w:tc>
          <w:tcPr>
            <w:tcW w:w="1780" w:type="dxa"/>
            <w:vMerge/>
          </w:tcPr>
          <w:p w:rsidR="00B13868" w:rsidRPr="00DF4D58" w:rsidRDefault="00B13868" w:rsidP="00D7291A">
            <w:pPr>
              <w:ind w:left="-132" w:right="1613" w:hanging="142"/>
              <w:jc w:val="center"/>
              <w:rPr>
                <w:rFonts w:ascii="Arial Narrow" w:hAnsi="Arial Narrow"/>
                <w:sz w:val="20"/>
                <w:szCs w:val="20"/>
              </w:rPr>
            </w:pPr>
          </w:p>
        </w:tc>
        <w:tc>
          <w:tcPr>
            <w:tcW w:w="1671" w:type="dxa"/>
            <w:vMerge/>
          </w:tcPr>
          <w:p w:rsidR="00B13868" w:rsidRPr="00DF4D58" w:rsidRDefault="00B13868" w:rsidP="00D7291A">
            <w:pPr>
              <w:ind w:left="-170" w:right="1610" w:hanging="142"/>
              <w:jc w:val="center"/>
              <w:rPr>
                <w:rFonts w:ascii="Arial Narrow" w:hAnsi="Arial Narrow"/>
                <w:sz w:val="20"/>
                <w:szCs w:val="20"/>
              </w:rPr>
            </w:pPr>
          </w:p>
        </w:tc>
      </w:tr>
      <w:tr w:rsidR="00B13868" w:rsidRPr="00C67805" w:rsidTr="00D7291A">
        <w:trPr>
          <w:trHeight w:val="746"/>
        </w:trPr>
        <w:tc>
          <w:tcPr>
            <w:tcW w:w="704"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1</w:t>
            </w:r>
          </w:p>
        </w:tc>
        <w:tc>
          <w:tcPr>
            <w:tcW w:w="1276"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w:t>
            </w:r>
          </w:p>
        </w:tc>
        <w:tc>
          <w:tcPr>
            <w:tcW w:w="992"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w:t>
            </w:r>
          </w:p>
        </w:tc>
        <w:tc>
          <w:tcPr>
            <w:tcW w:w="992"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w:t>
            </w:r>
          </w:p>
        </w:tc>
        <w:tc>
          <w:tcPr>
            <w:tcW w:w="851"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w:t>
            </w:r>
          </w:p>
        </w:tc>
        <w:tc>
          <w:tcPr>
            <w:tcW w:w="1701"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p.K134E</w:t>
            </w:r>
          </w:p>
        </w:tc>
        <w:tc>
          <w:tcPr>
            <w:tcW w:w="1780" w:type="dxa"/>
          </w:tcPr>
          <w:p w:rsidR="00B13868" w:rsidRPr="00DF4D58" w:rsidRDefault="00B13868" w:rsidP="00D7291A">
            <w:pPr>
              <w:jc w:val="center"/>
              <w:rPr>
                <w:rFonts w:ascii="Arial Narrow" w:hAnsi="Arial Narrow"/>
                <w:sz w:val="20"/>
                <w:szCs w:val="20"/>
              </w:rPr>
            </w:pPr>
            <w:r>
              <w:rPr>
                <w:rFonts w:ascii="Arial Narrow" w:hAnsi="Arial Narrow"/>
                <w:sz w:val="20"/>
                <w:szCs w:val="20"/>
              </w:rPr>
              <w:t>Jordan</w:t>
            </w:r>
          </w:p>
        </w:tc>
        <w:tc>
          <w:tcPr>
            <w:tcW w:w="1671" w:type="dxa"/>
          </w:tcPr>
          <w:p w:rsidR="00B13868" w:rsidRPr="00812533" w:rsidRDefault="00B13868" w:rsidP="00D7291A">
            <w:pPr>
              <w:jc w:val="center"/>
              <w:rPr>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ADDIN ZOTERO_ITEM CSL_CITATION {"citationID":"a1r2pu3gugn","properties":{"formattedCitation":"(Masri et al., 2008)","plainCitation":"(Masri et al., 2008)","noteIndex":0},"citationItems":[{"id":3,"uris":["http://zotero.org/users/local/28isNqcP/items/EBM7HL2W"],"uri":["http://zotero.org/users/local/28isNqcP/items/EBM7HL2W"],"itemData":{"id":3,"type":"article-journal","abstract":"Griscelli syndrome is a rare autosomal recessive disorder. It is characterized by pigment dilution and variable immune deficiency leading to increased susceptibility to certain infections and a tendency to develop a life-threatening hemophagocytic syndrome known as the accelerated phase. Griscelli syndrome is now classified into 3 types based on the genetic and molecular features. Primary neurological presentation without the accelerated phase is rare in type 2. In this article, the authors report a boy who was presented with seizures and diffuse white matter involvement unaccompanied by the other features of the accelerated phase. Mutation analysis in family members revealed the presence of a missense mutation in Rab27a gene. In addition to the rare presentation, this is the first case of Griscelli syndrome to be reported from Jordan.","container-title":"Journal of Child Neurology","DOI":"10.1177/0883073808315409","ISSN":"1708-8283","issue":"8","journalAbbreviation":"J. Child Neurol.","language":"eng","note":"PMID: 18403584","page":"964-967","source":"PubMed","title":"Griscelli syndrome type 2: a rare and lethal disorder","title-short":"Griscelli syndrome type 2","volume":"23","author":[{"family":"Masri","given":"Amira"},{"family":"Bakri","given":"Faris G."},{"family":"Al-Hussaini","given":"Maissa"},{"family":"Al-Hadidy","given":"Azmy"},{"family":"Hirzallah","given":"Rania"},{"family":"Saint Basile","given":"Geneviève","non-dropping-particle":"de"},{"family":"Hamamy","given":"Hanan"}],"issued":{"date-parts":[["2008",8]]}}}],"schema":"https://github.com/citation-style-language/schema/raw/master/csl-citation.json"} </w:instrText>
            </w:r>
            <w:r>
              <w:rPr>
                <w:rFonts w:ascii="Arial Narrow" w:hAnsi="Arial Narrow"/>
                <w:sz w:val="20"/>
                <w:szCs w:val="20"/>
              </w:rPr>
              <w:fldChar w:fldCharType="separate"/>
            </w:r>
            <w:r w:rsidRPr="00382335">
              <w:rPr>
                <w:rFonts w:ascii="Arial Narrow" w:hAnsi="Arial Narrow" w:cs="Times New Roman"/>
                <w:sz w:val="20"/>
              </w:rPr>
              <w:t>(</w:t>
            </w:r>
            <w:proofErr w:type="spellStart"/>
            <w:r w:rsidRPr="00382335">
              <w:rPr>
                <w:rFonts w:ascii="Arial Narrow" w:hAnsi="Arial Narrow" w:cs="Times New Roman"/>
                <w:sz w:val="20"/>
              </w:rPr>
              <w:t>Masri</w:t>
            </w:r>
            <w:proofErr w:type="spellEnd"/>
            <w:r w:rsidRPr="00382335">
              <w:rPr>
                <w:rFonts w:ascii="Arial Narrow" w:hAnsi="Arial Narrow" w:cs="Times New Roman"/>
                <w:sz w:val="20"/>
              </w:rPr>
              <w:t xml:space="preserve"> et al., 2008)</w:t>
            </w:r>
            <w:r>
              <w:rPr>
                <w:rFonts w:ascii="Arial Narrow" w:hAnsi="Arial Narrow"/>
                <w:sz w:val="20"/>
                <w:szCs w:val="20"/>
              </w:rPr>
              <w:fldChar w:fldCharType="end"/>
            </w:r>
          </w:p>
        </w:tc>
      </w:tr>
      <w:tr w:rsidR="00B13868" w:rsidRPr="00C67805" w:rsidTr="00D7291A">
        <w:trPr>
          <w:trHeight w:val="746"/>
        </w:trPr>
        <w:tc>
          <w:tcPr>
            <w:tcW w:w="704" w:type="dxa"/>
          </w:tcPr>
          <w:p w:rsidR="00B13868" w:rsidRPr="00DF4D58" w:rsidRDefault="00B13868" w:rsidP="00D7291A">
            <w:pPr>
              <w:jc w:val="center"/>
              <w:rPr>
                <w:rFonts w:ascii="Arial Narrow" w:hAnsi="Arial Narrow"/>
                <w:sz w:val="20"/>
                <w:szCs w:val="20"/>
              </w:rPr>
            </w:pPr>
            <w:r w:rsidRPr="001806D4">
              <w:rPr>
                <w:rFonts w:ascii="Arial Narrow" w:hAnsi="Arial Narrow"/>
                <w:sz w:val="20"/>
                <w:szCs w:val="20"/>
              </w:rPr>
              <w:t>9</w:t>
            </w:r>
          </w:p>
        </w:tc>
        <w:tc>
          <w:tcPr>
            <w:tcW w:w="1276" w:type="dxa"/>
          </w:tcPr>
          <w:p w:rsidR="00B13868" w:rsidRPr="00DF4D58" w:rsidRDefault="00B13868" w:rsidP="00D7291A">
            <w:pPr>
              <w:jc w:val="center"/>
              <w:rPr>
                <w:rFonts w:ascii="Arial Narrow" w:hAnsi="Arial Narrow"/>
                <w:sz w:val="20"/>
                <w:szCs w:val="20"/>
              </w:rPr>
            </w:pPr>
            <w:r w:rsidRPr="001806D4">
              <w:rPr>
                <w:rFonts w:ascii="Arial Narrow" w:hAnsi="Arial Narrow"/>
                <w:sz w:val="20"/>
                <w:szCs w:val="20"/>
              </w:rPr>
              <w:t>9/9</w:t>
            </w:r>
          </w:p>
        </w:tc>
        <w:tc>
          <w:tcPr>
            <w:tcW w:w="992" w:type="dxa"/>
          </w:tcPr>
          <w:p w:rsidR="00B13868" w:rsidRPr="00DF4D58" w:rsidRDefault="00B13868" w:rsidP="00D7291A">
            <w:pPr>
              <w:jc w:val="center"/>
              <w:rPr>
                <w:rFonts w:ascii="Arial Narrow" w:hAnsi="Arial Narrow"/>
                <w:sz w:val="20"/>
                <w:szCs w:val="20"/>
              </w:rPr>
            </w:pPr>
            <w:r w:rsidRPr="001806D4">
              <w:rPr>
                <w:rFonts w:ascii="Arial Narrow" w:hAnsi="Arial Narrow"/>
                <w:sz w:val="20"/>
                <w:szCs w:val="20"/>
              </w:rPr>
              <w:t>N/A</w:t>
            </w:r>
          </w:p>
        </w:tc>
        <w:tc>
          <w:tcPr>
            <w:tcW w:w="992" w:type="dxa"/>
          </w:tcPr>
          <w:p w:rsidR="00B13868" w:rsidRPr="00DF4D58" w:rsidRDefault="00B13868" w:rsidP="00D7291A">
            <w:pPr>
              <w:jc w:val="center"/>
              <w:rPr>
                <w:rFonts w:ascii="Arial Narrow" w:hAnsi="Arial Narrow"/>
                <w:sz w:val="20"/>
                <w:szCs w:val="20"/>
              </w:rPr>
            </w:pPr>
            <w:r w:rsidRPr="001806D4">
              <w:rPr>
                <w:rFonts w:ascii="Arial Narrow" w:hAnsi="Arial Narrow"/>
                <w:sz w:val="20"/>
                <w:szCs w:val="20"/>
              </w:rPr>
              <w:t>4/9</w:t>
            </w:r>
          </w:p>
        </w:tc>
        <w:tc>
          <w:tcPr>
            <w:tcW w:w="851" w:type="dxa"/>
          </w:tcPr>
          <w:p w:rsidR="00B13868" w:rsidRPr="00DF4D58" w:rsidRDefault="00B13868" w:rsidP="00D7291A">
            <w:pPr>
              <w:jc w:val="center"/>
              <w:rPr>
                <w:rFonts w:ascii="Arial Narrow" w:hAnsi="Arial Narrow"/>
                <w:sz w:val="20"/>
                <w:szCs w:val="20"/>
              </w:rPr>
            </w:pPr>
            <w:r w:rsidRPr="001806D4">
              <w:rPr>
                <w:rFonts w:ascii="Arial Narrow" w:hAnsi="Arial Narrow"/>
                <w:sz w:val="20"/>
                <w:szCs w:val="20"/>
              </w:rPr>
              <w:t>6/9</w:t>
            </w:r>
          </w:p>
        </w:tc>
        <w:tc>
          <w:tcPr>
            <w:tcW w:w="1701" w:type="dxa"/>
          </w:tcPr>
          <w:p w:rsidR="00B13868" w:rsidRPr="001806D4" w:rsidRDefault="00B13868" w:rsidP="00B13868">
            <w:pPr>
              <w:pStyle w:val="ListParagraph"/>
              <w:numPr>
                <w:ilvl w:val="0"/>
                <w:numId w:val="2"/>
              </w:numPr>
              <w:spacing w:after="0" w:line="240" w:lineRule="auto"/>
              <w:ind w:left="308" w:right="3" w:hanging="180"/>
              <w:jc w:val="center"/>
              <w:rPr>
                <w:rFonts w:ascii="Arial Narrow" w:hAnsi="Arial Narrow"/>
                <w:sz w:val="20"/>
                <w:szCs w:val="20"/>
              </w:rPr>
            </w:pPr>
            <w:r w:rsidRPr="001806D4">
              <w:rPr>
                <w:rFonts w:ascii="Arial Narrow" w:hAnsi="Arial Narrow"/>
                <w:sz w:val="20"/>
                <w:szCs w:val="20"/>
              </w:rPr>
              <w:t>p.Gln172fsX1 (5/9)</w:t>
            </w:r>
          </w:p>
          <w:p w:rsidR="00B13868" w:rsidRPr="001806D4" w:rsidRDefault="00B13868" w:rsidP="00B13868">
            <w:pPr>
              <w:pStyle w:val="ListParagraph"/>
              <w:numPr>
                <w:ilvl w:val="0"/>
                <w:numId w:val="2"/>
              </w:numPr>
              <w:spacing w:after="0" w:line="240" w:lineRule="auto"/>
              <w:ind w:left="128" w:right="3" w:hanging="180"/>
              <w:jc w:val="center"/>
              <w:rPr>
                <w:rFonts w:ascii="Arial Narrow" w:hAnsi="Arial Narrow"/>
                <w:sz w:val="20"/>
                <w:szCs w:val="20"/>
              </w:rPr>
            </w:pPr>
            <w:r w:rsidRPr="001806D4">
              <w:rPr>
                <w:rFonts w:ascii="Arial Narrow" w:hAnsi="Arial Narrow"/>
                <w:sz w:val="20"/>
                <w:szCs w:val="20"/>
              </w:rPr>
              <w:t>p.Ile114X (1/9)</w:t>
            </w:r>
          </w:p>
          <w:p w:rsidR="00B13868" w:rsidRPr="001806D4" w:rsidRDefault="00B13868" w:rsidP="00B13868">
            <w:pPr>
              <w:pStyle w:val="ListParagraph"/>
              <w:numPr>
                <w:ilvl w:val="0"/>
                <w:numId w:val="2"/>
              </w:numPr>
              <w:spacing w:after="0" w:line="240" w:lineRule="auto"/>
              <w:ind w:left="128" w:right="3" w:hanging="180"/>
              <w:jc w:val="center"/>
              <w:rPr>
                <w:rFonts w:ascii="Arial Narrow" w:hAnsi="Arial Narrow"/>
                <w:sz w:val="20"/>
                <w:szCs w:val="20"/>
              </w:rPr>
            </w:pPr>
            <w:r w:rsidRPr="001806D4">
              <w:rPr>
                <w:rFonts w:ascii="Arial Narrow" w:hAnsi="Arial Narrow"/>
                <w:sz w:val="20"/>
                <w:szCs w:val="20"/>
              </w:rPr>
              <w:t>p.Ile44Thr (1/9)</w:t>
            </w:r>
          </w:p>
          <w:p w:rsidR="00B13868" w:rsidRPr="001806D4" w:rsidRDefault="00B13868" w:rsidP="00B13868">
            <w:pPr>
              <w:pStyle w:val="ListParagraph"/>
              <w:numPr>
                <w:ilvl w:val="0"/>
                <w:numId w:val="2"/>
              </w:numPr>
              <w:spacing w:after="0" w:line="240" w:lineRule="auto"/>
              <w:ind w:left="308" w:right="3" w:hanging="180"/>
              <w:jc w:val="center"/>
              <w:rPr>
                <w:rFonts w:ascii="Arial Narrow" w:hAnsi="Arial Narrow"/>
                <w:sz w:val="20"/>
                <w:szCs w:val="20"/>
              </w:rPr>
            </w:pPr>
            <w:r w:rsidRPr="001806D4">
              <w:rPr>
                <w:rFonts w:ascii="Arial Narrow" w:hAnsi="Arial Narrow"/>
                <w:sz w:val="20"/>
                <w:szCs w:val="20"/>
              </w:rPr>
              <w:t>p.Arg50fsX34+ and p.Arg50Ther (1/9)</w:t>
            </w:r>
          </w:p>
          <w:p w:rsidR="00B13868" w:rsidRPr="00DF160B" w:rsidRDefault="00B13868" w:rsidP="00B13868">
            <w:pPr>
              <w:pStyle w:val="ListParagraph"/>
              <w:numPr>
                <w:ilvl w:val="0"/>
                <w:numId w:val="2"/>
              </w:numPr>
              <w:spacing w:after="0" w:line="240" w:lineRule="auto"/>
              <w:ind w:left="218" w:hanging="180"/>
              <w:jc w:val="center"/>
              <w:rPr>
                <w:rFonts w:ascii="Arial Narrow" w:hAnsi="Arial Narrow"/>
                <w:sz w:val="20"/>
                <w:szCs w:val="20"/>
              </w:rPr>
            </w:pPr>
            <w:r w:rsidRPr="00DF160B">
              <w:rPr>
                <w:rFonts w:ascii="Arial Narrow" w:hAnsi="Arial Narrow"/>
                <w:sz w:val="20"/>
                <w:szCs w:val="20"/>
              </w:rPr>
              <w:t>P.Gln172fsX1 (1/9)</w:t>
            </w:r>
          </w:p>
        </w:tc>
        <w:tc>
          <w:tcPr>
            <w:tcW w:w="1780" w:type="dxa"/>
          </w:tcPr>
          <w:p w:rsidR="00B13868" w:rsidRDefault="00B13868" w:rsidP="00D7291A">
            <w:pPr>
              <w:jc w:val="center"/>
              <w:rPr>
                <w:rFonts w:ascii="Arial Narrow" w:hAnsi="Arial Narrow"/>
                <w:sz w:val="20"/>
                <w:szCs w:val="20"/>
              </w:rPr>
            </w:pPr>
            <w:r w:rsidRPr="001806D4">
              <w:rPr>
                <w:rFonts w:ascii="Arial Narrow" w:hAnsi="Arial Narrow"/>
                <w:sz w:val="20"/>
                <w:szCs w:val="20"/>
              </w:rPr>
              <w:t>Iran</w:t>
            </w:r>
          </w:p>
        </w:tc>
        <w:tc>
          <w:tcPr>
            <w:tcW w:w="1671" w:type="dxa"/>
          </w:tcPr>
          <w:p w:rsidR="00B13868" w:rsidRDefault="00B13868" w:rsidP="00D7291A">
            <w:pPr>
              <w:rPr>
                <w:rFonts w:ascii="Arial Narrow" w:hAnsi="Arial Narrow"/>
                <w:sz w:val="20"/>
                <w:szCs w:val="20"/>
              </w:rPr>
            </w:pPr>
            <w:r>
              <w:rPr>
                <w:rFonts w:ascii="Arial Narrow" w:hAnsi="Arial Narrow"/>
                <w:sz w:val="20"/>
                <w:szCs w:val="20"/>
              </w:rPr>
              <w:t xml:space="preserve"> </w:t>
            </w:r>
            <w:r>
              <w:rPr>
                <w:rFonts w:ascii="Arial Narrow" w:hAnsi="Arial Narrow"/>
                <w:sz w:val="20"/>
                <w:szCs w:val="20"/>
              </w:rPr>
              <w:fldChar w:fldCharType="begin"/>
            </w:r>
            <w:r>
              <w:rPr>
                <w:rFonts w:ascii="Arial Narrow" w:hAnsi="Arial Narrow"/>
                <w:sz w:val="20"/>
                <w:szCs w:val="20"/>
              </w:rPr>
              <w:instrText xml:space="preserve"> ADDIN ZOTERO_ITEM CSL_CITATION {"citationID":"a14a7j3baoc","properties":{"formattedCitation":"(Mamishi et al., 2008)","plainCitation":"(Mamishi et al., 2008)","noteIndex":0},"citationItems":[{"id":89,"uris":["http://zotero.org/users/local/28isNqcP/items/7XQUTP63"],"uri":["http://zotero.org/users/local/28isNqcP/items/7XQUTP63"],"itemData":{"id":89,"type":"article-journal","container-title":"Journal of Clinical Immunology","DOI":"10.1007/s10875-008-9192-5","ISSN":"0271-9142, 1573-2592","issue":"4","journalAbbreviation":"J Clin Immunol","language":"en","page":"384-389","source":"DOI.org (Crossref)","title":"Analysis of RAB27A Gene in Griscelli Syndrome type 2: Novel Mutations Including a Deletion Hotspot","title-short":"Analysis of RAB27A Gene in Griscelli Syndrome type 2","volume":"28","author":[{"family":"Mamishi","given":"Setareh"},{"family":"Modarressi","given":"Mohammad Hossein"},{"family":"Pourakbari","given":"Babak"},{"family":"Tamizifar","given":"Banafshe"},{"family":"Mahjoub","given":"Fatemeh"},{"family":"Fahimzad","given":"Alireza"},{"family":"Alyasin","given":"Soheila"},{"family":"Bemanian","given":"Mohamad Hassan"},{"family":"Hamidiyeh","given":"Amir Ali"},{"family":"Fazlollahi","given":"Mohammad Reza"},{"family":"Ashrafi","given":"Mahmoud Reza"},{"family":"Isaeian","given":"Anna"},{"family":"Khotaei","given":"Ghamartaj"},{"family":"Yeganeh","given":"Mehdi"},{"family":"Parvaneh","given":"Nima"}],"issued":{"date-parts":[["2008",7]]}}}],"schema":"https://github.com/citation-style-language/schema/raw/master/csl-citation.json"} </w:instrText>
            </w:r>
            <w:r>
              <w:rPr>
                <w:rFonts w:ascii="Arial Narrow" w:hAnsi="Arial Narrow"/>
                <w:sz w:val="20"/>
                <w:szCs w:val="20"/>
              </w:rPr>
              <w:fldChar w:fldCharType="separate"/>
            </w:r>
            <w:r w:rsidRPr="00382335">
              <w:rPr>
                <w:rFonts w:ascii="Arial Narrow" w:hAnsi="Arial Narrow" w:cs="Times New Roman"/>
                <w:sz w:val="20"/>
              </w:rPr>
              <w:t>(</w:t>
            </w:r>
            <w:proofErr w:type="spellStart"/>
            <w:r w:rsidRPr="00382335">
              <w:rPr>
                <w:rFonts w:ascii="Arial Narrow" w:hAnsi="Arial Narrow" w:cs="Times New Roman"/>
                <w:sz w:val="20"/>
              </w:rPr>
              <w:t>Mamishi</w:t>
            </w:r>
            <w:proofErr w:type="spellEnd"/>
            <w:r w:rsidRPr="00382335">
              <w:rPr>
                <w:rFonts w:ascii="Arial Narrow" w:hAnsi="Arial Narrow" w:cs="Times New Roman"/>
                <w:sz w:val="20"/>
              </w:rPr>
              <w:t xml:space="preserve"> et al., 2008)</w:t>
            </w:r>
            <w:r>
              <w:rPr>
                <w:rFonts w:ascii="Arial Narrow" w:hAnsi="Arial Narrow"/>
                <w:sz w:val="20"/>
                <w:szCs w:val="20"/>
              </w:rPr>
              <w:fldChar w:fldCharType="end"/>
            </w:r>
          </w:p>
        </w:tc>
      </w:tr>
      <w:tr w:rsidR="00B13868" w:rsidRPr="00C67805" w:rsidTr="00D7291A">
        <w:trPr>
          <w:trHeight w:val="440"/>
        </w:trPr>
        <w:tc>
          <w:tcPr>
            <w:tcW w:w="704" w:type="dxa"/>
          </w:tcPr>
          <w:p w:rsidR="00B13868" w:rsidRPr="001806D4" w:rsidRDefault="00B13868" w:rsidP="00D7291A">
            <w:pPr>
              <w:jc w:val="center"/>
              <w:rPr>
                <w:rFonts w:ascii="Arial Narrow" w:hAnsi="Arial Narrow"/>
                <w:sz w:val="20"/>
                <w:szCs w:val="20"/>
              </w:rPr>
            </w:pPr>
            <w:r w:rsidRPr="001806D4">
              <w:rPr>
                <w:rFonts w:ascii="Arial Narrow" w:hAnsi="Arial Narrow"/>
                <w:sz w:val="20"/>
                <w:szCs w:val="20"/>
              </w:rPr>
              <w:t>1</w:t>
            </w:r>
          </w:p>
          <w:p w:rsidR="00B13868" w:rsidRPr="001806D4" w:rsidRDefault="00B13868" w:rsidP="00D7291A">
            <w:pPr>
              <w:jc w:val="center"/>
              <w:rPr>
                <w:rFonts w:ascii="Arial Narrow" w:hAnsi="Arial Narrow"/>
                <w:sz w:val="20"/>
                <w:szCs w:val="20"/>
              </w:rPr>
            </w:pPr>
          </w:p>
          <w:p w:rsidR="00B13868" w:rsidRPr="00DF4D58" w:rsidRDefault="00B13868" w:rsidP="00D7291A">
            <w:pPr>
              <w:jc w:val="center"/>
              <w:rPr>
                <w:rFonts w:ascii="Arial Narrow" w:hAnsi="Arial Narrow"/>
                <w:sz w:val="20"/>
                <w:szCs w:val="20"/>
              </w:rPr>
            </w:pPr>
          </w:p>
        </w:tc>
        <w:tc>
          <w:tcPr>
            <w:tcW w:w="1276" w:type="dxa"/>
          </w:tcPr>
          <w:p w:rsidR="00B13868" w:rsidRPr="00DF4D58" w:rsidRDefault="00B13868" w:rsidP="00D7291A">
            <w:pPr>
              <w:jc w:val="center"/>
              <w:rPr>
                <w:rFonts w:ascii="Arial Narrow" w:hAnsi="Arial Narrow"/>
                <w:sz w:val="20"/>
                <w:szCs w:val="20"/>
              </w:rPr>
            </w:pPr>
            <w:r w:rsidRPr="001806D4">
              <w:rPr>
                <w:rFonts w:ascii="Arial Narrow" w:hAnsi="Arial Narrow"/>
                <w:sz w:val="20"/>
                <w:szCs w:val="20"/>
              </w:rPr>
              <w:t>+</w:t>
            </w:r>
          </w:p>
        </w:tc>
        <w:tc>
          <w:tcPr>
            <w:tcW w:w="992" w:type="dxa"/>
          </w:tcPr>
          <w:p w:rsidR="00B13868" w:rsidRPr="00DF4D58" w:rsidRDefault="00B13868" w:rsidP="00D7291A">
            <w:pPr>
              <w:jc w:val="center"/>
              <w:rPr>
                <w:rFonts w:ascii="Arial Narrow" w:hAnsi="Arial Narrow"/>
                <w:sz w:val="20"/>
                <w:szCs w:val="20"/>
              </w:rPr>
            </w:pPr>
            <w:r w:rsidRPr="001806D4">
              <w:rPr>
                <w:rFonts w:ascii="Arial Narrow" w:hAnsi="Arial Narrow"/>
                <w:sz w:val="20"/>
                <w:szCs w:val="20"/>
              </w:rPr>
              <w:t>+</w:t>
            </w:r>
          </w:p>
        </w:tc>
        <w:tc>
          <w:tcPr>
            <w:tcW w:w="992" w:type="dxa"/>
          </w:tcPr>
          <w:p w:rsidR="00B13868" w:rsidRPr="00DF4D58" w:rsidRDefault="00B13868" w:rsidP="00D7291A">
            <w:pPr>
              <w:jc w:val="center"/>
              <w:rPr>
                <w:rFonts w:ascii="Arial Narrow" w:hAnsi="Arial Narrow"/>
                <w:sz w:val="20"/>
                <w:szCs w:val="20"/>
              </w:rPr>
            </w:pPr>
            <w:r w:rsidRPr="001806D4">
              <w:rPr>
                <w:rFonts w:ascii="Arial Narrow" w:hAnsi="Arial Narrow"/>
                <w:sz w:val="20"/>
                <w:szCs w:val="20"/>
              </w:rPr>
              <w:t>-</w:t>
            </w:r>
          </w:p>
        </w:tc>
        <w:tc>
          <w:tcPr>
            <w:tcW w:w="851" w:type="dxa"/>
          </w:tcPr>
          <w:p w:rsidR="00B13868" w:rsidRPr="00DF4D58" w:rsidRDefault="00B13868" w:rsidP="00D7291A">
            <w:pPr>
              <w:jc w:val="center"/>
              <w:rPr>
                <w:rFonts w:ascii="Arial Narrow" w:hAnsi="Arial Narrow"/>
                <w:sz w:val="20"/>
                <w:szCs w:val="20"/>
              </w:rPr>
            </w:pPr>
            <w:r w:rsidRPr="001806D4">
              <w:rPr>
                <w:rFonts w:ascii="Arial Narrow" w:hAnsi="Arial Narrow"/>
                <w:sz w:val="20"/>
                <w:szCs w:val="20"/>
              </w:rPr>
              <w:t>+</w:t>
            </w:r>
          </w:p>
        </w:tc>
        <w:tc>
          <w:tcPr>
            <w:tcW w:w="1701" w:type="dxa"/>
          </w:tcPr>
          <w:p w:rsidR="00B13868" w:rsidRPr="00DF4D58" w:rsidRDefault="00B13868" w:rsidP="00D7291A">
            <w:pPr>
              <w:jc w:val="center"/>
              <w:rPr>
                <w:rFonts w:ascii="Arial Narrow" w:hAnsi="Arial Narrow"/>
                <w:sz w:val="20"/>
                <w:szCs w:val="20"/>
              </w:rPr>
            </w:pPr>
            <w:r w:rsidRPr="001806D4">
              <w:rPr>
                <w:rFonts w:ascii="Arial Narrow" w:hAnsi="Arial Narrow"/>
                <w:sz w:val="20"/>
                <w:szCs w:val="20"/>
              </w:rPr>
              <w:t>p.K22R</w:t>
            </w:r>
          </w:p>
        </w:tc>
        <w:tc>
          <w:tcPr>
            <w:tcW w:w="1780" w:type="dxa"/>
          </w:tcPr>
          <w:p w:rsidR="00B13868" w:rsidRDefault="00B13868" w:rsidP="00D7291A">
            <w:pPr>
              <w:jc w:val="center"/>
              <w:rPr>
                <w:rFonts w:ascii="Arial Narrow" w:hAnsi="Arial Narrow"/>
                <w:sz w:val="20"/>
                <w:szCs w:val="20"/>
              </w:rPr>
            </w:pPr>
            <w:r w:rsidRPr="001806D4">
              <w:rPr>
                <w:rFonts w:asciiTheme="majorHAnsi" w:hAnsiTheme="majorHAnsi" w:cstheme="majorHAnsi"/>
              </w:rPr>
              <w:t>Iran</w:t>
            </w:r>
          </w:p>
        </w:tc>
        <w:tc>
          <w:tcPr>
            <w:tcW w:w="1671" w:type="dxa"/>
          </w:tcPr>
          <w:p w:rsidR="00B13868" w:rsidRPr="001806D4" w:rsidRDefault="00B13868" w:rsidP="00D7291A">
            <w:pPr>
              <w:jc w:val="center"/>
              <w:rPr>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ADDIN ZOTERO_ITEM CSL_CITATION {"citationID":"a1prjfr3mbh","properties":{"formattedCitation":"(Ohbayashi et al., 2010)","plainCitation":"(Ohbayashi et al., 2010)","noteIndex":0},"citationItems":[{"id":90,"uris":["http://zotero.org/users/local/28isNqcP/items/TDVWPMTD"],"uri":["http://zotero.org/users/local/28isNqcP/items/TDVWPMTD"],"itemData":{"id":90,"type":"article-journal","container-title":"Pigment Cell &amp; Melanoma Research","DOI":"10.1111/j.1755-148X.2010.00705.x","ISSN":"17551471","issue":"3","language":"en","page":"365-374","source":"DOI.org (Crossref)","title":"Functional characterization of two RAB27A missense mutations found in Griscelli syndrome type 2: Functional characterization of two GS-2 missense mutations","title-short":"Functional characterization of two RAB27A missense mutations found in Griscelli syndrome type 2","volume":"23","author":[{"family":"Ohbayashi","given":"Norihiko"},{"family":"Mamishi","given":"Setareh"},{"family":"Ishibashi","given":"Koutaro"},{"family":"Maruta","given":"Yuto"},{"family":"Pourakbari","given":"Babak"},{"family":"Tamizifar","given":"Banafshe"},{"family":"Mohammadpour","given":"Masoud"},{"family":"Fukuda","given":"Mitsunori"},{"family":"Parvaneh","given":"Nima"}],"issued":{"date-parts":[["2010",6]]}}}],"schema":"https://github.com/citation-style-language/schema/raw/master/csl-citation.json"} </w:instrText>
            </w:r>
            <w:r>
              <w:rPr>
                <w:rFonts w:ascii="Arial Narrow" w:hAnsi="Arial Narrow"/>
                <w:sz w:val="20"/>
                <w:szCs w:val="20"/>
              </w:rPr>
              <w:fldChar w:fldCharType="separate"/>
            </w:r>
            <w:r w:rsidRPr="00382335">
              <w:rPr>
                <w:rFonts w:ascii="Arial Narrow" w:hAnsi="Arial Narrow" w:cs="Times New Roman"/>
                <w:sz w:val="20"/>
              </w:rPr>
              <w:t>(</w:t>
            </w:r>
            <w:proofErr w:type="spellStart"/>
            <w:r w:rsidRPr="00382335">
              <w:rPr>
                <w:rFonts w:ascii="Arial Narrow" w:hAnsi="Arial Narrow" w:cs="Times New Roman"/>
                <w:sz w:val="20"/>
              </w:rPr>
              <w:t>Ohbayashi</w:t>
            </w:r>
            <w:proofErr w:type="spellEnd"/>
            <w:r w:rsidRPr="00382335">
              <w:rPr>
                <w:rFonts w:ascii="Arial Narrow" w:hAnsi="Arial Narrow" w:cs="Times New Roman"/>
                <w:sz w:val="20"/>
              </w:rPr>
              <w:t xml:space="preserve"> et al., 2010)</w:t>
            </w:r>
            <w:r>
              <w:rPr>
                <w:rFonts w:ascii="Arial Narrow" w:hAnsi="Arial Narrow"/>
                <w:sz w:val="20"/>
                <w:szCs w:val="20"/>
              </w:rPr>
              <w:fldChar w:fldCharType="end"/>
            </w:r>
          </w:p>
        </w:tc>
      </w:tr>
      <w:tr w:rsidR="00B13868" w:rsidRPr="00C67805" w:rsidTr="00D7291A">
        <w:trPr>
          <w:trHeight w:val="440"/>
        </w:trPr>
        <w:tc>
          <w:tcPr>
            <w:tcW w:w="704" w:type="dxa"/>
          </w:tcPr>
          <w:p w:rsidR="00B13868" w:rsidRPr="00DF4D58" w:rsidRDefault="00B13868" w:rsidP="00D7291A">
            <w:pPr>
              <w:jc w:val="center"/>
              <w:rPr>
                <w:rFonts w:ascii="Arial Narrow" w:hAnsi="Arial Narrow"/>
                <w:sz w:val="20"/>
                <w:szCs w:val="20"/>
              </w:rPr>
            </w:pPr>
            <w:r>
              <w:rPr>
                <w:rFonts w:ascii="Arial Narrow" w:hAnsi="Arial Narrow"/>
                <w:sz w:val="20"/>
                <w:szCs w:val="20"/>
              </w:rPr>
              <w:t>1</w:t>
            </w:r>
          </w:p>
        </w:tc>
        <w:tc>
          <w:tcPr>
            <w:tcW w:w="1276" w:type="dxa"/>
          </w:tcPr>
          <w:p w:rsidR="00B13868" w:rsidRPr="00DF4D58" w:rsidRDefault="00B13868" w:rsidP="00D7291A">
            <w:pPr>
              <w:jc w:val="center"/>
              <w:rPr>
                <w:rFonts w:ascii="Arial Narrow" w:hAnsi="Arial Narrow"/>
                <w:sz w:val="20"/>
                <w:szCs w:val="20"/>
              </w:rPr>
            </w:pPr>
            <w:r w:rsidRPr="001806D4">
              <w:rPr>
                <w:rFonts w:ascii="Arial Narrow" w:hAnsi="Arial Narrow"/>
                <w:sz w:val="20"/>
                <w:szCs w:val="20"/>
              </w:rPr>
              <w:t>+</w:t>
            </w:r>
          </w:p>
        </w:tc>
        <w:tc>
          <w:tcPr>
            <w:tcW w:w="992" w:type="dxa"/>
          </w:tcPr>
          <w:p w:rsidR="00B13868" w:rsidRPr="00DF4D58" w:rsidRDefault="00B13868" w:rsidP="00D7291A">
            <w:pPr>
              <w:jc w:val="center"/>
              <w:rPr>
                <w:rFonts w:ascii="Arial Narrow" w:hAnsi="Arial Narrow"/>
                <w:sz w:val="20"/>
                <w:szCs w:val="20"/>
              </w:rPr>
            </w:pPr>
            <w:r w:rsidRPr="001806D4">
              <w:rPr>
                <w:rFonts w:ascii="Arial Narrow" w:hAnsi="Arial Narrow"/>
                <w:sz w:val="20"/>
                <w:szCs w:val="20"/>
              </w:rPr>
              <w:t>+</w:t>
            </w:r>
          </w:p>
        </w:tc>
        <w:tc>
          <w:tcPr>
            <w:tcW w:w="992" w:type="dxa"/>
          </w:tcPr>
          <w:p w:rsidR="00B13868" w:rsidRPr="00DF4D58" w:rsidRDefault="00B13868" w:rsidP="00D7291A">
            <w:pPr>
              <w:jc w:val="center"/>
              <w:rPr>
                <w:rFonts w:ascii="Arial Narrow" w:hAnsi="Arial Narrow"/>
                <w:sz w:val="20"/>
                <w:szCs w:val="20"/>
              </w:rPr>
            </w:pPr>
            <w:r w:rsidRPr="001806D4">
              <w:rPr>
                <w:rFonts w:ascii="Arial Narrow" w:hAnsi="Arial Narrow"/>
                <w:sz w:val="20"/>
                <w:szCs w:val="20"/>
              </w:rPr>
              <w:t>-</w:t>
            </w:r>
          </w:p>
        </w:tc>
        <w:tc>
          <w:tcPr>
            <w:tcW w:w="851" w:type="dxa"/>
          </w:tcPr>
          <w:p w:rsidR="00B13868" w:rsidRPr="00DF4D58" w:rsidRDefault="00B13868" w:rsidP="00D7291A">
            <w:pPr>
              <w:jc w:val="center"/>
              <w:rPr>
                <w:rFonts w:ascii="Arial Narrow" w:hAnsi="Arial Narrow"/>
                <w:sz w:val="20"/>
                <w:szCs w:val="20"/>
              </w:rPr>
            </w:pPr>
            <w:r w:rsidRPr="001806D4">
              <w:rPr>
                <w:rFonts w:ascii="Arial Narrow" w:hAnsi="Arial Narrow"/>
                <w:sz w:val="20"/>
                <w:szCs w:val="20"/>
              </w:rPr>
              <w:t>+</w:t>
            </w:r>
          </w:p>
        </w:tc>
        <w:tc>
          <w:tcPr>
            <w:tcW w:w="1701" w:type="dxa"/>
          </w:tcPr>
          <w:p w:rsidR="00B13868" w:rsidRPr="00DF4D58" w:rsidRDefault="00B13868" w:rsidP="00D7291A">
            <w:pPr>
              <w:jc w:val="center"/>
              <w:rPr>
                <w:rFonts w:ascii="Arial Narrow" w:hAnsi="Arial Narrow"/>
                <w:sz w:val="20"/>
                <w:szCs w:val="20"/>
              </w:rPr>
            </w:pPr>
            <w:r w:rsidRPr="001806D4">
              <w:rPr>
                <w:rFonts w:ascii="Arial Narrow" w:hAnsi="Arial Narrow"/>
                <w:sz w:val="20"/>
                <w:szCs w:val="20"/>
              </w:rPr>
              <w:t>p. S115G</w:t>
            </w:r>
          </w:p>
        </w:tc>
        <w:tc>
          <w:tcPr>
            <w:tcW w:w="1780" w:type="dxa"/>
          </w:tcPr>
          <w:p w:rsidR="00B13868" w:rsidRDefault="00B13868" w:rsidP="00D7291A">
            <w:pPr>
              <w:jc w:val="center"/>
              <w:rPr>
                <w:rFonts w:ascii="Arial Narrow" w:hAnsi="Arial Narrow"/>
                <w:sz w:val="20"/>
                <w:szCs w:val="20"/>
              </w:rPr>
            </w:pPr>
            <w:r w:rsidRPr="001806D4">
              <w:rPr>
                <w:rFonts w:asciiTheme="majorHAnsi" w:hAnsiTheme="majorHAnsi" w:cstheme="majorHAnsi"/>
              </w:rPr>
              <w:t>Iran</w:t>
            </w:r>
          </w:p>
        </w:tc>
        <w:tc>
          <w:tcPr>
            <w:tcW w:w="1671" w:type="dxa"/>
          </w:tcPr>
          <w:p w:rsidR="00B13868" w:rsidRPr="001806D4" w:rsidRDefault="00B13868" w:rsidP="00D7291A">
            <w:pPr>
              <w:jc w:val="center"/>
              <w:rPr>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ADDIN ZOTERO_ITEM CSL_CITATION {"citationID":"a18aeaoll87","properties":{"formattedCitation":"(Shamsian et al., 2010)","plainCitation":"(Shamsian et al., 2010)","noteIndex":0},"citationItems":[{"id":91,"uris":["http://zotero.org/users/local/28isNqcP/items/BLWHA7PL"],"uri":["http://zotero.org/users/local/28isNqcP/items/BLWHA7PL"],"itemData":{"id":91,"type":"article-journal","abstract":"Griscelli syndrome type 2 is a rare autosomal recessive primary immunodeficiency disease caused by a mutation in the RAB27A gene and characterized by oculocutaneous hypopigmentation and variable cellular immunodeficiency. We report the case of a 6-month-old infant with silvery hair, eyelashes, and eyebrows who was referred to our center because of fever and hepatosplenomegaly. Bone marrow studies indicated hemophagocytosis, whilst microscopic examination of the hair showed irregular agglomerations of pigment in hair shafts. Molecular analysis revealed a novel homozygous mutation in exon 5, namely, a single-base substitution (g.42996 A&gt;G) leading to an amino acid change (S115G) and thus confirming the diagnosis of Griscelli syndrome type 2. Griscelli syndrome could be more common than thought, especially in regions with high rates of consanguinity. As the prognosis of disease is usually poor, prompt diagnosis and appropriate treatment are vital to avoid complications.","container-title":"Journal of Investigational Allergology &amp; Clinical Immunology","ISSN":"1018-9068","issue":"7","journalAbbreviation":"J Investig Allergol Clin Immunol","language":"eng","note":"PMID: 21314004","page":"612-615","source":"PubMed","title":"A novel RAB27A mutation in a patient with Griscelli syndrome type 2","volume":"20","author":[{"family":"Shamsian","given":"B. S."},{"family":"Norbakhsh","given":"K."},{"family":"Rezaei","given":"N."},{"family":"Safari","given":"A."},{"family":"Gharib","given":"A."},{"family":"Pourpak","given":"Z."},{"family":"Alavi","given":"S."},{"family":"Parvaneh","given":"N."},{"family":"Arzanian","given":"M. T."}],"issued":{"date-parts":[["2010"]]}}}],"schema":"https://github.com/citation-style-language/schema/raw/master/csl-citation.json"} </w:instrText>
            </w:r>
            <w:r>
              <w:rPr>
                <w:rFonts w:ascii="Arial Narrow" w:hAnsi="Arial Narrow"/>
                <w:sz w:val="20"/>
                <w:szCs w:val="20"/>
              </w:rPr>
              <w:fldChar w:fldCharType="separate"/>
            </w:r>
            <w:r w:rsidRPr="00382335">
              <w:rPr>
                <w:rFonts w:ascii="Arial Narrow" w:hAnsi="Arial Narrow" w:cs="Times New Roman"/>
                <w:sz w:val="20"/>
              </w:rPr>
              <w:t>(</w:t>
            </w:r>
            <w:proofErr w:type="spellStart"/>
            <w:r w:rsidRPr="00382335">
              <w:rPr>
                <w:rFonts w:ascii="Arial Narrow" w:hAnsi="Arial Narrow" w:cs="Times New Roman"/>
                <w:sz w:val="20"/>
              </w:rPr>
              <w:t>Shamsian</w:t>
            </w:r>
            <w:proofErr w:type="spellEnd"/>
            <w:r w:rsidRPr="00382335">
              <w:rPr>
                <w:rFonts w:ascii="Arial Narrow" w:hAnsi="Arial Narrow" w:cs="Times New Roman"/>
                <w:sz w:val="20"/>
              </w:rPr>
              <w:t xml:space="preserve"> et al., 2010)</w:t>
            </w:r>
            <w:r>
              <w:rPr>
                <w:rFonts w:ascii="Arial Narrow" w:hAnsi="Arial Narrow"/>
                <w:sz w:val="20"/>
                <w:szCs w:val="20"/>
              </w:rPr>
              <w:fldChar w:fldCharType="end"/>
            </w:r>
          </w:p>
        </w:tc>
      </w:tr>
      <w:tr w:rsidR="00B13868" w:rsidRPr="00C67805" w:rsidTr="00D7291A">
        <w:trPr>
          <w:trHeight w:val="440"/>
        </w:trPr>
        <w:tc>
          <w:tcPr>
            <w:tcW w:w="704" w:type="dxa"/>
            <w:vMerge w:val="restart"/>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2</w:t>
            </w:r>
          </w:p>
        </w:tc>
        <w:tc>
          <w:tcPr>
            <w:tcW w:w="1276"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w:t>
            </w:r>
          </w:p>
        </w:tc>
        <w:tc>
          <w:tcPr>
            <w:tcW w:w="992"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w:t>
            </w:r>
          </w:p>
        </w:tc>
        <w:tc>
          <w:tcPr>
            <w:tcW w:w="992"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w:t>
            </w:r>
          </w:p>
        </w:tc>
        <w:tc>
          <w:tcPr>
            <w:tcW w:w="851"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w:t>
            </w:r>
          </w:p>
        </w:tc>
        <w:tc>
          <w:tcPr>
            <w:tcW w:w="1701"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p.F46I</w:t>
            </w:r>
          </w:p>
        </w:tc>
        <w:tc>
          <w:tcPr>
            <w:tcW w:w="1780" w:type="dxa"/>
            <w:vMerge w:val="restart"/>
          </w:tcPr>
          <w:p w:rsidR="00B13868" w:rsidRDefault="00B13868" w:rsidP="00D7291A">
            <w:pPr>
              <w:jc w:val="center"/>
              <w:rPr>
                <w:rFonts w:ascii="Arial Narrow" w:hAnsi="Arial Narrow"/>
                <w:sz w:val="20"/>
                <w:szCs w:val="20"/>
              </w:rPr>
            </w:pPr>
          </w:p>
          <w:p w:rsidR="00B13868" w:rsidRPr="00DF4D58" w:rsidRDefault="00B13868" w:rsidP="00D7291A">
            <w:pPr>
              <w:jc w:val="center"/>
              <w:rPr>
                <w:rFonts w:ascii="Arial Narrow" w:hAnsi="Arial Narrow"/>
                <w:sz w:val="20"/>
                <w:szCs w:val="20"/>
              </w:rPr>
            </w:pPr>
            <w:r>
              <w:rPr>
                <w:rFonts w:ascii="Arial Narrow" w:hAnsi="Arial Narrow"/>
                <w:sz w:val="20"/>
                <w:szCs w:val="20"/>
              </w:rPr>
              <w:t>India</w:t>
            </w:r>
          </w:p>
        </w:tc>
        <w:tc>
          <w:tcPr>
            <w:tcW w:w="1671" w:type="dxa"/>
            <w:vMerge w:val="restart"/>
          </w:tcPr>
          <w:p w:rsidR="00B13868" w:rsidRPr="001806D4" w:rsidRDefault="00B13868" w:rsidP="00D7291A">
            <w:pPr>
              <w:jc w:val="center"/>
              <w:rPr>
                <w:rFonts w:ascii="Arial Narrow" w:hAnsi="Arial Narrow"/>
                <w:sz w:val="20"/>
                <w:szCs w:val="20"/>
              </w:rPr>
            </w:pPr>
          </w:p>
          <w:p w:rsidR="00B13868" w:rsidRPr="00812533" w:rsidRDefault="00B13868" w:rsidP="00D7291A">
            <w:pPr>
              <w:jc w:val="center"/>
              <w:rPr>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ADDIN ZOTERO_ITEM CSL_CITATION {"citationID":"a18bcgeg1tk","properties":{"formattedCitation":"(Mishra et al., 2014)","plainCitation":"(Mishra et al., 2014)","noteIndex":0},"citationItems":[{"id":29,"uris":["http://zotero.org/users/local/28isNqcP/items/FAUCXH92"],"uri":["http://zotero.org/users/local/28isNqcP/items/FAUCXH92"],"itemData":{"id":29,"type":"article-journal","abstract":"Griscelli syndrome type 2 (GS2) is a rare autosomal recessive disease caused by mutations in the RAB27A gene. It is characterized by cutaneous hypopigmentation, immunodeficiency, and hemophagocytic lymphohistiocytosis. We describe 2 brothers who had GS2 with clinically diverse manifestations. The elder brother presented with a purely neurological picture, whereas the younger one presented with fever, pancytopenia, hepatosplenomegaly, and erythema nodosum. Considering that cutaneous hypopigmentation was a common feature between the brothers, genetic analysis for Griscelli syndrome was performed. As the elder sibling had died, mutation analysis was only performed on the younger sibling, which revealed a novel homozygous mutation in the RAB27A gene on chromosome 15 showing a single-base substitution (c.136T&gt;A p.F46I). Both parents were heterozygous for the same mutation. This confirmed the diagnosis of GS2 in the accelerated phase in both siblings. The atypical features of GS2 in these cases are a novel mutation, isolated neurological involvement in one sibling, association with erythema nodosum, and 2 distinct clinical presentations in siblings with the same genetic mutation.","container-title":"Korean Journal of Pediatrics","DOI":"10.3345/kjp.2014.57.2.91","ISSN":"1738-1061","issue":"2","journalAbbreviation":"Korean J Pediatr","language":"eng","note":"PMID: 24678334\nPMCID: PMC3965801","page":"91-95","source":"PubMed","title":"Griscelli syndrome type 2: a novel mutation in RAB27A gene with different clinical features in 2 siblings: a diagnostic conundrum","title-short":"Griscelli syndrome type 2","volume":"57","author":[{"family":"Mishra","given":"Kirtisudha"},{"family":"Singla","given":"Shilpy"},{"family":"Sharma","given":"Suvasini"},{"family":"Saxena","given":"Renu"},{"family":"Batra","given":"Vineeta Vijay"}],"issued":{"date-parts":[["2014",2]]}}}],"schema":"https://github.com/citation-style-language/schema/raw/master/csl-citation.json"} </w:instrText>
            </w:r>
            <w:r>
              <w:rPr>
                <w:rFonts w:ascii="Arial Narrow" w:hAnsi="Arial Narrow"/>
                <w:sz w:val="20"/>
                <w:szCs w:val="20"/>
              </w:rPr>
              <w:fldChar w:fldCharType="separate"/>
            </w:r>
            <w:r w:rsidRPr="00382335">
              <w:rPr>
                <w:rFonts w:ascii="Arial Narrow" w:hAnsi="Arial Narrow" w:cs="Times New Roman"/>
                <w:sz w:val="20"/>
              </w:rPr>
              <w:t>(Mishra et al., 2014)</w:t>
            </w:r>
            <w:r>
              <w:rPr>
                <w:rFonts w:ascii="Arial Narrow" w:hAnsi="Arial Narrow"/>
                <w:sz w:val="20"/>
                <w:szCs w:val="20"/>
              </w:rPr>
              <w:fldChar w:fldCharType="end"/>
            </w:r>
          </w:p>
        </w:tc>
      </w:tr>
      <w:tr w:rsidR="00B13868" w:rsidRPr="00C67805" w:rsidTr="00D7291A">
        <w:trPr>
          <w:trHeight w:val="440"/>
        </w:trPr>
        <w:tc>
          <w:tcPr>
            <w:tcW w:w="704" w:type="dxa"/>
            <w:vMerge/>
          </w:tcPr>
          <w:p w:rsidR="00B13868" w:rsidRPr="00DF4D58" w:rsidRDefault="00B13868" w:rsidP="00D7291A">
            <w:pPr>
              <w:jc w:val="center"/>
              <w:rPr>
                <w:rFonts w:ascii="Arial Narrow" w:hAnsi="Arial Narrow"/>
                <w:sz w:val="20"/>
                <w:szCs w:val="20"/>
              </w:rPr>
            </w:pPr>
          </w:p>
        </w:tc>
        <w:tc>
          <w:tcPr>
            <w:tcW w:w="1276"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w:t>
            </w:r>
          </w:p>
        </w:tc>
        <w:tc>
          <w:tcPr>
            <w:tcW w:w="992"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w:t>
            </w:r>
          </w:p>
        </w:tc>
        <w:tc>
          <w:tcPr>
            <w:tcW w:w="992"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w:t>
            </w:r>
          </w:p>
        </w:tc>
        <w:tc>
          <w:tcPr>
            <w:tcW w:w="851"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w:t>
            </w:r>
          </w:p>
        </w:tc>
        <w:tc>
          <w:tcPr>
            <w:tcW w:w="1701" w:type="dxa"/>
          </w:tcPr>
          <w:p w:rsidR="00B13868" w:rsidRPr="00DF4D58" w:rsidRDefault="00B13868" w:rsidP="00D7291A">
            <w:pPr>
              <w:jc w:val="center"/>
              <w:rPr>
                <w:rFonts w:ascii="Arial Narrow" w:hAnsi="Arial Narrow"/>
                <w:sz w:val="20"/>
                <w:szCs w:val="20"/>
              </w:rPr>
            </w:pPr>
            <w:r w:rsidRPr="00DF4D58">
              <w:rPr>
                <w:rFonts w:ascii="Arial Narrow" w:hAnsi="Arial Narrow"/>
                <w:sz w:val="20"/>
                <w:szCs w:val="20"/>
              </w:rPr>
              <w:t>p.F46I</w:t>
            </w:r>
          </w:p>
        </w:tc>
        <w:tc>
          <w:tcPr>
            <w:tcW w:w="1780" w:type="dxa"/>
            <w:vMerge/>
          </w:tcPr>
          <w:p w:rsidR="00B13868" w:rsidRPr="00DF4D58" w:rsidRDefault="00B13868" w:rsidP="00D7291A">
            <w:pPr>
              <w:jc w:val="center"/>
              <w:rPr>
                <w:rFonts w:ascii="Arial Narrow" w:hAnsi="Arial Narrow"/>
                <w:sz w:val="20"/>
                <w:szCs w:val="20"/>
              </w:rPr>
            </w:pPr>
          </w:p>
        </w:tc>
        <w:tc>
          <w:tcPr>
            <w:tcW w:w="1671" w:type="dxa"/>
            <w:vMerge/>
          </w:tcPr>
          <w:p w:rsidR="00B13868" w:rsidRPr="00812533" w:rsidRDefault="00B13868" w:rsidP="00D7291A">
            <w:pPr>
              <w:jc w:val="center"/>
              <w:rPr>
                <w:rFonts w:ascii="Arial Narrow" w:hAnsi="Arial Narrow"/>
                <w:sz w:val="20"/>
                <w:szCs w:val="20"/>
              </w:rPr>
            </w:pPr>
          </w:p>
        </w:tc>
      </w:tr>
      <w:tr w:rsidR="00B13868" w:rsidRPr="00C67805" w:rsidTr="00D7291A">
        <w:trPr>
          <w:trHeight w:val="359"/>
        </w:trPr>
        <w:tc>
          <w:tcPr>
            <w:tcW w:w="704" w:type="dxa"/>
            <w:vMerge w:val="restart"/>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4</w:t>
            </w:r>
          </w:p>
        </w:tc>
        <w:tc>
          <w:tcPr>
            <w:tcW w:w="1276"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w:t>
            </w:r>
          </w:p>
        </w:tc>
        <w:tc>
          <w:tcPr>
            <w:tcW w:w="992"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w:t>
            </w:r>
          </w:p>
        </w:tc>
        <w:tc>
          <w:tcPr>
            <w:tcW w:w="992"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w:t>
            </w:r>
          </w:p>
        </w:tc>
        <w:tc>
          <w:tcPr>
            <w:tcW w:w="851"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w:t>
            </w:r>
          </w:p>
        </w:tc>
        <w:tc>
          <w:tcPr>
            <w:tcW w:w="1701"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p.Arg50GlnfsX35</w:t>
            </w:r>
          </w:p>
        </w:tc>
        <w:tc>
          <w:tcPr>
            <w:tcW w:w="1780" w:type="dxa"/>
            <w:vMerge w:val="restart"/>
          </w:tcPr>
          <w:p w:rsidR="00B13868" w:rsidRPr="00DF4D58" w:rsidRDefault="00B13868" w:rsidP="00D7291A">
            <w:pPr>
              <w:jc w:val="center"/>
              <w:rPr>
                <w:rFonts w:ascii="Arial Narrow" w:hAnsi="Arial Narrow"/>
                <w:sz w:val="20"/>
                <w:szCs w:val="20"/>
              </w:rPr>
            </w:pPr>
            <w:r>
              <w:rPr>
                <w:rFonts w:ascii="Arial Narrow" w:hAnsi="Arial Narrow"/>
                <w:sz w:val="20"/>
                <w:szCs w:val="20"/>
              </w:rPr>
              <w:t>Turkey</w:t>
            </w:r>
          </w:p>
        </w:tc>
        <w:tc>
          <w:tcPr>
            <w:tcW w:w="1671" w:type="dxa"/>
            <w:vMerge w:val="restart"/>
          </w:tcPr>
          <w:p w:rsidR="00B13868" w:rsidRPr="001806D4" w:rsidRDefault="00B13868" w:rsidP="00D7291A">
            <w:pPr>
              <w:jc w:val="center"/>
              <w:rPr>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ADDIN ZOTERO_ITEM CSL_CITATION {"citationID":"avoe5lt419","properties":{"formattedCitation":"(Patiroglu et al., 2016)","plainCitation":"(Patiroglu et al., 2016)","noteIndex":0},"citationItems":[{"id":6,"uris":["http://zotero.org/users/local/28isNqcP/items/8APEGW2K"],"uri":["http://zotero.org/users/local/28isNqcP/items/8APEGW2K"],"itemData":{"id":6,"type":"article-journal","abstract":"BACKGROUND AND AIM: Partial oculocutaneous albinism and immunodeficiency (OCA-ID) diseases are autosomal recessive syndromes characterized by partial hypopigmentation and recurrent infections. Moreover, some OCA-ID syndromes confer susceptibility to develop a life-threatening hyperinflammatory condition called hemophagocytic lymphohistiocytosis (HLH). We investigated the genetic, clinical and immunological characteristics of 20 OCA patients.\nMATERIAL AND METHODS: Herein, we present the clinical and immunological characteristics of 20 OCA patients who referred to the Department of Pediatric Immunology, Erciyes University Medical Faculty in Kayseri, Turkey between 2004 and 2014.\nRESULTS: Of the 20 OCA patients, 7 fulfilled diagnostic criteria for HLH, 9 showed defective functions of CD8 T cells and natural killer cells, and 8 received a definitive molecular diagnosis. Among the patients, we also report a patient diagnosed with two different genetic defects, in TYR and JAK3 genes, causing, respectively, OCA and ID.\nCONCLUSION: Our results illustrate the variability of clinical presentations and disease severity in OCA-ID patients, with consequent challenges in diagnosing and treating these patients.","container-title":"Genetic Counseling (Geneva, Switzerland)","ISSN":"1015-8146","issue":"1","journalAbbreviation":"Genet. Couns.","language":"eng","note":"PMID: 27192893","page":"67-76","source":"PubMed","title":"PARTIAL OCULOCUTANEOUS ALBINISM AND IMMUNODEFICIENCY SYNDROMES: TEN YEARS EXPERIENCE FROM A SINGLE CENTER IN TURKEY","title-short":"PARTIAL OCULOCUTANEOUS ALBINISM AND IMMUNODEFICIENCY SYNDROMES","volume":"27","author":[{"family":"Patiroglu","given":"T."},{"family":"Akar","given":"H. H."},{"family":"Unal","given":"E."},{"family":"Chiang","given":"S. C."},{"family":"Schlums","given":"H."},{"family":"Tesi","given":"B."},{"family":"Ozkars","given":"M. Y."},{"family":"Karakukcu","given":"M."}],"issued":{"date-parts":[["2016"]]}}}],"schema":"https://github.com/citation-style-language/schema/raw/master/csl-citation.json"} </w:instrText>
            </w:r>
            <w:r>
              <w:rPr>
                <w:rFonts w:ascii="Arial Narrow" w:hAnsi="Arial Narrow"/>
                <w:sz w:val="20"/>
                <w:szCs w:val="20"/>
              </w:rPr>
              <w:fldChar w:fldCharType="separate"/>
            </w:r>
            <w:r w:rsidRPr="00382335">
              <w:rPr>
                <w:rFonts w:ascii="Arial Narrow" w:hAnsi="Arial Narrow" w:cs="Times New Roman"/>
                <w:sz w:val="20"/>
              </w:rPr>
              <w:t>(</w:t>
            </w:r>
            <w:proofErr w:type="spellStart"/>
            <w:r w:rsidRPr="00382335">
              <w:rPr>
                <w:rFonts w:ascii="Arial Narrow" w:hAnsi="Arial Narrow" w:cs="Times New Roman"/>
                <w:sz w:val="20"/>
              </w:rPr>
              <w:t>Patiroglu</w:t>
            </w:r>
            <w:proofErr w:type="spellEnd"/>
            <w:r w:rsidRPr="00382335">
              <w:rPr>
                <w:rFonts w:ascii="Arial Narrow" w:hAnsi="Arial Narrow" w:cs="Times New Roman"/>
                <w:sz w:val="20"/>
              </w:rPr>
              <w:t xml:space="preserve"> et al., 2016)</w:t>
            </w:r>
            <w:r>
              <w:rPr>
                <w:rFonts w:ascii="Arial Narrow" w:hAnsi="Arial Narrow"/>
                <w:sz w:val="20"/>
                <w:szCs w:val="20"/>
              </w:rPr>
              <w:fldChar w:fldCharType="end"/>
            </w:r>
          </w:p>
        </w:tc>
      </w:tr>
      <w:tr w:rsidR="00B13868" w:rsidRPr="00C67805" w:rsidTr="00D7291A">
        <w:trPr>
          <w:trHeight w:val="350"/>
        </w:trPr>
        <w:tc>
          <w:tcPr>
            <w:tcW w:w="704" w:type="dxa"/>
            <w:vMerge/>
          </w:tcPr>
          <w:p w:rsidR="00B13868" w:rsidRPr="00DF4D58" w:rsidRDefault="00B13868" w:rsidP="00D7291A">
            <w:pPr>
              <w:jc w:val="center"/>
              <w:rPr>
                <w:rFonts w:ascii="Arial Narrow" w:hAnsi="Arial Narrow"/>
                <w:color w:val="000000" w:themeColor="text1"/>
                <w:sz w:val="20"/>
                <w:szCs w:val="20"/>
              </w:rPr>
            </w:pPr>
          </w:p>
        </w:tc>
        <w:tc>
          <w:tcPr>
            <w:tcW w:w="1276"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w:t>
            </w:r>
          </w:p>
        </w:tc>
        <w:tc>
          <w:tcPr>
            <w:tcW w:w="992"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w:t>
            </w:r>
          </w:p>
        </w:tc>
        <w:tc>
          <w:tcPr>
            <w:tcW w:w="992"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w:t>
            </w:r>
          </w:p>
        </w:tc>
        <w:tc>
          <w:tcPr>
            <w:tcW w:w="851"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w:t>
            </w:r>
          </w:p>
        </w:tc>
        <w:tc>
          <w:tcPr>
            <w:tcW w:w="1701"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p.Arg50GlnfsX35</w:t>
            </w:r>
          </w:p>
        </w:tc>
        <w:tc>
          <w:tcPr>
            <w:tcW w:w="1780" w:type="dxa"/>
            <w:vMerge/>
          </w:tcPr>
          <w:p w:rsidR="00B13868" w:rsidRPr="00DF4D58" w:rsidRDefault="00B13868" w:rsidP="00D7291A">
            <w:pPr>
              <w:jc w:val="center"/>
              <w:rPr>
                <w:rFonts w:ascii="Arial Narrow" w:hAnsi="Arial Narrow"/>
                <w:sz w:val="20"/>
                <w:szCs w:val="20"/>
              </w:rPr>
            </w:pPr>
          </w:p>
        </w:tc>
        <w:tc>
          <w:tcPr>
            <w:tcW w:w="1671" w:type="dxa"/>
            <w:vMerge/>
          </w:tcPr>
          <w:p w:rsidR="00B13868" w:rsidRPr="001806D4" w:rsidRDefault="00B13868" w:rsidP="00D7291A">
            <w:pPr>
              <w:jc w:val="center"/>
              <w:rPr>
                <w:rFonts w:ascii="Arial Narrow" w:hAnsi="Arial Narrow"/>
                <w:sz w:val="20"/>
                <w:szCs w:val="20"/>
              </w:rPr>
            </w:pPr>
          </w:p>
        </w:tc>
      </w:tr>
      <w:tr w:rsidR="00B13868" w:rsidRPr="00C67805" w:rsidTr="00D7291A">
        <w:trPr>
          <w:trHeight w:val="341"/>
        </w:trPr>
        <w:tc>
          <w:tcPr>
            <w:tcW w:w="704" w:type="dxa"/>
            <w:vMerge/>
          </w:tcPr>
          <w:p w:rsidR="00B13868" w:rsidRPr="00DF4D58" w:rsidRDefault="00B13868" w:rsidP="00D7291A">
            <w:pPr>
              <w:jc w:val="center"/>
              <w:rPr>
                <w:rFonts w:ascii="Arial Narrow" w:hAnsi="Arial Narrow"/>
                <w:color w:val="000000" w:themeColor="text1"/>
                <w:sz w:val="20"/>
                <w:szCs w:val="20"/>
              </w:rPr>
            </w:pPr>
          </w:p>
        </w:tc>
        <w:tc>
          <w:tcPr>
            <w:tcW w:w="1276"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w:t>
            </w:r>
          </w:p>
        </w:tc>
        <w:tc>
          <w:tcPr>
            <w:tcW w:w="992"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w:t>
            </w:r>
          </w:p>
        </w:tc>
        <w:tc>
          <w:tcPr>
            <w:tcW w:w="992"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w:t>
            </w:r>
          </w:p>
        </w:tc>
        <w:tc>
          <w:tcPr>
            <w:tcW w:w="851"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w:t>
            </w:r>
          </w:p>
        </w:tc>
        <w:tc>
          <w:tcPr>
            <w:tcW w:w="1701"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p.Gln172AsnfsX2</w:t>
            </w:r>
          </w:p>
        </w:tc>
        <w:tc>
          <w:tcPr>
            <w:tcW w:w="1780" w:type="dxa"/>
            <w:vMerge/>
          </w:tcPr>
          <w:p w:rsidR="00B13868" w:rsidRPr="00DF4D58" w:rsidRDefault="00B13868" w:rsidP="00D7291A">
            <w:pPr>
              <w:jc w:val="center"/>
              <w:rPr>
                <w:rFonts w:ascii="Arial Narrow" w:hAnsi="Arial Narrow"/>
                <w:sz w:val="20"/>
                <w:szCs w:val="20"/>
              </w:rPr>
            </w:pPr>
          </w:p>
        </w:tc>
        <w:tc>
          <w:tcPr>
            <w:tcW w:w="1671" w:type="dxa"/>
            <w:vMerge/>
          </w:tcPr>
          <w:p w:rsidR="00B13868" w:rsidRPr="001806D4" w:rsidRDefault="00B13868" w:rsidP="00D7291A">
            <w:pPr>
              <w:jc w:val="center"/>
              <w:rPr>
                <w:rFonts w:ascii="Arial Narrow" w:hAnsi="Arial Narrow"/>
                <w:sz w:val="20"/>
                <w:szCs w:val="20"/>
              </w:rPr>
            </w:pPr>
          </w:p>
        </w:tc>
      </w:tr>
      <w:tr w:rsidR="00B13868" w:rsidRPr="00C67805" w:rsidTr="00D7291A">
        <w:trPr>
          <w:trHeight w:val="350"/>
        </w:trPr>
        <w:tc>
          <w:tcPr>
            <w:tcW w:w="704" w:type="dxa"/>
            <w:vMerge/>
          </w:tcPr>
          <w:p w:rsidR="00B13868" w:rsidRPr="00DF4D58" w:rsidRDefault="00B13868" w:rsidP="00D7291A">
            <w:pPr>
              <w:jc w:val="center"/>
              <w:rPr>
                <w:rFonts w:ascii="Arial Narrow" w:hAnsi="Arial Narrow"/>
                <w:color w:val="000000" w:themeColor="text1"/>
                <w:sz w:val="20"/>
                <w:szCs w:val="20"/>
              </w:rPr>
            </w:pPr>
          </w:p>
        </w:tc>
        <w:tc>
          <w:tcPr>
            <w:tcW w:w="1276"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w:t>
            </w:r>
          </w:p>
        </w:tc>
        <w:tc>
          <w:tcPr>
            <w:tcW w:w="992"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w:t>
            </w:r>
          </w:p>
        </w:tc>
        <w:tc>
          <w:tcPr>
            <w:tcW w:w="992"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w:t>
            </w:r>
          </w:p>
        </w:tc>
        <w:tc>
          <w:tcPr>
            <w:tcW w:w="851"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w:t>
            </w:r>
          </w:p>
        </w:tc>
        <w:tc>
          <w:tcPr>
            <w:tcW w:w="1701"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p.Gln172AsnfsX2</w:t>
            </w:r>
          </w:p>
        </w:tc>
        <w:tc>
          <w:tcPr>
            <w:tcW w:w="1780" w:type="dxa"/>
            <w:vMerge/>
          </w:tcPr>
          <w:p w:rsidR="00B13868" w:rsidRPr="00DF4D58" w:rsidRDefault="00B13868" w:rsidP="00D7291A">
            <w:pPr>
              <w:jc w:val="center"/>
              <w:rPr>
                <w:rFonts w:ascii="Arial Narrow" w:hAnsi="Arial Narrow"/>
                <w:color w:val="000000" w:themeColor="text1"/>
                <w:sz w:val="20"/>
                <w:szCs w:val="20"/>
              </w:rPr>
            </w:pPr>
          </w:p>
        </w:tc>
        <w:tc>
          <w:tcPr>
            <w:tcW w:w="1671" w:type="dxa"/>
            <w:vMerge/>
          </w:tcPr>
          <w:p w:rsidR="00B13868" w:rsidRPr="001806D4" w:rsidRDefault="00B13868" w:rsidP="00D7291A">
            <w:pPr>
              <w:jc w:val="center"/>
              <w:rPr>
                <w:rFonts w:ascii="Arial Narrow" w:hAnsi="Arial Narrow"/>
                <w:sz w:val="20"/>
                <w:szCs w:val="20"/>
              </w:rPr>
            </w:pPr>
          </w:p>
        </w:tc>
      </w:tr>
      <w:tr w:rsidR="00B13868" w:rsidRPr="00C67805" w:rsidTr="00D7291A">
        <w:trPr>
          <w:trHeight w:val="479"/>
        </w:trPr>
        <w:tc>
          <w:tcPr>
            <w:tcW w:w="704"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1</w:t>
            </w:r>
          </w:p>
        </w:tc>
        <w:tc>
          <w:tcPr>
            <w:tcW w:w="1276"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N/A</w:t>
            </w:r>
          </w:p>
        </w:tc>
        <w:tc>
          <w:tcPr>
            <w:tcW w:w="992"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N/A</w:t>
            </w:r>
          </w:p>
        </w:tc>
        <w:tc>
          <w:tcPr>
            <w:tcW w:w="992"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N/A</w:t>
            </w:r>
          </w:p>
        </w:tc>
        <w:tc>
          <w:tcPr>
            <w:tcW w:w="851"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w:t>
            </w:r>
          </w:p>
        </w:tc>
        <w:tc>
          <w:tcPr>
            <w:tcW w:w="1701"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p.R82C</w:t>
            </w:r>
          </w:p>
        </w:tc>
        <w:tc>
          <w:tcPr>
            <w:tcW w:w="1780" w:type="dxa"/>
          </w:tcPr>
          <w:p w:rsidR="00B13868" w:rsidRPr="00DF4D58" w:rsidRDefault="00B13868" w:rsidP="00D7291A">
            <w:pPr>
              <w:jc w:val="center"/>
              <w:rPr>
                <w:rFonts w:ascii="Arial Narrow" w:hAnsi="Arial Narrow"/>
                <w:sz w:val="20"/>
                <w:szCs w:val="20"/>
              </w:rPr>
            </w:pPr>
            <w:r>
              <w:rPr>
                <w:rFonts w:ascii="Arial Narrow" w:hAnsi="Arial Narrow"/>
                <w:sz w:val="20"/>
                <w:szCs w:val="20"/>
              </w:rPr>
              <w:t>China</w:t>
            </w:r>
          </w:p>
        </w:tc>
        <w:tc>
          <w:tcPr>
            <w:tcW w:w="1671" w:type="dxa"/>
          </w:tcPr>
          <w:p w:rsidR="00B13868" w:rsidRPr="001806D4" w:rsidRDefault="00B13868" w:rsidP="00D7291A">
            <w:pPr>
              <w:jc w:val="center"/>
              <w:rPr>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ADDIN ZOTERO_ITEM CSL_CITATION {"citationID":"a1dlm4m8pui","properties":{"formattedCitation":"(Jin et al., 2018)","plainCitation":"(Jin et al., 2018)","noteIndex":0},"citationItems":[{"id":38,"uris":["http://zotero.org/users/local/28isNqcP/items/FMQBT2FA"],"uri":["http://zotero.org/users/local/28isNqcP/items/FMQBT2FA"],"itemData":{"id":38,"type":"article-journal","abstract":"BACKGROUND: This study investigated the clinical characteristics of primary hemophagocytic lymphohistiocytosis (HLH) in adults, including immunological markers, pedigree findings, and conditions of allogeneic hematopoietic stem cell transplantation (Allo-HSCT).\nMETHODS: The study included clinical data of 18 adult patients with primary HLH treated in our center from June 2010 to January 2017.\nRESULTS: Of these 18 cases, pathogenic variants were found in the following genes: PRF1 (n</w:instrText>
            </w:r>
            <w:r>
              <w:rPr>
                <w:rFonts w:ascii="Arial" w:hAnsi="Arial" w:cs="Arial"/>
                <w:sz w:val="20"/>
                <w:szCs w:val="20"/>
              </w:rPr>
              <w:instrText> </w:instrText>
            </w:r>
            <w:r>
              <w:rPr>
                <w:rFonts w:ascii="Arial Narrow" w:hAnsi="Arial Narrow"/>
                <w:sz w:val="20"/>
                <w:szCs w:val="20"/>
              </w:rPr>
              <w:instrText>=</w:instrText>
            </w:r>
            <w:r>
              <w:rPr>
                <w:rFonts w:ascii="Arial" w:hAnsi="Arial" w:cs="Arial"/>
                <w:sz w:val="20"/>
                <w:szCs w:val="20"/>
              </w:rPr>
              <w:instrText> </w:instrText>
            </w:r>
            <w:r>
              <w:rPr>
                <w:rFonts w:ascii="Arial Narrow" w:hAnsi="Arial Narrow"/>
                <w:sz w:val="20"/>
                <w:szCs w:val="20"/>
              </w:rPr>
              <w:instrText>11), UNC13D (n</w:instrText>
            </w:r>
            <w:r>
              <w:rPr>
                <w:rFonts w:ascii="Arial" w:hAnsi="Arial" w:cs="Arial"/>
                <w:sz w:val="20"/>
                <w:szCs w:val="20"/>
              </w:rPr>
              <w:instrText> </w:instrText>
            </w:r>
            <w:r>
              <w:rPr>
                <w:rFonts w:ascii="Arial Narrow" w:hAnsi="Arial Narrow"/>
                <w:sz w:val="20"/>
                <w:szCs w:val="20"/>
              </w:rPr>
              <w:instrText>=</w:instrText>
            </w:r>
            <w:r>
              <w:rPr>
                <w:rFonts w:ascii="Arial" w:hAnsi="Arial" w:cs="Arial"/>
                <w:sz w:val="20"/>
                <w:szCs w:val="20"/>
              </w:rPr>
              <w:instrText> </w:instrText>
            </w:r>
            <w:r>
              <w:rPr>
                <w:rFonts w:ascii="Arial Narrow" w:hAnsi="Arial Narrow"/>
                <w:sz w:val="20"/>
                <w:szCs w:val="20"/>
              </w:rPr>
              <w:instrText>5), SH2D1A (n</w:instrText>
            </w:r>
            <w:r>
              <w:rPr>
                <w:rFonts w:ascii="Arial" w:hAnsi="Arial" w:cs="Arial"/>
                <w:sz w:val="20"/>
                <w:szCs w:val="20"/>
              </w:rPr>
              <w:instrText> </w:instrText>
            </w:r>
            <w:r>
              <w:rPr>
                <w:rFonts w:ascii="Arial Narrow" w:hAnsi="Arial Narrow"/>
                <w:sz w:val="20"/>
                <w:szCs w:val="20"/>
              </w:rPr>
              <w:instrText>=</w:instrText>
            </w:r>
            <w:r>
              <w:rPr>
                <w:rFonts w:ascii="Arial" w:hAnsi="Arial" w:cs="Arial"/>
                <w:sz w:val="20"/>
                <w:szCs w:val="20"/>
              </w:rPr>
              <w:instrText> </w:instrText>
            </w:r>
            <w:r>
              <w:rPr>
                <w:rFonts w:ascii="Arial Narrow" w:hAnsi="Arial Narrow"/>
                <w:sz w:val="20"/>
                <w:szCs w:val="20"/>
              </w:rPr>
              <w:instrText>2), RAB27a (n</w:instrText>
            </w:r>
            <w:r>
              <w:rPr>
                <w:rFonts w:ascii="Arial" w:hAnsi="Arial" w:cs="Arial"/>
                <w:sz w:val="20"/>
                <w:szCs w:val="20"/>
              </w:rPr>
              <w:instrText> </w:instrText>
            </w:r>
            <w:r>
              <w:rPr>
                <w:rFonts w:ascii="Arial Narrow" w:hAnsi="Arial Narrow"/>
                <w:sz w:val="20"/>
                <w:szCs w:val="20"/>
              </w:rPr>
              <w:instrText>=</w:instrText>
            </w:r>
            <w:r>
              <w:rPr>
                <w:rFonts w:ascii="Arial" w:hAnsi="Arial" w:cs="Arial"/>
                <w:sz w:val="20"/>
                <w:szCs w:val="20"/>
              </w:rPr>
              <w:instrText> </w:instrText>
            </w:r>
            <w:r>
              <w:rPr>
                <w:rFonts w:ascii="Arial Narrow" w:hAnsi="Arial Narrow"/>
                <w:sz w:val="20"/>
                <w:szCs w:val="20"/>
              </w:rPr>
              <w:instrText>1), and LYST (n</w:instrText>
            </w:r>
            <w:r>
              <w:rPr>
                <w:rFonts w:ascii="Arial" w:hAnsi="Arial" w:cs="Arial"/>
                <w:sz w:val="20"/>
                <w:szCs w:val="20"/>
              </w:rPr>
              <w:instrText> </w:instrText>
            </w:r>
            <w:r>
              <w:rPr>
                <w:rFonts w:ascii="Arial Narrow" w:hAnsi="Arial Narrow"/>
                <w:sz w:val="20"/>
                <w:szCs w:val="20"/>
              </w:rPr>
              <w:instrText>=</w:instrText>
            </w:r>
            <w:r>
              <w:rPr>
                <w:rFonts w:ascii="Arial" w:hAnsi="Arial" w:cs="Arial"/>
                <w:sz w:val="20"/>
                <w:szCs w:val="20"/>
              </w:rPr>
              <w:instrText> </w:instrText>
            </w:r>
            <w:r>
              <w:rPr>
                <w:rFonts w:ascii="Arial Narrow" w:hAnsi="Arial Narrow"/>
                <w:sz w:val="20"/>
                <w:szCs w:val="20"/>
              </w:rPr>
              <w:instrText>2). One patient had pathogenic variants in both PRF1 and UNC13D genes, one patient had pathogenic variants in both LYST and UNC13D genes and another patient had pathogenic variants in both PRF1 and SH2D1A genes. Additionally, 3 of the 18 cases involved homozygous pathogenic variants, while 2 cases involved hemizygous pathogenic variants. The remaining 13 cases involved compound heterozygous pathogenic variants. The natural killer (NK) cell activity test was conducted in all 18 cases where 14(77.8%)patients showed reduction in NK cell activity. Furthermore, this article presents 3 representative results of the pedigree findings from 12 patients who underwent family surveys. The 8 patients who underwent Allo-HSCT had a median survival of 27.2 months, as compared with the median survival of 7 months for the10 patients who did not undergo Allo-HSCT, a significant difference between the two groups of patients (p</w:instrText>
            </w:r>
            <w:r>
              <w:rPr>
                <w:rFonts w:ascii="Arial" w:hAnsi="Arial" w:cs="Arial"/>
                <w:sz w:val="20"/>
                <w:szCs w:val="20"/>
              </w:rPr>
              <w:instrText> </w:instrText>
            </w:r>
            <w:r>
              <w:rPr>
                <w:rFonts w:ascii="Arial Narrow" w:hAnsi="Arial Narrow"/>
                <w:sz w:val="20"/>
                <w:szCs w:val="20"/>
              </w:rPr>
              <w:instrText>=</w:instrText>
            </w:r>
            <w:r>
              <w:rPr>
                <w:rFonts w:ascii="Arial" w:hAnsi="Arial" w:cs="Arial"/>
                <w:sz w:val="20"/>
                <w:szCs w:val="20"/>
              </w:rPr>
              <w:instrText> </w:instrText>
            </w:r>
            <w:r>
              <w:rPr>
                <w:rFonts w:ascii="Arial Narrow" w:hAnsi="Arial Narrow"/>
                <w:sz w:val="20"/>
                <w:szCs w:val="20"/>
              </w:rPr>
              <w:instrText xml:space="preserve">0.006).\nCONCLUSION: PRF1 was one of the most commonly mutated gene in adult patients with primary HLH. Family surveys and immunological markers were important for the HLH diagnosis and the selection of an appropriate donor. Allo-HSCT was an effective therapy for adult primary HLH.","container-title":"Orphanet Journal of Rare Diseases","DOI":"10.1186/s13023-017-0753-7","ISSN":"1750-1172","issue":"1","journalAbbreviation":"Orphanet J Rare Dis","language":"eng","note":"PMID: 29357941\nPMCID: PMC5778699","page":"17","source":"PubMed","title":"Primary hemophagocytic lymphohistiocytosis in adults: the utility of family surveys in a single-center study from China","title-short":"Primary hemophagocytic lymphohistiocytosis in adults","volume":"13","author":[{"family":"Jin","given":"Zhili"},{"family":"Wang","given":"Yini"},{"family":"Wang","given":"Jingshi"},{"family":"Zhang","given":"Jia"},{"family":"Wu","given":"Lin"},{"family":"Gao","given":"Zhuo"},{"family":"Lai","given":"Wenyuan"},{"family":"Wang","given":"Zhao"}],"issued":{"date-parts":[["2018"]],"season":"22"}}}],"schema":"https://github.com/citation-style-language/schema/raw/master/csl-citation.json"} </w:instrText>
            </w:r>
            <w:r>
              <w:rPr>
                <w:rFonts w:ascii="Arial Narrow" w:hAnsi="Arial Narrow"/>
                <w:sz w:val="20"/>
                <w:szCs w:val="20"/>
              </w:rPr>
              <w:fldChar w:fldCharType="separate"/>
            </w:r>
            <w:r w:rsidRPr="00382335">
              <w:rPr>
                <w:rFonts w:ascii="Arial Narrow" w:hAnsi="Arial Narrow" w:cs="Times New Roman"/>
                <w:sz w:val="20"/>
              </w:rPr>
              <w:t>(</w:t>
            </w:r>
            <w:proofErr w:type="spellStart"/>
            <w:r w:rsidRPr="00382335">
              <w:rPr>
                <w:rFonts w:ascii="Arial Narrow" w:hAnsi="Arial Narrow" w:cs="Times New Roman"/>
                <w:sz w:val="20"/>
              </w:rPr>
              <w:t>Jin</w:t>
            </w:r>
            <w:proofErr w:type="spellEnd"/>
            <w:r w:rsidRPr="00382335">
              <w:rPr>
                <w:rFonts w:ascii="Arial Narrow" w:hAnsi="Arial Narrow" w:cs="Times New Roman"/>
                <w:sz w:val="20"/>
              </w:rPr>
              <w:t xml:space="preserve"> et al., 2018)</w:t>
            </w:r>
            <w:r>
              <w:rPr>
                <w:rFonts w:ascii="Arial Narrow" w:hAnsi="Arial Narrow"/>
                <w:sz w:val="20"/>
                <w:szCs w:val="20"/>
              </w:rPr>
              <w:fldChar w:fldCharType="end"/>
            </w:r>
          </w:p>
        </w:tc>
      </w:tr>
      <w:tr w:rsidR="00B13868" w:rsidRPr="00C67805" w:rsidTr="00D7291A">
        <w:trPr>
          <w:trHeight w:val="92"/>
        </w:trPr>
        <w:tc>
          <w:tcPr>
            <w:tcW w:w="704"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35</w:t>
            </w:r>
          </w:p>
        </w:tc>
        <w:tc>
          <w:tcPr>
            <w:tcW w:w="1276"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33/35</w:t>
            </w:r>
          </w:p>
        </w:tc>
        <w:tc>
          <w:tcPr>
            <w:tcW w:w="992"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N/A</w:t>
            </w:r>
          </w:p>
        </w:tc>
        <w:tc>
          <w:tcPr>
            <w:tcW w:w="992" w:type="dxa"/>
          </w:tcPr>
          <w:p w:rsidR="00B13868" w:rsidRPr="00DF4D58" w:rsidRDefault="00B13868" w:rsidP="00D7291A">
            <w:pPr>
              <w:jc w:val="center"/>
              <w:rPr>
                <w:rFonts w:ascii="Arial Narrow" w:hAnsi="Arial Narrow"/>
                <w:color w:val="000000" w:themeColor="text1"/>
                <w:sz w:val="20"/>
                <w:szCs w:val="20"/>
              </w:rPr>
            </w:pPr>
            <w:r w:rsidRPr="00DF4D58">
              <w:rPr>
                <w:rFonts w:ascii="Arial Narrow" w:hAnsi="Arial Narrow"/>
                <w:color w:val="000000" w:themeColor="text1"/>
                <w:sz w:val="20"/>
                <w:szCs w:val="20"/>
              </w:rPr>
              <w:t>16/35</w:t>
            </w:r>
          </w:p>
        </w:tc>
        <w:tc>
          <w:tcPr>
            <w:tcW w:w="851" w:type="dxa"/>
          </w:tcPr>
          <w:p w:rsidR="00B13868" w:rsidRPr="00DF4D58" w:rsidRDefault="00B13868" w:rsidP="00D7291A">
            <w:pPr>
              <w:ind w:left="264"/>
              <w:jc w:val="center"/>
              <w:rPr>
                <w:rFonts w:ascii="Arial Narrow" w:hAnsi="Arial Narrow"/>
                <w:color w:val="000000" w:themeColor="text1"/>
                <w:sz w:val="20"/>
                <w:szCs w:val="20"/>
              </w:rPr>
            </w:pPr>
            <w:r w:rsidRPr="00DF4D58">
              <w:rPr>
                <w:rFonts w:ascii="Arial Narrow" w:hAnsi="Arial Narrow"/>
                <w:color w:val="000000" w:themeColor="text1"/>
                <w:sz w:val="20"/>
                <w:szCs w:val="20"/>
              </w:rPr>
              <w:t>28/35</w:t>
            </w:r>
          </w:p>
        </w:tc>
        <w:tc>
          <w:tcPr>
            <w:tcW w:w="1701" w:type="dxa"/>
          </w:tcPr>
          <w:p w:rsidR="00B13868" w:rsidRPr="00DF4D58" w:rsidRDefault="00B13868" w:rsidP="00D7291A">
            <w:pPr>
              <w:ind w:right="3"/>
              <w:jc w:val="center"/>
              <w:rPr>
                <w:rFonts w:ascii="Arial Narrow" w:hAnsi="Arial Narrow"/>
                <w:color w:val="000000" w:themeColor="text1"/>
                <w:sz w:val="20"/>
                <w:szCs w:val="20"/>
              </w:rPr>
            </w:pPr>
            <w:r w:rsidRPr="00DF4D58">
              <w:rPr>
                <w:rFonts w:ascii="Arial Narrow" w:hAnsi="Arial Narrow"/>
                <w:color w:val="000000" w:themeColor="text1"/>
                <w:sz w:val="20"/>
                <w:szCs w:val="20"/>
              </w:rPr>
              <w:t>20/35</w:t>
            </w:r>
          </w:p>
          <w:p w:rsidR="00B13868" w:rsidRPr="00DF4D58" w:rsidRDefault="00B13868" w:rsidP="00B13868">
            <w:pPr>
              <w:pStyle w:val="ListParagraph"/>
              <w:numPr>
                <w:ilvl w:val="0"/>
                <w:numId w:val="1"/>
              </w:numPr>
              <w:spacing w:after="0" w:line="240" w:lineRule="auto"/>
              <w:ind w:left="354" w:right="3"/>
              <w:jc w:val="center"/>
              <w:rPr>
                <w:rFonts w:ascii="Arial Narrow" w:hAnsi="Arial Narrow"/>
                <w:color w:val="000000" w:themeColor="text1"/>
                <w:sz w:val="20"/>
                <w:szCs w:val="20"/>
              </w:rPr>
            </w:pPr>
            <w:r w:rsidRPr="00DF4D58">
              <w:rPr>
                <w:rFonts w:ascii="Arial Narrow" w:hAnsi="Arial Narrow"/>
                <w:color w:val="000000" w:themeColor="text1"/>
                <w:sz w:val="20"/>
                <w:szCs w:val="20"/>
              </w:rPr>
              <w:t>RAB27A tandem duplication (3/20)</w:t>
            </w:r>
          </w:p>
          <w:p w:rsidR="00B13868" w:rsidRPr="00DF4D58" w:rsidRDefault="00B13868" w:rsidP="00B13868">
            <w:pPr>
              <w:pStyle w:val="ListParagraph"/>
              <w:numPr>
                <w:ilvl w:val="0"/>
                <w:numId w:val="1"/>
              </w:numPr>
              <w:spacing w:after="0" w:line="240" w:lineRule="auto"/>
              <w:ind w:left="354" w:right="3"/>
              <w:jc w:val="center"/>
              <w:rPr>
                <w:rFonts w:ascii="Arial Narrow" w:hAnsi="Arial Narrow"/>
                <w:color w:val="000000" w:themeColor="text1"/>
                <w:sz w:val="20"/>
                <w:szCs w:val="20"/>
              </w:rPr>
            </w:pPr>
            <w:r w:rsidRPr="00DF4D58">
              <w:rPr>
                <w:rFonts w:ascii="Arial Narrow" w:hAnsi="Arial Narrow"/>
                <w:color w:val="000000" w:themeColor="text1"/>
                <w:sz w:val="20"/>
                <w:szCs w:val="20"/>
              </w:rPr>
              <w:t>p.R50fsX33 (6/20)</w:t>
            </w:r>
          </w:p>
          <w:p w:rsidR="00B13868" w:rsidRPr="00DF4D58" w:rsidRDefault="00B13868" w:rsidP="00B13868">
            <w:pPr>
              <w:pStyle w:val="ListParagraph"/>
              <w:numPr>
                <w:ilvl w:val="0"/>
                <w:numId w:val="1"/>
              </w:numPr>
              <w:spacing w:after="0" w:line="240" w:lineRule="auto"/>
              <w:ind w:left="354" w:right="3"/>
              <w:jc w:val="center"/>
              <w:rPr>
                <w:rFonts w:ascii="Arial Narrow" w:hAnsi="Arial Narrow"/>
                <w:color w:val="000000" w:themeColor="text1"/>
                <w:sz w:val="20"/>
                <w:szCs w:val="20"/>
              </w:rPr>
            </w:pPr>
            <w:r w:rsidRPr="00DF4D58">
              <w:rPr>
                <w:rFonts w:ascii="Arial Narrow" w:hAnsi="Arial Narrow"/>
                <w:color w:val="000000" w:themeColor="text1"/>
                <w:sz w:val="20"/>
                <w:szCs w:val="20"/>
              </w:rPr>
              <w:t>p.R82C (3/20)</w:t>
            </w:r>
          </w:p>
          <w:p w:rsidR="00B13868" w:rsidRPr="00DF4D58" w:rsidRDefault="00B13868" w:rsidP="00B13868">
            <w:pPr>
              <w:pStyle w:val="ListParagraph"/>
              <w:numPr>
                <w:ilvl w:val="0"/>
                <w:numId w:val="1"/>
              </w:numPr>
              <w:spacing w:after="0" w:line="240" w:lineRule="auto"/>
              <w:ind w:left="354" w:right="3"/>
              <w:jc w:val="center"/>
              <w:rPr>
                <w:rFonts w:ascii="Arial Narrow" w:hAnsi="Arial Narrow"/>
                <w:color w:val="000000" w:themeColor="text1"/>
                <w:sz w:val="20"/>
                <w:szCs w:val="20"/>
              </w:rPr>
            </w:pPr>
            <w:r w:rsidRPr="00DF4D58">
              <w:rPr>
                <w:rFonts w:ascii="Arial Narrow" w:hAnsi="Arial Narrow"/>
                <w:color w:val="000000" w:themeColor="text1"/>
                <w:sz w:val="20"/>
                <w:szCs w:val="20"/>
              </w:rPr>
              <w:t>p.R200X (3/20)</w:t>
            </w:r>
          </w:p>
          <w:p w:rsidR="00B13868" w:rsidRPr="00DF4D58" w:rsidRDefault="00B13868" w:rsidP="00B13868">
            <w:pPr>
              <w:pStyle w:val="ListParagraph"/>
              <w:numPr>
                <w:ilvl w:val="0"/>
                <w:numId w:val="1"/>
              </w:numPr>
              <w:spacing w:after="0" w:line="240" w:lineRule="auto"/>
              <w:ind w:left="354" w:right="3"/>
              <w:jc w:val="center"/>
              <w:rPr>
                <w:rFonts w:ascii="Arial Narrow" w:hAnsi="Arial Narrow"/>
                <w:color w:val="000000" w:themeColor="text1"/>
                <w:sz w:val="20"/>
                <w:szCs w:val="20"/>
              </w:rPr>
            </w:pPr>
            <w:r w:rsidRPr="00DF4D58">
              <w:rPr>
                <w:rFonts w:ascii="Arial Narrow" w:hAnsi="Arial Narrow"/>
                <w:color w:val="000000" w:themeColor="text1"/>
                <w:sz w:val="20"/>
                <w:szCs w:val="20"/>
              </w:rPr>
              <w:t>p.Q172X (2/20)</w:t>
            </w:r>
          </w:p>
          <w:p w:rsidR="00B13868" w:rsidRPr="00DF4D58" w:rsidRDefault="00B13868" w:rsidP="00B13868">
            <w:pPr>
              <w:pStyle w:val="ListParagraph"/>
              <w:numPr>
                <w:ilvl w:val="0"/>
                <w:numId w:val="1"/>
              </w:numPr>
              <w:spacing w:after="0" w:line="240" w:lineRule="auto"/>
              <w:ind w:left="354" w:right="3"/>
              <w:jc w:val="center"/>
              <w:rPr>
                <w:rFonts w:ascii="Arial Narrow" w:hAnsi="Arial Narrow"/>
                <w:color w:val="000000" w:themeColor="text1"/>
                <w:sz w:val="20"/>
                <w:szCs w:val="20"/>
              </w:rPr>
            </w:pPr>
            <w:r w:rsidRPr="00DF4D58">
              <w:rPr>
                <w:rFonts w:ascii="Arial Narrow" w:hAnsi="Arial Narrow"/>
                <w:color w:val="000000" w:themeColor="text1"/>
                <w:sz w:val="20"/>
                <w:szCs w:val="20"/>
              </w:rPr>
              <w:t>p.W73X (1/20)</w:t>
            </w:r>
          </w:p>
          <w:p w:rsidR="00B13868" w:rsidRPr="00DF4D58" w:rsidRDefault="00B13868" w:rsidP="00B13868">
            <w:pPr>
              <w:pStyle w:val="ListParagraph"/>
              <w:numPr>
                <w:ilvl w:val="0"/>
                <w:numId w:val="1"/>
              </w:numPr>
              <w:spacing w:after="0" w:line="240" w:lineRule="auto"/>
              <w:ind w:left="354" w:right="3"/>
              <w:jc w:val="center"/>
              <w:rPr>
                <w:rFonts w:ascii="Arial Narrow" w:hAnsi="Arial Narrow"/>
                <w:color w:val="000000" w:themeColor="text1"/>
                <w:sz w:val="20"/>
                <w:szCs w:val="20"/>
              </w:rPr>
            </w:pPr>
            <w:r w:rsidRPr="00DF4D58">
              <w:rPr>
                <w:rFonts w:ascii="Arial Narrow" w:hAnsi="Arial Narrow"/>
                <w:color w:val="000000" w:themeColor="text1"/>
                <w:sz w:val="20"/>
                <w:szCs w:val="20"/>
              </w:rPr>
              <w:lastRenderedPageBreak/>
              <w:t>p.K144Q (1/20)</w:t>
            </w:r>
          </w:p>
          <w:p w:rsidR="00B13868" w:rsidRPr="00DF4D58" w:rsidRDefault="00B13868" w:rsidP="00B13868">
            <w:pPr>
              <w:pStyle w:val="ListParagraph"/>
              <w:numPr>
                <w:ilvl w:val="0"/>
                <w:numId w:val="1"/>
              </w:numPr>
              <w:spacing w:after="0" w:line="240" w:lineRule="auto"/>
              <w:ind w:left="354" w:right="3"/>
              <w:jc w:val="center"/>
              <w:rPr>
                <w:rFonts w:ascii="Arial Narrow" w:hAnsi="Arial Narrow"/>
                <w:color w:val="000000" w:themeColor="text1"/>
                <w:sz w:val="20"/>
                <w:szCs w:val="20"/>
              </w:rPr>
            </w:pPr>
            <w:r w:rsidRPr="00DF4D58">
              <w:rPr>
                <w:rFonts w:ascii="Arial Narrow" w:hAnsi="Arial Narrow"/>
                <w:color w:val="000000" w:themeColor="text1"/>
                <w:sz w:val="20"/>
                <w:szCs w:val="20"/>
              </w:rPr>
              <w:t>p.A92fsX7 (1/20)</w:t>
            </w:r>
          </w:p>
        </w:tc>
        <w:tc>
          <w:tcPr>
            <w:tcW w:w="1780" w:type="dxa"/>
          </w:tcPr>
          <w:p w:rsidR="00B13868" w:rsidRDefault="00B13868" w:rsidP="00D7291A">
            <w:pPr>
              <w:ind w:right="3"/>
              <w:jc w:val="center"/>
              <w:rPr>
                <w:rFonts w:ascii="Arial Narrow" w:hAnsi="Arial Narrow"/>
                <w:sz w:val="20"/>
                <w:szCs w:val="20"/>
              </w:rPr>
            </w:pPr>
          </w:p>
          <w:p w:rsidR="00B13868" w:rsidRPr="00DF4D58" w:rsidRDefault="00B13868" w:rsidP="00D7291A">
            <w:pPr>
              <w:ind w:right="3"/>
              <w:jc w:val="center"/>
              <w:rPr>
                <w:rFonts w:ascii="Arial Narrow" w:hAnsi="Arial Narrow"/>
                <w:sz w:val="20"/>
                <w:szCs w:val="20"/>
              </w:rPr>
            </w:pPr>
            <w:r>
              <w:rPr>
                <w:rFonts w:ascii="Arial Narrow" w:hAnsi="Arial Narrow"/>
                <w:sz w:val="20"/>
                <w:szCs w:val="20"/>
              </w:rPr>
              <w:t>KSA</w:t>
            </w:r>
          </w:p>
        </w:tc>
        <w:tc>
          <w:tcPr>
            <w:tcW w:w="1671" w:type="dxa"/>
          </w:tcPr>
          <w:p w:rsidR="00B13868" w:rsidRPr="001806D4" w:rsidRDefault="00B13868" w:rsidP="00D7291A">
            <w:pPr>
              <w:jc w:val="center"/>
              <w:rPr>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ADDIN ZOTERO_ITEM CSL_CITATION {"citationID":"acustvcdjt","properties":{"formattedCitation":"(Al-Mofareh et al., 2020)","plainCitation":"(Al-Mofareh et al., 2020)","noteIndex":0},"citationItems":[{"id":41,"uris":["http://zotero.org/users/local/28isNqcP/items/85VA6J6M"],"uri":["http://zotero.org/users/local/28isNqcP/items/85VA6J6M"],"itemData":{"id":41,"type":"article-journal","abstract":"In 2010, we reported the outcome of hematopoietic stem cell transplantation (HSCT) in 11 children with Griscelli syndrome type 2 (GS2). We report here the update on this cohort to include 35 patients. Twenty-seven (77%) patients received conditioning regimen including busulfan, cyclophosphamide with etoposide. Eight (23%) were given busulfan, fludarabine. Thiotepa was added to busulfan and fludarabine regimen in two patients; one received haploidentical marrow and one unrelated cord blood. Posttransplant clinical events included veno-occlusive disease (n</w:instrText>
            </w:r>
            <w:r>
              <w:rPr>
                <w:rFonts w:ascii="Arial" w:hAnsi="Arial" w:cs="Arial"/>
                <w:sz w:val="20"/>
                <w:szCs w:val="20"/>
              </w:rPr>
              <w:instrText> </w:instrText>
            </w:r>
            <w:r>
              <w:rPr>
                <w:rFonts w:ascii="Arial Narrow" w:hAnsi="Arial Narrow"/>
                <w:sz w:val="20"/>
                <w:szCs w:val="20"/>
              </w:rPr>
              <w:instrText>=</w:instrText>
            </w:r>
            <w:r>
              <w:rPr>
                <w:rFonts w:ascii="Arial" w:hAnsi="Arial" w:cs="Arial"/>
                <w:sz w:val="20"/>
                <w:szCs w:val="20"/>
              </w:rPr>
              <w:instrText> </w:instrText>
            </w:r>
            <w:r>
              <w:rPr>
                <w:rFonts w:ascii="Arial Narrow" w:hAnsi="Arial Narrow"/>
                <w:sz w:val="20"/>
                <w:szCs w:val="20"/>
              </w:rPr>
              <w:instrText>7), acute (n</w:instrText>
            </w:r>
            <w:r>
              <w:rPr>
                <w:rFonts w:ascii="Arial" w:hAnsi="Arial" w:cs="Arial"/>
                <w:sz w:val="20"/>
                <w:szCs w:val="20"/>
              </w:rPr>
              <w:instrText> </w:instrText>
            </w:r>
            <w:r>
              <w:rPr>
                <w:rFonts w:ascii="Arial Narrow" w:hAnsi="Arial Narrow"/>
                <w:sz w:val="20"/>
                <w:szCs w:val="20"/>
              </w:rPr>
              <w:instrText>=</w:instrText>
            </w:r>
            <w:r>
              <w:rPr>
                <w:rFonts w:ascii="Arial" w:hAnsi="Arial" w:cs="Arial"/>
                <w:sz w:val="20"/>
                <w:szCs w:val="20"/>
              </w:rPr>
              <w:instrText> </w:instrText>
            </w:r>
            <w:r>
              <w:rPr>
                <w:rFonts w:ascii="Arial Narrow" w:hAnsi="Arial Narrow"/>
                <w:sz w:val="20"/>
                <w:szCs w:val="20"/>
              </w:rPr>
              <w:instrText>8), or chronic (n</w:instrText>
            </w:r>
            <w:r>
              <w:rPr>
                <w:rFonts w:ascii="Arial" w:hAnsi="Arial" w:cs="Arial"/>
                <w:sz w:val="20"/>
                <w:szCs w:val="20"/>
              </w:rPr>
              <w:instrText> </w:instrText>
            </w:r>
            <w:r>
              <w:rPr>
                <w:rFonts w:ascii="Arial Narrow" w:hAnsi="Arial Narrow"/>
                <w:sz w:val="20"/>
                <w:szCs w:val="20"/>
              </w:rPr>
              <w:instrText>=</w:instrText>
            </w:r>
            <w:r>
              <w:rPr>
                <w:rFonts w:ascii="Arial" w:hAnsi="Arial" w:cs="Arial"/>
                <w:sz w:val="20"/>
                <w:szCs w:val="20"/>
              </w:rPr>
              <w:instrText> </w:instrText>
            </w:r>
            <w:r>
              <w:rPr>
                <w:rFonts w:ascii="Arial Narrow" w:hAnsi="Arial Narrow"/>
                <w:sz w:val="20"/>
                <w:szCs w:val="20"/>
              </w:rPr>
              <w:instrText>1) graft-versus-host disease II-IV. With a mortality rate of 37.1% (n</w:instrText>
            </w:r>
            <w:r>
              <w:rPr>
                <w:rFonts w:ascii="Arial" w:hAnsi="Arial" w:cs="Arial"/>
                <w:sz w:val="20"/>
                <w:szCs w:val="20"/>
              </w:rPr>
              <w:instrText> </w:instrText>
            </w:r>
            <w:r>
              <w:rPr>
                <w:rFonts w:ascii="Arial Narrow" w:hAnsi="Arial Narrow"/>
                <w:sz w:val="20"/>
                <w:szCs w:val="20"/>
              </w:rPr>
              <w:instrText>=</w:instrText>
            </w:r>
            <w:r>
              <w:rPr>
                <w:rFonts w:ascii="Arial" w:hAnsi="Arial" w:cs="Arial"/>
                <w:sz w:val="20"/>
                <w:szCs w:val="20"/>
              </w:rPr>
              <w:instrText> </w:instrText>
            </w:r>
            <w:r>
              <w:rPr>
                <w:rFonts w:ascii="Arial Narrow" w:hAnsi="Arial Narrow"/>
                <w:sz w:val="20"/>
                <w:szCs w:val="20"/>
              </w:rPr>
              <w:instrText>13) and a median follow-up of 87.7 months of the survivors, 5-year cumulative probability of overall survival (OS) for our cohort of patients was 62.7% (±8.2%). Cumulative probability of 5-year OS was significantly better in those who did not have hemophagocytic lymphohistiocytosis (HLH) prior to HSCT (100% vs. 53.3</w:instrText>
            </w:r>
            <w:r>
              <w:rPr>
                <w:rFonts w:ascii="Arial" w:hAnsi="Arial" w:cs="Arial"/>
                <w:sz w:val="20"/>
                <w:szCs w:val="20"/>
              </w:rPr>
              <w:instrText> </w:instrText>
            </w:r>
            <w:r>
              <w:rPr>
                <w:rFonts w:ascii="Arial Narrow" w:hAnsi="Arial Narrow"/>
                <w:sz w:val="20"/>
                <w:szCs w:val="20"/>
              </w:rPr>
              <w:instrText>±</w:instrText>
            </w:r>
            <w:r>
              <w:rPr>
                <w:rFonts w:ascii="Arial" w:hAnsi="Arial" w:cs="Arial"/>
                <w:sz w:val="20"/>
                <w:szCs w:val="20"/>
              </w:rPr>
              <w:instrText> </w:instrText>
            </w:r>
            <w:r>
              <w:rPr>
                <w:rFonts w:ascii="Arial Narrow" w:hAnsi="Arial Narrow"/>
                <w:sz w:val="20"/>
                <w:szCs w:val="20"/>
              </w:rPr>
              <w:instrText>9.5%, P value: 0.042). Of the 16 patients with neurologic involvement before HSCT, 8 survived and 3 presented sequelae. OS at 5-year was 50</w:instrText>
            </w:r>
            <w:r>
              <w:rPr>
                <w:rFonts w:ascii="Arial" w:hAnsi="Arial" w:cs="Arial"/>
                <w:sz w:val="20"/>
                <w:szCs w:val="20"/>
              </w:rPr>
              <w:instrText> </w:instrText>
            </w:r>
            <w:r>
              <w:rPr>
                <w:rFonts w:ascii="Arial Narrow" w:hAnsi="Arial Narrow"/>
                <w:sz w:val="20"/>
                <w:szCs w:val="20"/>
              </w:rPr>
              <w:instrText>±</w:instrText>
            </w:r>
            <w:r>
              <w:rPr>
                <w:rFonts w:ascii="Arial" w:hAnsi="Arial" w:cs="Arial"/>
                <w:sz w:val="20"/>
                <w:szCs w:val="20"/>
              </w:rPr>
              <w:instrText> </w:instrText>
            </w:r>
            <w:r>
              <w:rPr>
                <w:rFonts w:ascii="Arial Narrow" w:hAnsi="Arial Narrow"/>
                <w:sz w:val="20"/>
                <w:szCs w:val="20"/>
              </w:rPr>
              <w:instrText>12.5% and 73.3</w:instrText>
            </w:r>
            <w:r>
              <w:rPr>
                <w:rFonts w:ascii="Arial" w:hAnsi="Arial" w:cs="Arial"/>
                <w:sz w:val="20"/>
                <w:szCs w:val="20"/>
              </w:rPr>
              <w:instrText> </w:instrText>
            </w:r>
            <w:r>
              <w:rPr>
                <w:rFonts w:ascii="Arial Narrow" w:hAnsi="Arial Narrow"/>
                <w:sz w:val="20"/>
                <w:szCs w:val="20"/>
              </w:rPr>
              <w:instrText>±</w:instrText>
            </w:r>
            <w:r>
              <w:rPr>
                <w:rFonts w:ascii="Arial" w:hAnsi="Arial" w:cs="Arial"/>
                <w:sz w:val="20"/>
                <w:szCs w:val="20"/>
              </w:rPr>
              <w:instrText> </w:instrText>
            </w:r>
            <w:r>
              <w:rPr>
                <w:rFonts w:ascii="Arial Narrow" w:hAnsi="Arial Narrow"/>
                <w:sz w:val="20"/>
                <w:szCs w:val="20"/>
              </w:rPr>
              <w:instrText xml:space="preserve">10.2% (P value: 0.320) in patients with and without CNS involvement, respectively. In conclusion, HSCT in patients with GS2 is potentially curative with long-term disease-free survival. Early HSCT before the development of the accelerated phase is associated with a better outcome.","container-title":"Bone Marrow Transplantation","DOI":"10.1038/s41409-020-0885-6","ISSN":"1476-5365","journalAbbreviation":"Bone Marrow Transplant.","language":"eng","note":"PMID: 32286505","source":"PubMed","title":"Hematopoietic stem cell transplantation in children with Griscelli syndrome type 2: a single-center report on 35 patients","title-short":"Hematopoietic stem cell transplantation in children with Griscelli syndrome type 2","author":[{"family":"Al-Mofareh","given":"M."},{"family":"Ayas","given":"M."},{"family":"Al-Seraihy","given":"A."},{"family":"Siddiqui","given":"K."},{"family":"Al-Jefri","given":"A."},{"family":"Ghemlas","given":"I."},{"family":"Alsaedi","given":"H."},{"family":"El-Solh","given":"H."},{"family":"Al-Sweedan","given":"S."},{"family":"Al-Saud","given":"B."},{"family":"Al-Mousa","given":"H."},{"family":"Al-Dhekri","given":"H."},{"family":"Arnaout","given":"R."},{"family":"Mohammed","given":"R."},{"family":"Al-Muhsen","given":"S."},{"family":"Al-Ahmari","given":"A."}],"issued":{"date-parts":[["2020",4,14]]}}}],"schema":"https://github.com/citation-style-language/schema/raw/master/csl-citation.json"} </w:instrText>
            </w:r>
            <w:r>
              <w:rPr>
                <w:rFonts w:ascii="Arial Narrow" w:hAnsi="Arial Narrow"/>
                <w:sz w:val="20"/>
                <w:szCs w:val="20"/>
              </w:rPr>
              <w:fldChar w:fldCharType="separate"/>
            </w:r>
            <w:r w:rsidRPr="00382335">
              <w:rPr>
                <w:rFonts w:ascii="Arial Narrow" w:hAnsi="Arial Narrow" w:cs="Times New Roman"/>
                <w:sz w:val="20"/>
              </w:rPr>
              <w:t>(Al-</w:t>
            </w:r>
            <w:proofErr w:type="spellStart"/>
            <w:r w:rsidRPr="00382335">
              <w:rPr>
                <w:rFonts w:ascii="Arial Narrow" w:hAnsi="Arial Narrow" w:cs="Times New Roman"/>
                <w:sz w:val="20"/>
              </w:rPr>
              <w:t>Mofareh</w:t>
            </w:r>
            <w:proofErr w:type="spellEnd"/>
            <w:r w:rsidRPr="00382335">
              <w:rPr>
                <w:rFonts w:ascii="Arial Narrow" w:hAnsi="Arial Narrow" w:cs="Times New Roman"/>
                <w:sz w:val="20"/>
              </w:rPr>
              <w:t xml:space="preserve"> et al., 2020)</w:t>
            </w:r>
            <w:r>
              <w:rPr>
                <w:rFonts w:ascii="Arial Narrow" w:hAnsi="Arial Narrow"/>
                <w:sz w:val="20"/>
                <w:szCs w:val="20"/>
              </w:rPr>
              <w:fldChar w:fldCharType="end"/>
            </w:r>
          </w:p>
        </w:tc>
      </w:tr>
    </w:tbl>
    <w:p w:rsidR="00B13868" w:rsidRDefault="00B13868" w:rsidP="00B13868">
      <w:pPr>
        <w:spacing w:line="480" w:lineRule="auto"/>
        <w:jc w:val="both"/>
        <w:rPr>
          <w:rFonts w:asciiTheme="minorBidi" w:hAnsiTheme="minorBidi"/>
          <w:b/>
          <w:bCs/>
          <w:sz w:val="20"/>
          <w:szCs w:val="20"/>
        </w:rPr>
      </w:pPr>
    </w:p>
    <w:p w:rsidR="00B13868" w:rsidRPr="000E7366" w:rsidRDefault="00B13868" w:rsidP="00B13868">
      <w:pPr>
        <w:spacing w:line="480" w:lineRule="auto"/>
        <w:jc w:val="both"/>
        <w:rPr>
          <w:rFonts w:asciiTheme="majorBidi" w:hAnsiTheme="majorBidi" w:cstheme="majorBidi"/>
          <w:sz w:val="24"/>
          <w:szCs w:val="24"/>
        </w:rPr>
      </w:pPr>
    </w:p>
    <w:p w:rsidR="00B13868" w:rsidRDefault="00B13868" w:rsidP="00B13868"/>
    <w:p w:rsidR="000E2F5A" w:rsidRDefault="000E2F5A">
      <w:bookmarkStart w:id="0" w:name="_GoBack"/>
      <w:bookmarkEnd w:id="0"/>
    </w:p>
    <w:sectPr w:rsidR="000E2F5A" w:rsidSect="00682E83">
      <w:pgSz w:w="12240" w:h="15840"/>
      <w:pgMar w:top="1077" w:right="1185" w:bottom="1077" w:left="107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70C92"/>
    <w:multiLevelType w:val="hybridMultilevel"/>
    <w:tmpl w:val="A6186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0A290E"/>
    <w:multiLevelType w:val="hybridMultilevel"/>
    <w:tmpl w:val="8F4A7C8A"/>
    <w:lvl w:ilvl="0" w:tplc="04090001">
      <w:start w:val="1"/>
      <w:numFmt w:val="bullet"/>
      <w:lvlText w:val=""/>
      <w:lvlJc w:val="left"/>
      <w:pPr>
        <w:ind w:left="804" w:hanging="360"/>
      </w:pPr>
      <w:rPr>
        <w:rFonts w:ascii="Symbol" w:hAnsi="Symbol"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868"/>
    <w:rsid w:val="000E2F5A"/>
    <w:rsid w:val="00166905"/>
    <w:rsid w:val="00B1386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868"/>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1386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13868"/>
    <w:pPr>
      <w:ind w:left="720"/>
      <w:contextualSpacing/>
    </w:pPr>
  </w:style>
  <w:style w:type="table" w:styleId="TableGrid">
    <w:name w:val="Table Grid"/>
    <w:basedOn w:val="TableNormal"/>
    <w:uiPriority w:val="39"/>
    <w:rsid w:val="00B1386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868"/>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1386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13868"/>
    <w:pPr>
      <w:ind w:left="720"/>
      <w:contextualSpacing/>
    </w:pPr>
  </w:style>
  <w:style w:type="table" w:styleId="TableGrid">
    <w:name w:val="Table Grid"/>
    <w:basedOn w:val="TableNormal"/>
    <w:uiPriority w:val="39"/>
    <w:rsid w:val="00B1386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3955</Words>
  <Characters>22549</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Reem</dc:creator>
  <cp:lastModifiedBy>Reem</cp:lastModifiedBy>
  <cp:revision>1</cp:revision>
  <dcterms:created xsi:type="dcterms:W3CDTF">2020-07-30T12:30:00Z</dcterms:created>
  <dcterms:modified xsi:type="dcterms:W3CDTF">2020-07-30T12:31:00Z</dcterms:modified>
</cp:coreProperties>
</file>