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51D" w:rsidRDefault="00A2751D" w:rsidP="00A2751D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eastAsiaTheme="minorHAnsi" w:hAnsi="Times New Roman" w:cs="Times New Roman"/>
          <w:b/>
          <w:bCs/>
          <w:sz w:val="24"/>
          <w:szCs w:val="24"/>
        </w:rPr>
        <w:t>Supplementary information</w:t>
      </w:r>
    </w:p>
    <w:p w:rsidR="00A2751D" w:rsidRDefault="00A2751D" w:rsidP="00A2751D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</w:rPr>
      </w:pPr>
    </w:p>
    <w:p w:rsidR="00A2751D" w:rsidRPr="00B43CDB" w:rsidRDefault="00A2751D" w:rsidP="00A2751D">
      <w:pPr>
        <w:spacing w:after="0" w:line="48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B43CDB">
        <w:rPr>
          <w:rFonts w:ascii="Times New Roman" w:hAnsi="Times New Roman" w:cs="Times New Roman"/>
          <w:b/>
          <w:color w:val="000000" w:themeColor="text1"/>
        </w:rPr>
        <w:t xml:space="preserve">DNAJB3 attenuates metabolic stress and promotes glucose uptake by eliciting Glut4 translocation </w:t>
      </w:r>
    </w:p>
    <w:p w:rsidR="00A2751D" w:rsidRPr="00B43CDB" w:rsidRDefault="00A2751D" w:rsidP="00A2751D">
      <w:pPr>
        <w:spacing w:after="0" w:line="480" w:lineRule="auto"/>
        <w:jc w:val="center"/>
        <w:rPr>
          <w:rFonts w:ascii="Times New Roman" w:hAnsi="Times New Roman" w:cs="Times New Roman"/>
          <w:b/>
        </w:rPr>
      </w:pPr>
    </w:p>
    <w:p w:rsidR="00A2751D" w:rsidRPr="00B43CDB" w:rsidRDefault="00A2751D" w:rsidP="00A2751D">
      <w:pPr>
        <w:spacing w:after="0" w:line="480" w:lineRule="auto"/>
        <w:jc w:val="center"/>
        <w:rPr>
          <w:rFonts w:ascii="Times New Roman" w:hAnsi="Times New Roman" w:cs="Times New Roman"/>
        </w:rPr>
      </w:pPr>
      <w:r w:rsidRPr="00B43CDB">
        <w:rPr>
          <w:rFonts w:ascii="Times New Roman" w:hAnsi="Times New Roman" w:cs="Times New Roman"/>
        </w:rPr>
        <w:t>Abdelilah Arredouani</w:t>
      </w:r>
      <w:r w:rsidRPr="00B43CDB">
        <w:rPr>
          <w:rFonts w:ascii="Times New Roman" w:hAnsi="Times New Roman" w:cs="Times New Roman"/>
          <w:vertAlign w:val="superscript"/>
        </w:rPr>
        <w:t>1#</w:t>
      </w:r>
      <w:r w:rsidRPr="00B43CDB">
        <w:rPr>
          <w:rFonts w:ascii="Times New Roman" w:hAnsi="Times New Roman" w:cs="Times New Roman"/>
        </w:rPr>
        <w:t xml:space="preserve">, </w:t>
      </w:r>
      <w:proofErr w:type="spellStart"/>
      <w:r w:rsidRPr="00B43CDB">
        <w:rPr>
          <w:rFonts w:ascii="Times New Roman" w:hAnsi="Times New Roman" w:cs="Times New Roman"/>
        </w:rPr>
        <w:t>Abdoulaye</w:t>
      </w:r>
      <w:proofErr w:type="spellEnd"/>
      <w:r w:rsidRPr="00B43CDB">
        <w:rPr>
          <w:rFonts w:ascii="Times New Roman" w:hAnsi="Times New Roman" w:cs="Times New Roman"/>
        </w:rPr>
        <w:t xml:space="preserve"> Diane</w:t>
      </w:r>
      <w:r w:rsidRPr="00B43CDB">
        <w:rPr>
          <w:rFonts w:ascii="Times New Roman" w:hAnsi="Times New Roman" w:cs="Times New Roman"/>
          <w:vertAlign w:val="superscript"/>
        </w:rPr>
        <w:t>1#</w:t>
      </w:r>
      <w:r w:rsidRPr="00B43CDB">
        <w:rPr>
          <w:rFonts w:ascii="Times New Roman" w:hAnsi="Times New Roman" w:cs="Times New Roman"/>
        </w:rPr>
        <w:t xml:space="preserve">, </w:t>
      </w:r>
      <w:proofErr w:type="spellStart"/>
      <w:r w:rsidRPr="00B43CDB">
        <w:rPr>
          <w:rFonts w:ascii="Times New Roman" w:hAnsi="Times New Roman" w:cs="Times New Roman"/>
        </w:rPr>
        <w:t>Namat</w:t>
      </w:r>
      <w:proofErr w:type="spellEnd"/>
      <w:r w:rsidRPr="00B43CDB">
        <w:rPr>
          <w:rFonts w:ascii="Times New Roman" w:hAnsi="Times New Roman" w:cs="Times New Roman"/>
        </w:rPr>
        <w:t xml:space="preserve"> Khattab</w:t>
      </w:r>
      <w:r w:rsidRPr="00B43CDB">
        <w:rPr>
          <w:rFonts w:ascii="Times New Roman" w:hAnsi="Times New Roman" w:cs="Times New Roman"/>
          <w:vertAlign w:val="superscript"/>
        </w:rPr>
        <w:t>1</w:t>
      </w:r>
      <w:r w:rsidRPr="00B43CDB">
        <w:rPr>
          <w:rFonts w:ascii="Times New Roman" w:hAnsi="Times New Roman" w:cs="Times New Roman"/>
        </w:rPr>
        <w:t>, Ilham Bensmail</w:t>
      </w:r>
      <w:r w:rsidRPr="00B43CDB">
        <w:rPr>
          <w:rFonts w:ascii="Times New Roman" w:hAnsi="Times New Roman" w:cs="Times New Roman"/>
          <w:vertAlign w:val="superscript"/>
        </w:rPr>
        <w:t>1</w:t>
      </w:r>
      <w:r w:rsidRPr="00B43CDB"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</w:rPr>
        <w:t>Imad Aoude</w:t>
      </w:r>
      <w:r w:rsidRPr="00587DB4">
        <w:rPr>
          <w:rFonts w:ascii="Times New Roman" w:hAnsi="Times New Roman" w:cs="Times New Roman"/>
          <w:vertAlign w:val="superscript"/>
        </w:rPr>
        <w:t>1</w:t>
      </w:r>
      <w:r>
        <w:rPr>
          <w:rFonts w:ascii="Times New Roman" w:hAnsi="Times New Roman" w:cs="Times New Roman"/>
        </w:rPr>
        <w:t xml:space="preserve">, </w:t>
      </w:r>
      <w:r w:rsidRPr="00B43CDB">
        <w:rPr>
          <w:rFonts w:ascii="Times New Roman" w:hAnsi="Times New Roman" w:cs="Times New Roman"/>
        </w:rPr>
        <w:t>Mohamed Chikri</w:t>
      </w:r>
      <w:r w:rsidRPr="00B43CDB">
        <w:rPr>
          <w:rFonts w:ascii="Times New Roman" w:hAnsi="Times New Roman" w:cs="Times New Roman"/>
          <w:vertAlign w:val="superscript"/>
        </w:rPr>
        <w:t>2</w:t>
      </w:r>
      <w:r w:rsidRPr="00B43CDB">
        <w:rPr>
          <w:rFonts w:ascii="Times New Roman" w:hAnsi="Times New Roman" w:cs="Times New Roman"/>
        </w:rPr>
        <w:t xml:space="preserve">, </w:t>
      </w:r>
      <w:proofErr w:type="spellStart"/>
      <w:r w:rsidRPr="00B43CDB">
        <w:rPr>
          <w:rFonts w:ascii="Times New Roman" w:hAnsi="Times New Roman" w:cs="Times New Roman"/>
        </w:rPr>
        <w:t>Ramzi</w:t>
      </w:r>
      <w:proofErr w:type="spellEnd"/>
      <w:r w:rsidRPr="00B43CDB">
        <w:rPr>
          <w:rFonts w:ascii="Times New Roman" w:hAnsi="Times New Roman" w:cs="Times New Roman"/>
        </w:rPr>
        <w:t xml:space="preserve"> Mohammad</w:t>
      </w:r>
      <w:r w:rsidRPr="00B43CDB">
        <w:rPr>
          <w:rFonts w:ascii="Times New Roman" w:hAnsi="Times New Roman" w:cs="Times New Roman"/>
          <w:vertAlign w:val="superscript"/>
        </w:rPr>
        <w:t>3-4</w:t>
      </w:r>
      <w:r w:rsidRPr="00B43CDB">
        <w:rPr>
          <w:rFonts w:ascii="Times New Roman" w:hAnsi="Times New Roman" w:cs="Times New Roman"/>
        </w:rPr>
        <w:t>, Abdul Badi Abou Samra</w:t>
      </w:r>
      <w:r w:rsidRPr="00B43CDB">
        <w:rPr>
          <w:rFonts w:ascii="Times New Roman" w:hAnsi="Times New Roman" w:cs="Times New Roman"/>
          <w:vertAlign w:val="superscript"/>
        </w:rPr>
        <w:t>5</w:t>
      </w:r>
      <w:r w:rsidRPr="00B43CDB">
        <w:rPr>
          <w:rFonts w:ascii="Times New Roman" w:hAnsi="Times New Roman" w:cs="Times New Roman"/>
        </w:rPr>
        <w:t xml:space="preserve"> &amp; Mohammed Dehbi</w:t>
      </w:r>
      <w:r w:rsidRPr="00B43CDB">
        <w:rPr>
          <w:rFonts w:ascii="Times New Roman" w:hAnsi="Times New Roman" w:cs="Times New Roman"/>
          <w:vertAlign w:val="superscript"/>
        </w:rPr>
        <w:t>1*</w:t>
      </w:r>
    </w:p>
    <w:p w:rsidR="00A2751D" w:rsidRPr="00B43CDB" w:rsidRDefault="00A2751D" w:rsidP="00A2751D">
      <w:pPr>
        <w:spacing w:after="0" w:line="480" w:lineRule="auto"/>
        <w:jc w:val="both"/>
        <w:rPr>
          <w:rFonts w:ascii="Times New Roman" w:hAnsi="Times New Roman" w:cs="Times New Roman"/>
          <w:vertAlign w:val="superscript"/>
        </w:rPr>
      </w:pPr>
    </w:p>
    <w:p w:rsidR="00A2751D" w:rsidRPr="00B43CDB" w:rsidRDefault="00A2751D" w:rsidP="00C6117A">
      <w:pPr>
        <w:spacing w:after="0" w:line="480" w:lineRule="auto"/>
        <w:jc w:val="both"/>
        <w:rPr>
          <w:rFonts w:ascii="Times New Roman" w:hAnsi="Times New Roman" w:cs="Times New Roman"/>
        </w:rPr>
      </w:pPr>
      <w:r w:rsidRPr="00B43CDB">
        <w:rPr>
          <w:rFonts w:ascii="Times New Roman" w:hAnsi="Times New Roman" w:cs="Times New Roman"/>
          <w:vertAlign w:val="superscript"/>
        </w:rPr>
        <w:t>1</w:t>
      </w:r>
      <w:r w:rsidRPr="00B43CDB">
        <w:rPr>
          <w:rFonts w:ascii="Times New Roman" w:hAnsi="Times New Roman" w:cs="Times New Roman"/>
        </w:rPr>
        <w:t>Qatar Biomedical Research Institute, Hamad Bin Khalifa University, Doha, Qatar</w:t>
      </w:r>
    </w:p>
    <w:p w:rsidR="00A2751D" w:rsidRPr="00B43CDB" w:rsidRDefault="00A2751D" w:rsidP="00C6117A">
      <w:pPr>
        <w:spacing w:after="0" w:line="480" w:lineRule="auto"/>
        <w:jc w:val="both"/>
        <w:rPr>
          <w:rFonts w:ascii="Times New Roman" w:hAnsi="Times New Roman" w:cs="Times New Roman"/>
        </w:rPr>
      </w:pPr>
      <w:r w:rsidRPr="00B43CDB">
        <w:rPr>
          <w:rFonts w:ascii="Times New Roman" w:eastAsia="Times New Roman" w:hAnsi="Times New Roman" w:cs="Times New Roman"/>
          <w:vertAlign w:val="superscript"/>
        </w:rPr>
        <w:t>2</w:t>
      </w:r>
      <w:r w:rsidRPr="00B43CDB">
        <w:rPr>
          <w:rFonts w:ascii="Times New Roman" w:eastAsia="Times New Roman" w:hAnsi="Times New Roman" w:cs="Times New Roman"/>
        </w:rPr>
        <w:t xml:space="preserve">Faculty of Medicine &amp; Pharmacy, University </w:t>
      </w:r>
      <w:proofErr w:type="spellStart"/>
      <w:r w:rsidRPr="00B43CDB">
        <w:rPr>
          <w:rFonts w:ascii="Times New Roman" w:eastAsia="Times New Roman" w:hAnsi="Times New Roman" w:cs="Times New Roman"/>
        </w:rPr>
        <w:t>Sidi</w:t>
      </w:r>
      <w:proofErr w:type="spellEnd"/>
      <w:r w:rsidRPr="00B43CDB">
        <w:rPr>
          <w:rFonts w:ascii="Times New Roman" w:eastAsia="Times New Roman" w:hAnsi="Times New Roman" w:cs="Times New Roman"/>
        </w:rPr>
        <w:t xml:space="preserve"> Mohamed Ben </w:t>
      </w:r>
      <w:proofErr w:type="spellStart"/>
      <w:r w:rsidRPr="00B43CDB">
        <w:rPr>
          <w:rFonts w:ascii="Times New Roman" w:eastAsia="Times New Roman" w:hAnsi="Times New Roman" w:cs="Times New Roman"/>
        </w:rPr>
        <w:t>Abdellah</w:t>
      </w:r>
      <w:proofErr w:type="spellEnd"/>
      <w:r w:rsidRPr="00B43CDB">
        <w:rPr>
          <w:rFonts w:ascii="Times New Roman" w:eastAsia="Times New Roman" w:hAnsi="Times New Roman" w:cs="Times New Roman"/>
        </w:rPr>
        <w:t>, Fes, Morocco</w:t>
      </w:r>
    </w:p>
    <w:p w:rsidR="00A2751D" w:rsidRPr="00B43CDB" w:rsidRDefault="00A2751D" w:rsidP="00C6117A">
      <w:pPr>
        <w:spacing w:after="0" w:line="480" w:lineRule="auto"/>
        <w:jc w:val="both"/>
        <w:rPr>
          <w:rFonts w:ascii="Times New Roman" w:hAnsi="Times New Roman" w:cs="Times New Roman"/>
        </w:rPr>
      </w:pPr>
      <w:r w:rsidRPr="00B43CDB">
        <w:rPr>
          <w:rFonts w:ascii="Times New Roman" w:hAnsi="Times New Roman" w:cs="Times New Roman"/>
          <w:vertAlign w:val="superscript"/>
        </w:rPr>
        <w:t>3</w:t>
      </w:r>
      <w:r w:rsidRPr="00B43CDB">
        <w:rPr>
          <w:rFonts w:ascii="Times New Roman" w:hAnsi="Times New Roman" w:cs="Times New Roman"/>
        </w:rPr>
        <w:t>The Interim Translational Research Institute, Hamad Medical Corporation, Doha, Qatar</w:t>
      </w:r>
    </w:p>
    <w:p w:rsidR="00A2751D" w:rsidRPr="00B43CDB" w:rsidRDefault="00A2751D" w:rsidP="00C6117A">
      <w:pPr>
        <w:spacing w:after="0" w:line="480" w:lineRule="auto"/>
        <w:jc w:val="both"/>
        <w:rPr>
          <w:rFonts w:ascii="Times New Roman" w:hAnsi="Times New Roman" w:cs="Times New Roman"/>
        </w:rPr>
      </w:pPr>
      <w:r w:rsidRPr="00B43CDB">
        <w:rPr>
          <w:rFonts w:ascii="Times New Roman" w:hAnsi="Times New Roman" w:cs="Times New Roman"/>
          <w:vertAlign w:val="superscript"/>
        </w:rPr>
        <w:t>4</w:t>
      </w:r>
      <w:r w:rsidRPr="00B43CDB">
        <w:rPr>
          <w:rFonts w:ascii="Times New Roman" w:hAnsi="Times New Roman" w:cs="Times New Roman"/>
        </w:rPr>
        <w:t xml:space="preserve">Karmanos </w:t>
      </w:r>
      <w:proofErr w:type="spellStart"/>
      <w:r w:rsidRPr="00B43CDB">
        <w:rPr>
          <w:rFonts w:ascii="Times New Roman" w:eastAsia="Times New Roman" w:hAnsi="Times New Roman" w:cs="Times New Roman"/>
        </w:rPr>
        <w:t>Karmanos</w:t>
      </w:r>
      <w:proofErr w:type="spellEnd"/>
      <w:r w:rsidRPr="00B43CDB">
        <w:rPr>
          <w:rFonts w:ascii="Times New Roman" w:eastAsia="Times New Roman" w:hAnsi="Times New Roman" w:cs="Times New Roman"/>
        </w:rPr>
        <w:t xml:space="preserve"> Cancer Institute, Department Of Oncology, Wayne State University, Detroit, MI, USA</w:t>
      </w:r>
    </w:p>
    <w:p w:rsidR="00A2751D" w:rsidRPr="00B43CDB" w:rsidRDefault="00A2751D" w:rsidP="00A2751D">
      <w:pPr>
        <w:spacing w:after="0" w:line="480" w:lineRule="auto"/>
        <w:jc w:val="both"/>
        <w:rPr>
          <w:rFonts w:ascii="Times New Roman" w:hAnsi="Times New Roman" w:cs="Times New Roman"/>
        </w:rPr>
      </w:pPr>
      <w:r w:rsidRPr="00B43CDB">
        <w:rPr>
          <w:rFonts w:ascii="Times New Roman" w:hAnsi="Times New Roman" w:cs="Times New Roman"/>
          <w:vertAlign w:val="superscript"/>
        </w:rPr>
        <w:t>5</w:t>
      </w:r>
      <w:r w:rsidRPr="00B43CDB">
        <w:rPr>
          <w:rFonts w:ascii="Times New Roman" w:eastAsia="Times New Roman" w:hAnsi="Times New Roman" w:cs="Times New Roman"/>
        </w:rPr>
        <w:t xml:space="preserve">Qatar Metabolic Institute, Department of </w:t>
      </w:r>
      <w:r w:rsidRPr="00B43CDB">
        <w:rPr>
          <w:rFonts w:ascii="Times New Roman" w:hAnsi="Times New Roman" w:cs="Times New Roman"/>
        </w:rPr>
        <w:t>Internal Medicine, Hamad Medical Corporation, Doha, Qatar</w:t>
      </w:r>
    </w:p>
    <w:p w:rsidR="00A2751D" w:rsidRPr="00B43CDB" w:rsidRDefault="00A2751D" w:rsidP="00A2751D">
      <w:pPr>
        <w:spacing w:after="0" w:line="480" w:lineRule="auto"/>
        <w:jc w:val="both"/>
        <w:rPr>
          <w:rFonts w:ascii="Times New Roman" w:hAnsi="Times New Roman" w:cs="Times New Roman"/>
          <w:vertAlign w:val="superscript"/>
        </w:rPr>
      </w:pPr>
      <w:r w:rsidRPr="00B43CDB">
        <w:rPr>
          <w:rFonts w:ascii="Times New Roman" w:hAnsi="Times New Roman" w:cs="Times New Roman"/>
          <w:vertAlign w:val="superscript"/>
        </w:rPr>
        <w:t xml:space="preserve">#: </w:t>
      </w:r>
      <w:r w:rsidRPr="00B43CDB">
        <w:rPr>
          <w:rFonts w:ascii="Times New Roman" w:hAnsi="Times New Roman" w:cs="Times New Roman"/>
        </w:rPr>
        <w:t>These authors contributed equally to this work.</w:t>
      </w:r>
      <w:r w:rsidRPr="00B43CDB">
        <w:rPr>
          <w:rFonts w:ascii="Times New Roman" w:hAnsi="Times New Roman" w:cs="Times New Roman"/>
          <w:vertAlign w:val="superscript"/>
        </w:rPr>
        <w:t xml:space="preserve"> </w:t>
      </w:r>
    </w:p>
    <w:p w:rsidR="0054578B" w:rsidRDefault="0054578B"/>
    <w:p w:rsidR="00A2751D" w:rsidRDefault="00A2751D">
      <w:bookmarkStart w:id="0" w:name="_GoBack"/>
      <w:bookmarkEnd w:id="0"/>
    </w:p>
    <w:p w:rsidR="00A2751D" w:rsidRDefault="00A2751D"/>
    <w:p w:rsidR="00A2751D" w:rsidRDefault="00A2751D"/>
    <w:p w:rsidR="00A2751D" w:rsidRDefault="00A2751D"/>
    <w:p w:rsidR="00A2751D" w:rsidRDefault="00A2751D"/>
    <w:p w:rsidR="00A2751D" w:rsidRDefault="00A2751D"/>
    <w:p w:rsidR="00A2751D" w:rsidRDefault="00A2751D"/>
    <w:p w:rsidR="00A2751D" w:rsidRDefault="00A2751D"/>
    <w:p w:rsidR="00A2751D" w:rsidRDefault="00A2751D"/>
    <w:p w:rsidR="00A2751D" w:rsidRDefault="00A2751D"/>
    <w:p w:rsidR="00A2751D" w:rsidRPr="006E37F8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6E37F8">
        <w:rPr>
          <w:rFonts w:asciiTheme="majorBidi" w:hAnsiTheme="majorBidi" w:cstheme="majorBidi"/>
          <w:b/>
          <w:bCs/>
          <w:sz w:val="23"/>
          <w:szCs w:val="23"/>
        </w:rPr>
        <w:lastRenderedPageBreak/>
        <w:t xml:space="preserve">Supplementary </w:t>
      </w:r>
      <w:r w:rsidRPr="006E37F8">
        <w:rPr>
          <w:rFonts w:asciiTheme="majorBidi" w:hAnsiTheme="majorBidi" w:cstheme="majorBidi"/>
          <w:b/>
          <w:bCs/>
        </w:rPr>
        <w:t>Figure S1</w:t>
      </w:r>
    </w:p>
    <w:p w:rsidR="00A2751D" w:rsidRDefault="00A2751D" w:rsidP="00A2751D">
      <w:pPr>
        <w:spacing w:after="0" w:line="480" w:lineRule="auto"/>
        <w:jc w:val="center"/>
        <w:rPr>
          <w:rFonts w:asciiTheme="majorBidi" w:hAnsiTheme="majorBidi" w:cstheme="majorBidi"/>
          <w:color w:val="FF0000"/>
        </w:rPr>
      </w:pPr>
      <w:r w:rsidRPr="00A2751D">
        <w:rPr>
          <w:rFonts w:asciiTheme="majorBidi" w:hAnsiTheme="majorBidi" w:cstheme="majorBidi"/>
          <w:noProof/>
          <w:color w:val="FF0000"/>
        </w:rPr>
        <w:drawing>
          <wp:inline distT="0" distB="0" distL="0" distR="0" wp14:anchorId="3D3E8782" wp14:editId="22E16C48">
            <wp:extent cx="4562136" cy="5426272"/>
            <wp:effectExtent l="0" t="0" r="0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62136" cy="5426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751D" w:rsidRPr="006E37F8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6E37F8">
        <w:rPr>
          <w:rFonts w:asciiTheme="majorBidi" w:hAnsiTheme="majorBidi" w:cstheme="majorBidi"/>
          <w:b/>
          <w:bCs/>
          <w:sz w:val="23"/>
          <w:szCs w:val="23"/>
        </w:rPr>
        <w:t xml:space="preserve">Supplementary </w:t>
      </w:r>
      <w:r w:rsidRPr="006E37F8">
        <w:rPr>
          <w:rFonts w:asciiTheme="majorBidi" w:hAnsiTheme="majorBidi" w:cstheme="majorBidi"/>
          <w:b/>
          <w:bCs/>
        </w:rPr>
        <w:t xml:space="preserve">Figure S1: </w:t>
      </w:r>
      <w:r w:rsidRPr="006E37F8">
        <w:rPr>
          <w:rFonts w:asciiTheme="majorBidi" w:hAnsiTheme="majorBidi" w:cstheme="majorBidi"/>
        </w:rPr>
        <w:t xml:space="preserve">Transient overexpression of DNAJB3 in HEK-293 cells prevents the phosphorylation of JNK (P-JNK) in response to </w:t>
      </w:r>
      <w:proofErr w:type="spellStart"/>
      <w:r w:rsidRPr="006E37F8">
        <w:rPr>
          <w:rFonts w:asciiTheme="majorBidi" w:hAnsiTheme="majorBidi" w:cstheme="majorBidi"/>
        </w:rPr>
        <w:t>phorbol</w:t>
      </w:r>
      <w:proofErr w:type="spellEnd"/>
      <w:r w:rsidRPr="006E37F8">
        <w:rPr>
          <w:rFonts w:asciiTheme="majorBidi" w:hAnsiTheme="majorBidi" w:cstheme="majorBidi"/>
        </w:rPr>
        <w:t xml:space="preserve"> </w:t>
      </w:r>
      <w:proofErr w:type="spellStart"/>
      <w:r w:rsidRPr="006E37F8">
        <w:rPr>
          <w:rFonts w:asciiTheme="majorBidi" w:hAnsiTheme="majorBidi" w:cstheme="majorBidi"/>
        </w:rPr>
        <w:t>myristate</w:t>
      </w:r>
      <w:proofErr w:type="spellEnd"/>
      <w:r w:rsidRPr="006E37F8">
        <w:rPr>
          <w:rFonts w:asciiTheme="majorBidi" w:hAnsiTheme="majorBidi" w:cstheme="majorBidi"/>
        </w:rPr>
        <w:t xml:space="preserve"> acetate (PMA) as compared to </w:t>
      </w:r>
      <w:proofErr w:type="spellStart"/>
      <w:r w:rsidRPr="006E37F8">
        <w:rPr>
          <w:rFonts w:asciiTheme="majorBidi" w:hAnsiTheme="majorBidi" w:cstheme="majorBidi"/>
        </w:rPr>
        <w:t>pCMV</w:t>
      </w:r>
      <w:proofErr w:type="spellEnd"/>
      <w:r w:rsidRPr="006E37F8">
        <w:rPr>
          <w:rFonts w:asciiTheme="majorBidi" w:hAnsiTheme="majorBidi" w:cstheme="majorBidi"/>
        </w:rPr>
        <w:t xml:space="preserve"> and pCMV-HDAC4. Total JNK and GAPDH </w:t>
      </w:r>
      <w:proofErr w:type="gramStart"/>
      <w:r w:rsidRPr="006E37F8">
        <w:rPr>
          <w:rFonts w:asciiTheme="majorBidi" w:hAnsiTheme="majorBidi" w:cstheme="majorBidi"/>
        </w:rPr>
        <w:t>were used</w:t>
      </w:r>
      <w:proofErr w:type="gramEnd"/>
      <w:r w:rsidRPr="006E37F8">
        <w:rPr>
          <w:rFonts w:asciiTheme="majorBidi" w:hAnsiTheme="majorBidi" w:cstheme="majorBidi"/>
        </w:rPr>
        <w:t xml:space="preserve"> as internal controls to monitor for protein loading differences. After determining the levels of P-JNK, the same membrane </w:t>
      </w:r>
      <w:proofErr w:type="gramStart"/>
      <w:r w:rsidRPr="006E37F8">
        <w:rPr>
          <w:rFonts w:asciiTheme="majorBidi" w:hAnsiTheme="majorBidi" w:cstheme="majorBidi"/>
        </w:rPr>
        <w:t>was stripped and probed with antibody against total JNK</w:t>
      </w:r>
      <w:proofErr w:type="gramEnd"/>
      <w:r w:rsidRPr="006E37F8">
        <w:rPr>
          <w:rFonts w:asciiTheme="majorBidi" w:hAnsiTheme="majorBidi" w:cstheme="majorBidi"/>
        </w:rPr>
        <w:t>.</w:t>
      </w:r>
    </w:p>
    <w:p w:rsidR="00A2751D" w:rsidRDefault="00A2751D" w:rsidP="00A2751D">
      <w:pPr>
        <w:spacing w:after="0" w:line="480" w:lineRule="auto"/>
        <w:jc w:val="both"/>
        <w:rPr>
          <w:rFonts w:asciiTheme="majorBidi" w:hAnsiTheme="majorBidi" w:cstheme="majorBidi"/>
          <w:color w:val="FF0000"/>
        </w:rPr>
      </w:pPr>
    </w:p>
    <w:p w:rsidR="00A2751D" w:rsidRDefault="00A2751D" w:rsidP="00A2751D">
      <w:pPr>
        <w:spacing w:after="0" w:line="480" w:lineRule="auto"/>
        <w:jc w:val="both"/>
        <w:rPr>
          <w:rFonts w:asciiTheme="majorBidi" w:hAnsiTheme="majorBidi" w:cstheme="majorBidi"/>
          <w:color w:val="FF0000"/>
        </w:rPr>
      </w:pPr>
    </w:p>
    <w:p w:rsidR="00A2751D" w:rsidRPr="006E37F8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6E37F8">
        <w:rPr>
          <w:rFonts w:asciiTheme="majorBidi" w:hAnsiTheme="majorBidi" w:cstheme="majorBidi"/>
        </w:rPr>
        <w:lastRenderedPageBreak/>
        <w:t xml:space="preserve"> </w:t>
      </w:r>
      <w:r w:rsidRPr="006E37F8">
        <w:rPr>
          <w:rFonts w:asciiTheme="majorBidi" w:hAnsiTheme="majorBidi" w:cstheme="majorBidi"/>
          <w:b/>
          <w:bCs/>
          <w:sz w:val="23"/>
          <w:szCs w:val="23"/>
        </w:rPr>
        <w:t xml:space="preserve">Supplementary </w:t>
      </w:r>
      <w:r w:rsidRPr="006E37F8">
        <w:rPr>
          <w:rFonts w:asciiTheme="majorBidi" w:hAnsiTheme="majorBidi" w:cstheme="majorBidi"/>
          <w:b/>
          <w:bCs/>
        </w:rPr>
        <w:t>Figure S2</w:t>
      </w:r>
    </w:p>
    <w:p w:rsidR="00A2751D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  <w:color w:val="FF0000"/>
          <w:sz w:val="23"/>
          <w:szCs w:val="23"/>
        </w:rPr>
      </w:pPr>
      <w:r>
        <w:rPr>
          <w:rFonts w:asciiTheme="majorBidi" w:hAnsiTheme="majorBidi" w:cstheme="majorBidi"/>
          <w:b/>
          <w:bCs/>
          <w:noProof/>
          <w:color w:val="FF0000"/>
          <w:sz w:val="23"/>
          <w:szCs w:val="23"/>
        </w:rPr>
        <w:drawing>
          <wp:inline distT="0" distB="0" distL="0" distR="0" wp14:anchorId="4FA82654">
            <wp:extent cx="6291580" cy="630999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1580" cy="6309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751D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  <w:color w:val="FF0000"/>
          <w:sz w:val="23"/>
          <w:szCs w:val="23"/>
        </w:rPr>
      </w:pPr>
    </w:p>
    <w:p w:rsidR="00A2751D" w:rsidRPr="006E37F8" w:rsidRDefault="00A2751D" w:rsidP="00A2751D">
      <w:pPr>
        <w:spacing w:after="0" w:line="480" w:lineRule="auto"/>
        <w:jc w:val="both"/>
        <w:rPr>
          <w:rFonts w:asciiTheme="majorBidi" w:hAnsiTheme="majorBidi" w:cstheme="majorBidi"/>
        </w:rPr>
      </w:pPr>
      <w:r w:rsidRPr="006E37F8">
        <w:rPr>
          <w:rFonts w:asciiTheme="majorBidi" w:hAnsiTheme="majorBidi" w:cstheme="majorBidi"/>
          <w:b/>
          <w:bCs/>
          <w:sz w:val="23"/>
          <w:szCs w:val="23"/>
        </w:rPr>
        <w:t xml:space="preserve">Supplementary </w:t>
      </w:r>
      <w:r w:rsidRPr="006E37F8">
        <w:rPr>
          <w:rFonts w:asciiTheme="majorBidi" w:hAnsiTheme="majorBidi" w:cstheme="majorBidi"/>
          <w:b/>
          <w:bCs/>
        </w:rPr>
        <w:t xml:space="preserve">Figure S2. </w:t>
      </w:r>
      <w:r w:rsidRPr="006E37F8">
        <w:rPr>
          <w:rFonts w:ascii="Times New Roman" w:hAnsi="Times New Roman" w:cs="Times New Roman"/>
        </w:rPr>
        <w:t>Overexpression of DNAJB3 in C2C12 myoblasts reduces the translocation of p65 NF-</w:t>
      </w:r>
      <w:proofErr w:type="spellStart"/>
      <w:r w:rsidRPr="006E37F8">
        <w:rPr>
          <w:rFonts w:ascii="Times New Roman" w:hAnsi="Times New Roman" w:cs="Times New Roman"/>
        </w:rPr>
        <w:t>κB</w:t>
      </w:r>
      <w:proofErr w:type="spellEnd"/>
      <w:r w:rsidRPr="006E37F8">
        <w:rPr>
          <w:rFonts w:ascii="Times New Roman" w:hAnsi="Times New Roman" w:cs="Times New Roman"/>
        </w:rPr>
        <w:t xml:space="preserve"> to the nucleus in response to LPS treatment. </w:t>
      </w:r>
      <w:r w:rsidRPr="006E37F8">
        <w:rPr>
          <w:rFonts w:ascii="Times New Roman" w:hAnsi="Times New Roman" w:cs="Times New Roman"/>
        </w:rPr>
        <w:sym w:font="Symbol" w:char="F067"/>
      </w:r>
      <w:r w:rsidRPr="006E37F8">
        <w:rPr>
          <w:rFonts w:ascii="Times New Roman" w:hAnsi="Times New Roman" w:cs="Times New Roman"/>
        </w:rPr>
        <w:t xml:space="preserve">-Tubulin and GAPDH </w:t>
      </w:r>
      <w:proofErr w:type="gramStart"/>
      <w:r w:rsidRPr="006E37F8">
        <w:rPr>
          <w:rFonts w:ascii="Times New Roman" w:hAnsi="Times New Roman" w:cs="Times New Roman"/>
        </w:rPr>
        <w:t>were used</w:t>
      </w:r>
      <w:proofErr w:type="gramEnd"/>
      <w:r w:rsidRPr="006E37F8">
        <w:rPr>
          <w:rFonts w:ascii="Times New Roman" w:hAnsi="Times New Roman" w:cs="Times New Roman"/>
        </w:rPr>
        <w:t xml:space="preserve"> as internal controls for nuclear and cytoplasmic extracts, respectively. </w:t>
      </w:r>
    </w:p>
    <w:p w:rsidR="00A2751D" w:rsidRPr="006E37F8" w:rsidRDefault="00A2751D" w:rsidP="00A2751D">
      <w:pPr>
        <w:spacing w:after="0" w:line="480" w:lineRule="auto"/>
        <w:jc w:val="both"/>
        <w:rPr>
          <w:rFonts w:asciiTheme="majorBidi" w:hAnsiTheme="majorBidi" w:cstheme="majorBidi"/>
        </w:rPr>
      </w:pPr>
      <w:r w:rsidRPr="006E37F8">
        <w:rPr>
          <w:rFonts w:asciiTheme="majorBidi" w:hAnsiTheme="majorBidi" w:cstheme="majorBidi"/>
          <w:b/>
          <w:bCs/>
          <w:sz w:val="23"/>
          <w:szCs w:val="23"/>
        </w:rPr>
        <w:lastRenderedPageBreak/>
        <w:t xml:space="preserve">Supplementary </w:t>
      </w:r>
      <w:r w:rsidRPr="006E37F8">
        <w:rPr>
          <w:rFonts w:asciiTheme="majorBidi" w:hAnsiTheme="majorBidi" w:cstheme="majorBidi"/>
          <w:b/>
          <w:bCs/>
        </w:rPr>
        <w:t>Figure S3</w:t>
      </w:r>
    </w:p>
    <w:p w:rsidR="00A2751D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  <w:color w:val="FF0000"/>
          <w:sz w:val="23"/>
          <w:szCs w:val="23"/>
        </w:rPr>
      </w:pPr>
    </w:p>
    <w:p w:rsidR="00A2751D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  <w:color w:val="FF0000"/>
          <w:sz w:val="23"/>
          <w:szCs w:val="23"/>
        </w:rPr>
      </w:pPr>
      <w:r>
        <w:rPr>
          <w:rFonts w:asciiTheme="majorBidi" w:hAnsiTheme="majorBidi" w:cstheme="majorBidi"/>
          <w:b/>
          <w:bCs/>
          <w:noProof/>
          <w:color w:val="FF0000"/>
          <w:sz w:val="23"/>
          <w:szCs w:val="23"/>
        </w:rPr>
        <w:drawing>
          <wp:inline distT="0" distB="0" distL="0" distR="0" wp14:anchorId="28E51E7E">
            <wp:extent cx="3889375" cy="2127885"/>
            <wp:effectExtent l="0" t="0" r="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9375" cy="2127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2751D" w:rsidRPr="006E37F8" w:rsidRDefault="00A2751D" w:rsidP="00A2751D">
      <w:pPr>
        <w:spacing w:after="0" w:line="480" w:lineRule="auto"/>
        <w:jc w:val="both"/>
        <w:rPr>
          <w:rFonts w:asciiTheme="majorBidi" w:hAnsiTheme="majorBidi" w:cstheme="majorBidi"/>
          <w:b/>
          <w:bCs/>
        </w:rPr>
      </w:pPr>
      <w:r w:rsidRPr="006E37F8">
        <w:rPr>
          <w:rFonts w:asciiTheme="majorBidi" w:hAnsiTheme="majorBidi" w:cstheme="majorBidi"/>
          <w:b/>
          <w:bCs/>
          <w:sz w:val="23"/>
          <w:szCs w:val="23"/>
        </w:rPr>
        <w:t xml:space="preserve">Supplementary </w:t>
      </w:r>
      <w:r w:rsidRPr="006E37F8">
        <w:rPr>
          <w:rFonts w:asciiTheme="majorBidi" w:hAnsiTheme="majorBidi" w:cstheme="majorBidi"/>
          <w:b/>
          <w:bCs/>
        </w:rPr>
        <w:t xml:space="preserve">Figure S3. </w:t>
      </w:r>
      <w:r w:rsidRPr="006E37F8">
        <w:rPr>
          <w:rFonts w:ascii="Times New Roman" w:hAnsi="Times New Roman" w:cs="Times New Roman"/>
        </w:rPr>
        <w:t xml:space="preserve">DNAJB3 overexpression has no effect on the endogenous expression of Glut4 in C2C12 cells. </w:t>
      </w:r>
      <w:r w:rsidRPr="006E37F8">
        <w:rPr>
          <w:rFonts w:ascii="Times New Roman" w:hAnsi="Times New Roman" w:cs="Times New Roman"/>
        </w:rPr>
        <w:sym w:font="Symbol" w:char="F062"/>
      </w:r>
      <w:r w:rsidRPr="006E37F8">
        <w:rPr>
          <w:rFonts w:ascii="Times New Roman" w:hAnsi="Times New Roman" w:cs="Times New Roman"/>
        </w:rPr>
        <w:t xml:space="preserve">-Actin </w:t>
      </w:r>
      <w:proofErr w:type="gramStart"/>
      <w:r w:rsidRPr="006E37F8">
        <w:rPr>
          <w:rFonts w:ascii="Times New Roman" w:hAnsi="Times New Roman" w:cs="Times New Roman"/>
        </w:rPr>
        <w:t>was used</w:t>
      </w:r>
      <w:proofErr w:type="gramEnd"/>
      <w:r w:rsidRPr="006E37F8">
        <w:rPr>
          <w:rFonts w:ascii="Times New Roman" w:hAnsi="Times New Roman" w:cs="Times New Roman"/>
        </w:rPr>
        <w:t xml:space="preserve"> as internal control to correct for loading efficiency. </w:t>
      </w:r>
    </w:p>
    <w:p w:rsidR="00A2751D" w:rsidRDefault="00A2751D"/>
    <w:sectPr w:rsidR="00A275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751D"/>
    <w:rsid w:val="0054578B"/>
    <w:rsid w:val="006E37F8"/>
    <w:rsid w:val="00A2751D"/>
    <w:rsid w:val="00C6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CD8F93-FAEC-4B46-9970-592687337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51D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261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Mohammed Dehbi</dc:creator>
  <cp:keywords/>
  <dc:description/>
  <cp:lastModifiedBy>Mohammed Dehbi</cp:lastModifiedBy>
  <cp:revision>3</cp:revision>
  <dcterms:created xsi:type="dcterms:W3CDTF">2019-01-13T06:07:00Z</dcterms:created>
  <dcterms:modified xsi:type="dcterms:W3CDTF">2019-01-13T06:07:00Z</dcterms:modified>
</cp:coreProperties>
</file>